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1E5BD">
      <w:pPr>
        <w:spacing w:line="440" w:lineRule="exact"/>
        <w:jc w:val="center"/>
        <w:rPr>
          <w:rFonts w:ascii="仿宋_GB2312" w:eastAsia="仿宋_GB2312"/>
          <w:sz w:val="32"/>
          <w:szCs w:val="32"/>
        </w:rPr>
      </w:pPr>
    </w:p>
    <w:p w14:paraId="42854C6E">
      <w:pPr>
        <w:spacing w:line="440" w:lineRule="exact"/>
        <w:jc w:val="center"/>
        <w:rPr>
          <w:rFonts w:ascii="仿宋_GB2312" w:eastAsia="仿宋_GB2312"/>
          <w:sz w:val="32"/>
          <w:szCs w:val="32"/>
        </w:rPr>
      </w:pPr>
    </w:p>
    <w:p w14:paraId="159B9776">
      <w:pPr>
        <w:spacing w:line="440" w:lineRule="exact"/>
        <w:jc w:val="center"/>
        <w:rPr>
          <w:rFonts w:ascii="仿宋_GB2312" w:eastAsia="仿宋_GB2312"/>
          <w:sz w:val="32"/>
          <w:szCs w:val="32"/>
        </w:rPr>
      </w:pPr>
    </w:p>
    <w:p w14:paraId="109E63B4">
      <w:pPr>
        <w:spacing w:line="440" w:lineRule="exact"/>
        <w:jc w:val="center"/>
        <w:rPr>
          <w:rFonts w:ascii="仿宋_GB2312" w:eastAsia="仿宋_GB2312"/>
          <w:sz w:val="32"/>
          <w:szCs w:val="32"/>
        </w:rPr>
      </w:pPr>
    </w:p>
    <w:p w14:paraId="1CA8C199">
      <w:pPr>
        <w:spacing w:line="440" w:lineRule="exact"/>
        <w:jc w:val="center"/>
        <w:rPr>
          <w:rFonts w:ascii="仿宋_GB2312" w:eastAsia="仿宋_GB2312"/>
          <w:sz w:val="32"/>
          <w:szCs w:val="32"/>
        </w:rPr>
      </w:pPr>
    </w:p>
    <w:p w14:paraId="0BAAABF2">
      <w:pPr>
        <w:spacing w:line="440" w:lineRule="exact"/>
        <w:jc w:val="center"/>
        <w:rPr>
          <w:rFonts w:ascii="仿宋_GB2312" w:eastAsia="仿宋_GB2312"/>
          <w:sz w:val="32"/>
          <w:szCs w:val="32"/>
        </w:rPr>
      </w:pPr>
    </w:p>
    <w:p w14:paraId="6D3021B7">
      <w:pPr>
        <w:spacing w:line="440" w:lineRule="exact"/>
        <w:jc w:val="center"/>
        <w:rPr>
          <w:rFonts w:ascii="仿宋_GB2312" w:eastAsia="仿宋_GB2312"/>
          <w:sz w:val="32"/>
          <w:szCs w:val="32"/>
        </w:rPr>
      </w:pPr>
    </w:p>
    <w:p w14:paraId="763552B2">
      <w:pPr>
        <w:spacing w:line="440" w:lineRule="exact"/>
        <w:jc w:val="center"/>
        <w:rPr>
          <w:rFonts w:ascii="仿宋_GB2312" w:eastAsia="仿宋_GB2312"/>
          <w:sz w:val="32"/>
          <w:szCs w:val="32"/>
        </w:rPr>
      </w:pPr>
      <w:bookmarkStart w:id="0" w:name="_GoBack"/>
      <w:bookmarkEnd w:id="0"/>
    </w:p>
    <w:p w14:paraId="5B94D3DF">
      <w:pPr>
        <w:spacing w:line="440" w:lineRule="exact"/>
        <w:jc w:val="center"/>
        <w:rPr>
          <w:rFonts w:ascii="仿宋_GB2312" w:eastAsia="仿宋_GB2312"/>
          <w:sz w:val="32"/>
          <w:szCs w:val="32"/>
        </w:rPr>
      </w:pPr>
    </w:p>
    <w:p w14:paraId="7311375F">
      <w:pPr>
        <w:spacing w:line="440" w:lineRule="exact"/>
        <w:jc w:val="center"/>
        <w:rPr>
          <w:rFonts w:ascii="仿宋_GB2312" w:eastAsia="仿宋_GB2312"/>
          <w:sz w:val="32"/>
          <w:szCs w:val="32"/>
        </w:rPr>
      </w:pPr>
    </w:p>
    <w:p w14:paraId="5F4273C3">
      <w:pPr>
        <w:jc w:val="center"/>
        <w:rPr>
          <w:rFonts w:ascii="仿宋_GB2312" w:eastAsia="仿宋_GB2312"/>
          <w:sz w:val="32"/>
          <w:szCs w:val="32"/>
        </w:rPr>
      </w:pPr>
      <w:r>
        <w:rPr>
          <w:rFonts w:hint="eastAsia" w:ascii="仿宋_GB2312" w:eastAsia="仿宋_GB2312"/>
          <w:sz w:val="32"/>
          <w:szCs w:val="32"/>
        </w:rPr>
        <w:t>岳楼发改概审</w:t>
      </w:r>
      <w:r>
        <w:rPr>
          <w:rFonts w:hint="eastAsia" w:ascii="仿宋_GB2312" w:eastAsia="仿宋_GB2312"/>
          <w:color w:val="FF0000"/>
          <w:sz w:val="32"/>
          <w:szCs w:val="32"/>
        </w:rPr>
        <w:t>〔202</w:t>
      </w:r>
      <w:r>
        <w:rPr>
          <w:rFonts w:hint="eastAsia" w:ascii="仿宋_GB2312" w:eastAsia="仿宋_GB2312"/>
          <w:color w:val="FF0000"/>
          <w:sz w:val="32"/>
          <w:szCs w:val="32"/>
          <w:lang w:val="en-US" w:eastAsia="zh-CN"/>
        </w:rPr>
        <w:t>6</w:t>
      </w:r>
      <w:r>
        <w:rPr>
          <w:rFonts w:hint="eastAsia" w:ascii="仿宋_GB2312" w:eastAsia="仿宋_GB2312"/>
          <w:color w:val="FF0000"/>
          <w:sz w:val="32"/>
          <w:szCs w:val="32"/>
        </w:rPr>
        <w:t>〕136</w:t>
      </w:r>
      <w:r>
        <w:rPr>
          <w:rFonts w:hint="eastAsia" w:ascii="仿宋_GB2312" w:eastAsia="仿宋_GB2312"/>
          <w:sz w:val="32"/>
          <w:szCs w:val="32"/>
        </w:rPr>
        <w:t>号</w:t>
      </w:r>
    </w:p>
    <w:p w14:paraId="6A64E780">
      <w:pPr>
        <w:pStyle w:val="2"/>
      </w:pPr>
    </w:p>
    <w:p w14:paraId="5B6050BC">
      <w:pPr>
        <w:pStyle w:val="3"/>
        <w:widowControl/>
        <w:spacing w:line="580" w:lineRule="exact"/>
        <w:jc w:val="center"/>
        <w:rPr>
          <w:rFonts w:hint="eastAsia" w:ascii="Times New Roman" w:hAnsi="Times New Roman" w:eastAsia="方正小标宋简体"/>
          <w:b w:val="0"/>
          <w:bCs w:val="0"/>
          <w:color w:val="auto"/>
          <w:w w:val="95"/>
          <w:sz w:val="44"/>
          <w:szCs w:val="44"/>
          <w:lang w:eastAsia="zh-CN"/>
        </w:rPr>
      </w:pPr>
      <w:r>
        <w:rPr>
          <w:rFonts w:ascii="Times New Roman" w:hAnsi="Times New Roman" w:eastAsia="方正小标宋简体"/>
          <w:b w:val="0"/>
          <w:bCs w:val="0"/>
          <w:color w:val="auto"/>
          <w:w w:val="95"/>
          <w:sz w:val="44"/>
          <w:szCs w:val="44"/>
        </w:rPr>
        <w:t>关于</w:t>
      </w:r>
      <w:r>
        <w:rPr>
          <w:rFonts w:hint="eastAsia" w:ascii="Times New Roman" w:hAnsi="Times New Roman" w:eastAsia="方正小标宋简体"/>
          <w:b w:val="0"/>
          <w:bCs w:val="0"/>
          <w:color w:val="auto"/>
          <w:w w:val="95"/>
          <w:sz w:val="44"/>
          <w:szCs w:val="44"/>
          <w:lang w:eastAsia="zh-CN"/>
        </w:rPr>
        <w:t>岳阳市岳阳楼区城东片区排水管网改造工程</w:t>
      </w:r>
    </w:p>
    <w:p w14:paraId="638A172B">
      <w:pPr>
        <w:pStyle w:val="3"/>
        <w:widowControl/>
        <w:spacing w:line="580" w:lineRule="exact"/>
        <w:jc w:val="center"/>
        <w:rPr>
          <w:rFonts w:hint="default" w:ascii="Times New Roman" w:hAnsi="Times New Roman" w:eastAsia="方正小标宋简体"/>
          <w:b w:val="0"/>
          <w:bCs w:val="0"/>
          <w:color w:val="auto"/>
          <w:w w:val="95"/>
          <w:sz w:val="44"/>
          <w:szCs w:val="44"/>
        </w:rPr>
      </w:pPr>
      <w:r>
        <w:rPr>
          <w:rFonts w:ascii="Times New Roman" w:hAnsi="Times New Roman" w:eastAsia="方正小标宋简体"/>
          <w:b w:val="0"/>
          <w:bCs w:val="0"/>
          <w:color w:val="auto"/>
          <w:w w:val="95"/>
          <w:sz w:val="44"/>
          <w:szCs w:val="44"/>
        </w:rPr>
        <w:t>概算总投资的批复</w:t>
      </w:r>
    </w:p>
    <w:p w14:paraId="129ABFE2">
      <w:pPr>
        <w:overflowPunct w:val="0"/>
        <w:spacing w:line="596" w:lineRule="exact"/>
        <w:rPr>
          <w:rFonts w:eastAsia="方正小标宋简体"/>
          <w:color w:val="auto"/>
          <w:sz w:val="44"/>
          <w:szCs w:val="44"/>
        </w:rPr>
      </w:pPr>
    </w:p>
    <w:p w14:paraId="08BF4EA6">
      <w:pPr>
        <w:overflowPunct w:val="0"/>
        <w:spacing w:line="596" w:lineRule="exact"/>
        <w:rPr>
          <w:rFonts w:eastAsia="仿宋"/>
          <w:color w:val="auto"/>
          <w:sz w:val="32"/>
          <w:szCs w:val="32"/>
        </w:rPr>
      </w:pPr>
      <w:r>
        <w:rPr>
          <w:rFonts w:hint="eastAsia" w:eastAsia="仿宋"/>
          <w:color w:val="auto"/>
          <w:sz w:val="32"/>
          <w:szCs w:val="32"/>
          <w:lang w:eastAsia="zh-CN"/>
        </w:rPr>
        <w:t>岳阳市岳阳楼区住房和城乡建设局</w:t>
      </w:r>
      <w:r>
        <w:rPr>
          <w:rFonts w:eastAsia="仿宋"/>
          <w:color w:val="auto"/>
          <w:sz w:val="32"/>
          <w:szCs w:val="32"/>
        </w:rPr>
        <w:t>：</w:t>
      </w:r>
    </w:p>
    <w:p w14:paraId="201C3517">
      <w:pPr>
        <w:overflowPunct w:val="0"/>
        <w:spacing w:line="596" w:lineRule="exact"/>
        <w:ind w:firstLine="640" w:firstLineChars="200"/>
        <w:rPr>
          <w:rFonts w:eastAsia="仿宋"/>
          <w:color w:val="auto"/>
          <w:sz w:val="32"/>
          <w:szCs w:val="32"/>
        </w:rPr>
      </w:pPr>
      <w:r>
        <w:rPr>
          <w:rFonts w:eastAsia="仿宋"/>
          <w:color w:val="auto"/>
          <w:sz w:val="32"/>
          <w:szCs w:val="32"/>
        </w:rPr>
        <w:t>报来</w:t>
      </w:r>
      <w:r>
        <w:rPr>
          <w:rFonts w:hint="eastAsia" w:eastAsia="仿宋"/>
          <w:color w:val="auto"/>
          <w:sz w:val="32"/>
          <w:szCs w:val="32"/>
        </w:rPr>
        <w:t>《关于申请岳阳市岳阳楼区城东片区排水管网改造工程概算评审的报告》及相关附件收悉</w:t>
      </w:r>
      <w:r>
        <w:rPr>
          <w:rFonts w:eastAsia="仿宋"/>
          <w:color w:val="auto"/>
          <w:sz w:val="32"/>
          <w:szCs w:val="32"/>
        </w:rPr>
        <w:t>。经研究，现批复如下：</w:t>
      </w:r>
    </w:p>
    <w:p w14:paraId="7BBE15A4">
      <w:pPr>
        <w:pStyle w:val="6"/>
        <w:widowControl/>
        <w:ind w:firstLine="640" w:firstLineChars="200"/>
        <w:rPr>
          <w:rFonts w:ascii="仿宋" w:hAnsi="仿宋" w:eastAsia="仿宋" w:cs="仿宋"/>
          <w:color w:val="auto"/>
          <w:kern w:val="2"/>
          <w:sz w:val="32"/>
          <w:szCs w:val="32"/>
        </w:rPr>
      </w:pPr>
      <w:r>
        <w:rPr>
          <w:rFonts w:hint="eastAsia" w:ascii="黑体" w:hAnsi="黑体" w:eastAsia="黑体" w:cs="黑体"/>
          <w:color w:val="auto"/>
          <w:sz w:val="32"/>
          <w:szCs w:val="32"/>
        </w:rPr>
        <w:t>一、</w:t>
      </w:r>
      <w:r>
        <w:rPr>
          <w:rFonts w:hint="eastAsia" w:ascii="仿宋" w:hAnsi="仿宋" w:eastAsia="仿宋" w:cs="仿宋"/>
          <w:color w:val="auto"/>
          <w:kern w:val="2"/>
          <w:sz w:val="32"/>
          <w:szCs w:val="32"/>
        </w:rPr>
        <w:t>核定岳阳市岳阳楼区城东片区排水管网改造工程</w:t>
      </w:r>
      <w:r>
        <w:rPr>
          <w:rFonts w:hint="eastAsia" w:ascii="仿宋" w:hAnsi="仿宋" w:eastAsia="仿宋" w:cs="仿宋"/>
          <w:color w:val="auto"/>
          <w:kern w:val="2"/>
          <w:sz w:val="32"/>
          <w:szCs w:val="32"/>
          <w:highlight w:val="none"/>
        </w:rPr>
        <w:t>（项目代码：</w:t>
      </w:r>
      <w:r>
        <w:rPr>
          <w:rFonts w:hint="eastAsia" w:ascii="仿宋" w:hAnsi="仿宋" w:eastAsia="仿宋" w:cs="仿宋"/>
          <w:color w:val="auto"/>
          <w:kern w:val="2"/>
          <w:sz w:val="32"/>
          <w:szCs w:val="32"/>
          <w:highlight w:val="none"/>
          <w:lang w:val="en-US" w:eastAsia="zh-CN"/>
        </w:rPr>
        <w:t>2412-430602-04-01-707586</w:t>
      </w:r>
      <w:r>
        <w:rPr>
          <w:rFonts w:hint="eastAsia" w:ascii="仿宋" w:hAnsi="仿宋" w:eastAsia="仿宋" w:cs="仿宋"/>
          <w:color w:val="auto"/>
          <w:kern w:val="2"/>
          <w:sz w:val="32"/>
          <w:szCs w:val="32"/>
          <w:highlight w:val="none"/>
        </w:rPr>
        <w:t>）概算总投资为</w:t>
      </w:r>
      <w:r>
        <w:rPr>
          <w:rFonts w:hint="eastAsia" w:ascii="仿宋" w:hAnsi="仿宋" w:eastAsia="仿宋" w:cs="仿宋"/>
          <w:color w:val="auto"/>
          <w:kern w:val="2"/>
          <w:sz w:val="32"/>
          <w:szCs w:val="32"/>
          <w:highlight w:val="none"/>
          <w:lang w:val="en-US" w:eastAsia="zh-CN"/>
        </w:rPr>
        <w:t>4805.77</w:t>
      </w:r>
      <w:r>
        <w:rPr>
          <w:rFonts w:hint="eastAsia" w:ascii="仿宋" w:hAnsi="仿宋" w:eastAsia="仿宋" w:cs="仿宋"/>
          <w:color w:val="auto"/>
          <w:kern w:val="2"/>
          <w:sz w:val="32"/>
          <w:szCs w:val="32"/>
          <w:highlight w:val="none"/>
        </w:rPr>
        <w:t>万元（</w:t>
      </w:r>
      <w:r>
        <w:rPr>
          <w:rFonts w:hint="eastAsia" w:ascii="仿宋" w:hAnsi="仿宋" w:eastAsia="仿宋" w:cs="仿宋"/>
          <w:color w:val="auto"/>
          <w:sz w:val="32"/>
          <w:szCs w:val="32"/>
          <w:highlight w:val="none"/>
        </w:rPr>
        <w:t>概算总投资汇总表见附件），其中：工</w:t>
      </w:r>
      <w:r>
        <w:rPr>
          <w:rFonts w:hint="eastAsia" w:ascii="仿宋" w:hAnsi="仿宋" w:eastAsia="仿宋" w:cs="仿宋"/>
          <w:color w:val="auto"/>
          <w:kern w:val="2"/>
          <w:sz w:val="32"/>
          <w:szCs w:val="32"/>
          <w:highlight w:val="none"/>
        </w:rPr>
        <w:t>程费用</w:t>
      </w:r>
      <w:r>
        <w:rPr>
          <w:rFonts w:hint="eastAsia" w:ascii="仿宋" w:hAnsi="仿宋" w:eastAsia="仿宋" w:cs="仿宋"/>
          <w:color w:val="auto"/>
          <w:kern w:val="2"/>
          <w:sz w:val="32"/>
          <w:szCs w:val="32"/>
          <w:highlight w:val="none"/>
          <w:lang w:val="en-US" w:eastAsia="zh-CN"/>
        </w:rPr>
        <w:t>4137.73</w:t>
      </w:r>
      <w:r>
        <w:rPr>
          <w:rFonts w:hint="eastAsia" w:ascii="仿宋" w:hAnsi="仿宋" w:eastAsia="仿宋" w:cs="仿宋"/>
          <w:color w:val="auto"/>
          <w:kern w:val="2"/>
          <w:sz w:val="32"/>
          <w:szCs w:val="32"/>
          <w:highlight w:val="none"/>
        </w:rPr>
        <w:t>万元，</w:t>
      </w:r>
      <w:r>
        <w:rPr>
          <w:rFonts w:hint="eastAsia" w:ascii="仿宋" w:hAnsi="仿宋" w:eastAsia="仿宋" w:cs="仿宋"/>
          <w:color w:val="auto"/>
          <w:sz w:val="32"/>
          <w:szCs w:val="32"/>
          <w:highlight w:val="none"/>
        </w:rPr>
        <w:t>工程建设其他费用</w:t>
      </w:r>
      <w:r>
        <w:rPr>
          <w:rFonts w:hint="eastAsia" w:ascii="仿宋" w:hAnsi="仿宋" w:eastAsia="仿宋" w:cs="仿宋"/>
          <w:color w:val="auto"/>
          <w:sz w:val="32"/>
          <w:szCs w:val="32"/>
          <w:highlight w:val="none"/>
          <w:lang w:val="en-US" w:eastAsia="zh-CN"/>
        </w:rPr>
        <w:t>439.19</w:t>
      </w:r>
      <w:r>
        <w:rPr>
          <w:rFonts w:hint="eastAsia" w:ascii="仿宋" w:hAnsi="仿宋" w:eastAsia="仿宋" w:cs="仿宋"/>
          <w:color w:val="auto"/>
          <w:sz w:val="32"/>
          <w:szCs w:val="32"/>
          <w:highlight w:val="none"/>
        </w:rPr>
        <w:t>万元，预备费</w:t>
      </w:r>
      <w:r>
        <w:rPr>
          <w:rFonts w:hint="eastAsia" w:ascii="仿宋" w:hAnsi="仿宋" w:eastAsia="仿宋" w:cs="仿宋"/>
          <w:color w:val="auto"/>
          <w:sz w:val="32"/>
          <w:szCs w:val="32"/>
          <w:highlight w:val="none"/>
          <w:lang w:val="en-US" w:eastAsia="zh-CN"/>
        </w:rPr>
        <w:t>228.85</w:t>
      </w:r>
      <w:r>
        <w:rPr>
          <w:rFonts w:hint="eastAsia" w:ascii="仿宋" w:hAnsi="仿宋" w:eastAsia="仿宋" w:cs="仿宋"/>
          <w:color w:val="auto"/>
          <w:sz w:val="32"/>
          <w:szCs w:val="32"/>
          <w:highlight w:val="none"/>
        </w:rPr>
        <w:t xml:space="preserve">万元。 </w:t>
      </w:r>
    </w:p>
    <w:p w14:paraId="7ECB59B8">
      <w:pPr>
        <w:overflowPunct w:val="0"/>
        <w:spacing w:line="596" w:lineRule="exact"/>
        <w:ind w:firstLine="630"/>
        <w:rPr>
          <w:rFonts w:eastAsia="仿宋_GB2312"/>
          <w:color w:val="auto"/>
          <w:sz w:val="32"/>
          <w:szCs w:val="32"/>
        </w:rPr>
      </w:pPr>
      <w:r>
        <w:rPr>
          <w:rFonts w:hint="eastAsia" w:ascii="黑体" w:hAnsi="黑体" w:eastAsia="黑体" w:cs="黑体"/>
          <w:color w:val="auto"/>
          <w:kern w:val="0"/>
          <w:sz w:val="32"/>
          <w:szCs w:val="32"/>
        </w:rPr>
        <w:t>二、</w:t>
      </w:r>
      <w:r>
        <w:rPr>
          <w:rFonts w:eastAsia="仿宋_GB2312"/>
          <w:color w:val="auto"/>
          <w:sz w:val="32"/>
          <w:szCs w:val="32"/>
        </w:rPr>
        <w:t>请严格按照我</w:t>
      </w:r>
      <w:r>
        <w:rPr>
          <w:rFonts w:hint="eastAsia" w:eastAsia="仿宋_GB2312"/>
          <w:color w:val="auto"/>
          <w:sz w:val="32"/>
          <w:szCs w:val="32"/>
        </w:rPr>
        <w:t>局</w:t>
      </w:r>
      <w:r>
        <w:rPr>
          <w:rFonts w:eastAsia="仿宋_GB2312"/>
          <w:color w:val="auto"/>
          <w:sz w:val="32"/>
          <w:szCs w:val="32"/>
        </w:rPr>
        <w:t>批复的概算总投资组织项目建设，不得擅自增加建设内容、扩大建设规模、提高建设标准或改变建设方案，确保项目建设内容与可研批复保持一致、实际投资控制在概算以内。确需调整且将会突破概算总投资的，须事前向我</w:t>
      </w:r>
      <w:r>
        <w:rPr>
          <w:rFonts w:hint="eastAsia" w:eastAsia="仿宋_GB2312"/>
          <w:color w:val="auto"/>
          <w:sz w:val="32"/>
          <w:szCs w:val="32"/>
        </w:rPr>
        <w:t>局</w:t>
      </w:r>
      <w:r>
        <w:rPr>
          <w:rFonts w:eastAsia="仿宋_GB2312"/>
          <w:color w:val="auto"/>
          <w:sz w:val="32"/>
          <w:szCs w:val="32"/>
        </w:rPr>
        <w:t>报批，未经批准，不得擅自调整实施。今后，对主要因未经批准擅自增加建设内容、扩大建设规模、提高建设标准或改变建设方案和管理不善等主观原因造成超概的，将按有关规定进行追责处理后，再按程序办理调概手续。</w:t>
      </w:r>
    </w:p>
    <w:p w14:paraId="037480EE">
      <w:pPr>
        <w:overflowPunct w:val="0"/>
        <w:spacing w:line="596" w:lineRule="exact"/>
        <w:ind w:firstLine="630"/>
        <w:rPr>
          <w:rFonts w:eastAsia="仿宋_GB2312"/>
          <w:color w:val="auto"/>
          <w:sz w:val="32"/>
          <w:szCs w:val="32"/>
        </w:rPr>
      </w:pPr>
      <w:r>
        <w:rPr>
          <w:rFonts w:hint="eastAsia" w:ascii="黑体" w:hAnsi="黑体" w:eastAsia="黑体" w:cs="黑体"/>
          <w:color w:val="auto"/>
          <w:kern w:val="0"/>
          <w:sz w:val="32"/>
          <w:szCs w:val="32"/>
        </w:rPr>
        <w:t>三、</w:t>
      </w:r>
      <w:r>
        <w:rPr>
          <w:rFonts w:eastAsia="仿宋_GB2312"/>
          <w:color w:val="auto"/>
          <w:sz w:val="32"/>
          <w:szCs w:val="32"/>
        </w:rPr>
        <w:t>请于每年6月30日、12月31日前向我</w:t>
      </w:r>
      <w:r>
        <w:rPr>
          <w:rFonts w:hint="eastAsia" w:eastAsia="仿宋_GB2312"/>
          <w:color w:val="auto"/>
          <w:sz w:val="32"/>
          <w:szCs w:val="32"/>
        </w:rPr>
        <w:t>局</w:t>
      </w:r>
      <w:r>
        <w:rPr>
          <w:rFonts w:eastAsia="仿宋_GB2312"/>
          <w:color w:val="auto"/>
          <w:sz w:val="32"/>
          <w:szCs w:val="32"/>
        </w:rPr>
        <w:t>报送该项目建设概算执行情况。我</w:t>
      </w:r>
      <w:r>
        <w:rPr>
          <w:rFonts w:hint="eastAsia" w:eastAsia="仿宋_GB2312"/>
          <w:color w:val="auto"/>
          <w:sz w:val="32"/>
          <w:szCs w:val="32"/>
        </w:rPr>
        <w:t>局</w:t>
      </w:r>
      <w:r>
        <w:rPr>
          <w:rFonts w:eastAsia="仿宋_GB2312"/>
          <w:color w:val="auto"/>
          <w:sz w:val="32"/>
          <w:szCs w:val="32"/>
        </w:rPr>
        <w:t>将会同有关部门采取现场核查或委托现场核查等方式，加强对项目概算总投资的事中事后监管，依法处理有关违法违规行为，并适时组织项目后评价或绩效评价。</w:t>
      </w:r>
    </w:p>
    <w:p w14:paraId="6BB86B1A">
      <w:pPr>
        <w:overflowPunct w:val="0"/>
        <w:spacing w:line="596" w:lineRule="exact"/>
        <w:ind w:firstLine="630"/>
        <w:rPr>
          <w:rFonts w:eastAsia="仿宋_GB2312"/>
          <w:color w:val="auto"/>
          <w:sz w:val="32"/>
          <w:szCs w:val="32"/>
        </w:rPr>
      </w:pPr>
      <w:r>
        <w:rPr>
          <w:rFonts w:eastAsia="仿宋_GB2312"/>
          <w:color w:val="auto"/>
          <w:sz w:val="32"/>
          <w:szCs w:val="32"/>
        </w:rPr>
        <w:t>请据此办理有关手续。</w:t>
      </w:r>
    </w:p>
    <w:p w14:paraId="63B180DB">
      <w:pPr>
        <w:overflowPunct w:val="0"/>
        <w:spacing w:line="596" w:lineRule="exact"/>
        <w:ind w:firstLine="645"/>
        <w:rPr>
          <w:rFonts w:eastAsia="仿宋_GB2312"/>
          <w:color w:val="auto"/>
          <w:sz w:val="32"/>
          <w:szCs w:val="32"/>
        </w:rPr>
      </w:pPr>
    </w:p>
    <w:p w14:paraId="0AB46E06">
      <w:pPr>
        <w:overflowPunct w:val="0"/>
        <w:spacing w:line="596" w:lineRule="exact"/>
        <w:ind w:firstLine="640" w:firstLineChars="200"/>
        <w:rPr>
          <w:rFonts w:eastAsia="仿宋_GB2312"/>
          <w:color w:val="auto"/>
          <w:sz w:val="32"/>
          <w:szCs w:val="32"/>
        </w:rPr>
      </w:pPr>
      <w:r>
        <w:rPr>
          <w:rFonts w:eastAsia="仿宋_GB2312"/>
          <w:color w:val="auto"/>
          <w:sz w:val="32"/>
          <w:szCs w:val="32"/>
        </w:rPr>
        <w:t>附件：</w:t>
      </w:r>
      <w:r>
        <w:rPr>
          <w:rFonts w:hint="eastAsia" w:eastAsia="仿宋_GB2312"/>
          <w:color w:val="auto"/>
          <w:sz w:val="32"/>
          <w:szCs w:val="32"/>
        </w:rPr>
        <w:t>岳阳市岳阳楼区城东片区排水管网改造工程概算总投资汇总表</w:t>
      </w:r>
    </w:p>
    <w:p w14:paraId="534F65AF">
      <w:pPr>
        <w:overflowPunct w:val="0"/>
        <w:spacing w:line="596" w:lineRule="exact"/>
        <w:ind w:firstLine="645"/>
        <w:rPr>
          <w:rFonts w:eastAsia="仿宋_GB2312"/>
          <w:color w:val="auto"/>
          <w:sz w:val="32"/>
          <w:szCs w:val="32"/>
        </w:rPr>
      </w:pPr>
    </w:p>
    <w:p w14:paraId="1EB68C2C">
      <w:pPr>
        <w:overflowPunct w:val="0"/>
        <w:spacing w:line="596" w:lineRule="exact"/>
        <w:ind w:firstLine="645"/>
        <w:rPr>
          <w:rFonts w:eastAsia="仿宋_GB2312"/>
          <w:color w:val="auto"/>
          <w:sz w:val="32"/>
          <w:szCs w:val="32"/>
        </w:rPr>
      </w:pPr>
    </w:p>
    <w:p w14:paraId="083E6206">
      <w:pPr>
        <w:overflowPunct w:val="0"/>
        <w:spacing w:line="596" w:lineRule="exact"/>
        <w:ind w:firstLine="4800" w:firstLineChars="1500"/>
        <w:rPr>
          <w:rFonts w:eastAsia="仿宋_GB2312"/>
          <w:sz w:val="32"/>
          <w:szCs w:val="32"/>
        </w:rPr>
      </w:pPr>
      <w:r>
        <w:rPr>
          <w:rFonts w:hint="eastAsia" w:eastAsia="仿宋_GB2312"/>
          <w:sz w:val="32"/>
          <w:szCs w:val="32"/>
        </w:rPr>
        <w:t>岳阳楼区发展和改革局</w:t>
      </w:r>
      <w:r>
        <w:rPr>
          <w:rFonts w:eastAsia="仿宋_GB2312"/>
          <w:sz w:val="32"/>
          <w:szCs w:val="32"/>
        </w:rPr>
        <w:t xml:space="preserve">                             </w:t>
      </w:r>
    </w:p>
    <w:p w14:paraId="62AC358C">
      <w:pPr>
        <w:overflowPunct w:val="0"/>
        <w:spacing w:line="596" w:lineRule="exact"/>
        <w:ind w:firstLine="5120" w:firstLineChars="1600"/>
        <w:rPr>
          <w:rFonts w:eastAsia="仿宋_GB2312"/>
          <w:sz w:val="32"/>
          <w:szCs w:val="32"/>
        </w:rPr>
      </w:pPr>
      <w:r>
        <w:rPr>
          <w:rFonts w:hint="eastAsia" w:eastAsia="仿宋_GB2312"/>
          <w:sz w:val="32"/>
          <w:szCs w:val="32"/>
        </w:rPr>
        <w:t>202</w:t>
      </w:r>
      <w:r>
        <w:rPr>
          <w:rFonts w:hint="eastAsia" w:eastAsia="仿宋_GB2312"/>
          <w:sz w:val="32"/>
          <w:szCs w:val="32"/>
          <w:lang w:val="en-US" w:eastAsia="zh-CN"/>
        </w:rPr>
        <w:t>6</w:t>
      </w:r>
      <w:r>
        <w:rPr>
          <w:rFonts w:eastAsia="仿宋_GB2312"/>
          <w:sz w:val="32"/>
          <w:szCs w:val="32"/>
        </w:rPr>
        <w:t>年</w:t>
      </w:r>
      <w:r>
        <w:rPr>
          <w:rFonts w:hint="eastAsia" w:eastAsia="仿宋_GB2312"/>
          <w:sz w:val="32"/>
          <w:szCs w:val="32"/>
          <w:lang w:val="en-US" w:eastAsia="zh-CN"/>
        </w:rPr>
        <w:t>7</w:t>
      </w:r>
      <w:r>
        <w:rPr>
          <w:rFonts w:eastAsia="仿宋_GB2312"/>
          <w:sz w:val="32"/>
          <w:szCs w:val="32"/>
        </w:rPr>
        <w:t>月</w:t>
      </w:r>
      <w:r>
        <w:rPr>
          <w:rFonts w:hint="eastAsia" w:eastAsia="仿宋_GB2312"/>
          <w:sz w:val="32"/>
          <w:szCs w:val="32"/>
          <w:lang w:val="en-US" w:eastAsia="zh-CN"/>
        </w:rPr>
        <w:t>23</w:t>
      </w:r>
      <w:r>
        <w:rPr>
          <w:rFonts w:eastAsia="仿宋_GB2312"/>
          <w:sz w:val="32"/>
          <w:szCs w:val="32"/>
        </w:rPr>
        <w:t>日</w:t>
      </w:r>
    </w:p>
    <w:p w14:paraId="2EBAB065">
      <w:pPr>
        <w:overflowPunct w:val="0"/>
        <w:spacing w:line="596" w:lineRule="exact"/>
        <w:rPr>
          <w:rFonts w:eastAsia="仿宋_GB2312"/>
          <w:sz w:val="32"/>
          <w:szCs w:val="32"/>
        </w:rPr>
      </w:pPr>
    </w:p>
    <w:p w14:paraId="70AB3530">
      <w:pPr>
        <w:rPr>
          <w:rFonts w:eastAsia="仿宋_GB2312"/>
          <w:sz w:val="32"/>
          <w:szCs w:val="32"/>
        </w:rPr>
        <w:sectPr>
          <w:pgSz w:w="11906" w:h="16838"/>
          <w:pgMar w:top="1440" w:right="1361" w:bottom="1134" w:left="1361" w:header="851" w:footer="992" w:gutter="0"/>
          <w:cols w:space="425" w:num="1"/>
          <w:docGrid w:type="lines" w:linePitch="312" w:charSpace="0"/>
        </w:sectPr>
      </w:pPr>
      <w:r>
        <w:rPr>
          <w:rFonts w:eastAsia="仿宋_GB2312"/>
          <w:sz w:val="32"/>
          <w:szCs w:val="32"/>
        </w:rPr>
        <w:br w:type="page"/>
      </w:r>
    </w:p>
    <w:p w14:paraId="7451BA3B">
      <w:pPr>
        <w:widowControl/>
        <w:jc w:val="left"/>
        <w:rPr>
          <w:rFonts w:eastAsia="仿宋_GB2312"/>
          <w:sz w:val="32"/>
          <w:szCs w:val="32"/>
        </w:rPr>
      </w:pPr>
      <w:r>
        <w:rPr>
          <w:rFonts w:eastAsia="仿宋_GB2312"/>
          <w:sz w:val="32"/>
          <w:szCs w:val="32"/>
        </w:rPr>
        <w:t>附件</w:t>
      </w:r>
      <w:r>
        <w:rPr>
          <w:rFonts w:hint="eastAsia" w:eastAsia="仿宋_GB2312"/>
          <w:sz w:val="32"/>
          <w:szCs w:val="32"/>
        </w:rPr>
        <w:t>：</w:t>
      </w:r>
    </w:p>
    <w:tbl>
      <w:tblPr>
        <w:tblW w:w="1464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52"/>
        <w:gridCol w:w="3520"/>
        <w:gridCol w:w="707"/>
        <w:gridCol w:w="1036"/>
        <w:gridCol w:w="1480"/>
        <w:gridCol w:w="7254"/>
      </w:tblGrid>
      <w:tr w14:paraId="1EAD3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14649" w:type="dxa"/>
            <w:gridSpan w:val="6"/>
            <w:tcBorders>
              <w:top w:val="nil"/>
              <w:left w:val="nil"/>
              <w:bottom w:val="nil"/>
              <w:right w:val="nil"/>
            </w:tcBorders>
            <w:shd w:val="clear"/>
            <w:vAlign w:val="center"/>
          </w:tcPr>
          <w:p w14:paraId="3BC5C74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岳阳市岳阳楼区城东片区排水管网改造工程概算总投资汇总表</w:t>
            </w:r>
          </w:p>
        </w:tc>
      </w:tr>
      <w:tr w14:paraId="15ECC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D3A6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序号</w:t>
            </w:r>
          </w:p>
        </w:tc>
        <w:tc>
          <w:tcPr>
            <w:tcW w:w="3520" w:type="dxa"/>
            <w:vMerge w:val="restart"/>
            <w:tcBorders>
              <w:top w:val="single" w:color="000000" w:sz="4" w:space="0"/>
              <w:left w:val="single" w:color="000000" w:sz="4" w:space="0"/>
              <w:bottom w:val="single" w:color="000000" w:sz="4" w:space="0"/>
              <w:right w:val="single" w:color="000000" w:sz="4" w:space="0"/>
            </w:tcBorders>
            <w:shd w:val="clear"/>
            <w:vAlign w:val="center"/>
          </w:tcPr>
          <w:p w14:paraId="642F3BC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工程或费用名称</w:t>
            </w:r>
          </w:p>
        </w:tc>
        <w:tc>
          <w:tcPr>
            <w:tcW w:w="707" w:type="dxa"/>
            <w:vMerge w:val="restart"/>
            <w:tcBorders>
              <w:top w:val="single" w:color="000000" w:sz="4" w:space="0"/>
              <w:left w:val="single" w:color="000000" w:sz="4" w:space="0"/>
              <w:bottom w:val="single" w:color="000000" w:sz="4" w:space="0"/>
              <w:right w:val="single" w:color="000000" w:sz="4" w:space="0"/>
            </w:tcBorders>
            <w:shd w:val="clear"/>
            <w:vAlign w:val="center"/>
          </w:tcPr>
          <w:p w14:paraId="2A7E4FB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单位</w:t>
            </w:r>
          </w:p>
        </w:tc>
        <w:tc>
          <w:tcPr>
            <w:tcW w:w="1036" w:type="dxa"/>
            <w:vMerge w:val="restart"/>
            <w:tcBorders>
              <w:top w:val="single" w:color="000000" w:sz="4" w:space="0"/>
              <w:left w:val="single" w:color="000000" w:sz="4" w:space="0"/>
              <w:bottom w:val="single" w:color="000000" w:sz="4" w:space="0"/>
              <w:right w:val="nil"/>
            </w:tcBorders>
            <w:shd w:val="clear"/>
            <w:vAlign w:val="center"/>
          </w:tcPr>
          <w:p w14:paraId="680A017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数量</w:t>
            </w:r>
          </w:p>
        </w:tc>
        <w:tc>
          <w:tcPr>
            <w:tcW w:w="1480" w:type="dxa"/>
            <w:tcBorders>
              <w:top w:val="single" w:color="000000" w:sz="4" w:space="0"/>
              <w:left w:val="single" w:color="000000" w:sz="4" w:space="0"/>
              <w:bottom w:val="nil"/>
              <w:right w:val="single" w:color="000000" w:sz="4" w:space="0"/>
            </w:tcBorders>
            <w:shd w:val="clear"/>
            <w:vAlign w:val="center"/>
          </w:tcPr>
          <w:p w14:paraId="5E05A1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批复金额</w:t>
            </w:r>
          </w:p>
        </w:tc>
        <w:tc>
          <w:tcPr>
            <w:tcW w:w="725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E3F44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备注</w:t>
            </w:r>
          </w:p>
        </w:tc>
      </w:tr>
      <w:tr w14:paraId="70B5B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52417A">
            <w:pPr>
              <w:jc w:val="center"/>
              <w:rPr>
                <w:rFonts w:hint="eastAsia" w:ascii="宋体" w:hAnsi="宋体" w:eastAsia="宋体" w:cs="宋体"/>
                <w:b/>
                <w:bCs/>
                <w:i w:val="0"/>
                <w:iCs w:val="0"/>
                <w:color w:val="000000"/>
                <w:sz w:val="24"/>
                <w:szCs w:val="24"/>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A7B320">
            <w:pPr>
              <w:jc w:val="center"/>
              <w:rPr>
                <w:rFonts w:hint="eastAsia" w:ascii="宋体" w:hAnsi="宋体" w:eastAsia="宋体" w:cs="宋体"/>
                <w:b/>
                <w:bCs/>
                <w:i w:val="0"/>
                <w:iCs w:val="0"/>
                <w:color w:val="000000"/>
                <w:sz w:val="24"/>
                <w:szCs w:val="24"/>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50AA60">
            <w:pPr>
              <w:jc w:val="center"/>
              <w:rPr>
                <w:rFonts w:hint="eastAsia" w:ascii="宋体" w:hAnsi="宋体" w:eastAsia="宋体" w:cs="宋体"/>
                <w:b/>
                <w:bCs/>
                <w:i w:val="0"/>
                <w:iCs w:val="0"/>
                <w:color w:val="000000"/>
                <w:sz w:val="24"/>
                <w:szCs w:val="24"/>
                <w:u w:val="none"/>
              </w:rPr>
            </w:pPr>
          </w:p>
        </w:tc>
        <w:tc>
          <w:tcPr>
            <w:tcW w:w="1036" w:type="dxa"/>
            <w:vMerge w:val="continue"/>
            <w:tcBorders>
              <w:top w:val="single" w:color="000000" w:sz="4" w:space="0"/>
              <w:left w:val="single" w:color="000000" w:sz="4" w:space="0"/>
              <w:bottom w:val="single" w:color="000000" w:sz="4" w:space="0"/>
              <w:right w:val="nil"/>
            </w:tcBorders>
            <w:shd w:val="clear"/>
            <w:vAlign w:val="center"/>
          </w:tcPr>
          <w:p w14:paraId="107036A6">
            <w:pPr>
              <w:jc w:val="center"/>
              <w:rPr>
                <w:rFonts w:hint="eastAsia" w:ascii="宋体" w:hAnsi="宋体" w:eastAsia="宋体" w:cs="宋体"/>
                <w:b/>
                <w:bCs/>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5B7E4D0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（万元）</w:t>
            </w:r>
          </w:p>
        </w:tc>
        <w:tc>
          <w:tcPr>
            <w:tcW w:w="725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3B49C9">
            <w:pPr>
              <w:jc w:val="center"/>
              <w:rPr>
                <w:rFonts w:hint="eastAsia" w:ascii="宋体" w:hAnsi="宋体" w:eastAsia="宋体" w:cs="宋体"/>
                <w:b/>
                <w:bCs/>
                <w:i w:val="0"/>
                <w:iCs w:val="0"/>
                <w:color w:val="000000"/>
                <w:sz w:val="24"/>
                <w:szCs w:val="24"/>
                <w:u w:val="none"/>
              </w:rPr>
            </w:pPr>
          </w:p>
        </w:tc>
      </w:tr>
      <w:tr w14:paraId="67288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6DFFC273">
            <w:pPr>
              <w:jc w:val="center"/>
              <w:rPr>
                <w:rFonts w:hint="eastAsia" w:ascii="宋体" w:hAnsi="宋体" w:eastAsia="宋体" w:cs="宋体"/>
                <w:b/>
                <w:bCs/>
                <w:i w:val="0"/>
                <w:iCs w:val="0"/>
                <w:color w:val="000000"/>
                <w:sz w:val="24"/>
                <w:szCs w:val="24"/>
                <w:u w:val="none"/>
              </w:rPr>
            </w:pP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76BB8F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概算总投资</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1DAB6A11">
            <w:pPr>
              <w:jc w:val="center"/>
              <w:rPr>
                <w:rFonts w:hint="eastAsia" w:ascii="宋体" w:hAnsi="宋体" w:eastAsia="宋体" w:cs="宋体"/>
                <w:i w:val="0"/>
                <w:iCs w:val="0"/>
                <w:color w:val="000000"/>
                <w:sz w:val="24"/>
                <w:szCs w:val="24"/>
                <w:u w:val="none"/>
              </w:rPr>
            </w:pP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67D65383">
            <w:pPr>
              <w:jc w:val="center"/>
              <w:rPr>
                <w:rFonts w:hint="eastAsia" w:ascii="宋体" w:hAnsi="宋体" w:eastAsia="宋体" w:cs="宋体"/>
                <w:i w:val="0"/>
                <w:iCs w:val="0"/>
                <w:color w:val="000000"/>
                <w:sz w:val="24"/>
                <w:szCs w:val="24"/>
                <w:u w:val="none"/>
              </w:rPr>
            </w:pPr>
          </w:p>
        </w:tc>
        <w:tc>
          <w:tcPr>
            <w:tcW w:w="1480" w:type="dxa"/>
            <w:tcBorders>
              <w:top w:val="nil"/>
              <w:left w:val="single" w:color="000000" w:sz="4" w:space="0"/>
              <w:bottom w:val="single" w:color="000000" w:sz="4" w:space="0"/>
              <w:right w:val="single" w:color="000000" w:sz="4" w:space="0"/>
            </w:tcBorders>
            <w:shd w:val="clear"/>
            <w:vAlign w:val="center"/>
          </w:tcPr>
          <w:p w14:paraId="3BD7D9C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 xml:space="preserve">4805.77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06B49FF4">
            <w:pPr>
              <w:jc w:val="center"/>
              <w:rPr>
                <w:rFonts w:hint="eastAsia" w:ascii="宋体" w:hAnsi="宋体" w:eastAsia="宋体" w:cs="宋体"/>
                <w:b/>
                <w:bCs/>
                <w:i w:val="0"/>
                <w:iCs w:val="0"/>
                <w:color w:val="000000"/>
                <w:sz w:val="24"/>
                <w:szCs w:val="24"/>
                <w:u w:val="none"/>
              </w:rPr>
            </w:pPr>
          </w:p>
        </w:tc>
      </w:tr>
      <w:tr w14:paraId="45F1E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3CF2B1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DA34C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工程费用</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2F01CBA6">
            <w:pPr>
              <w:jc w:val="center"/>
              <w:rPr>
                <w:rFonts w:hint="eastAsia" w:ascii="宋体" w:hAnsi="宋体" w:eastAsia="宋体" w:cs="宋体"/>
                <w:i w:val="0"/>
                <w:iCs w:val="0"/>
                <w:color w:val="000000"/>
                <w:sz w:val="24"/>
                <w:szCs w:val="24"/>
                <w:u w:val="none"/>
              </w:rPr>
            </w:pP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AE15749">
            <w:pPr>
              <w:jc w:val="center"/>
              <w:rPr>
                <w:rFonts w:hint="eastAsia" w:ascii="宋体" w:hAnsi="宋体" w:eastAsia="宋体" w:cs="宋体"/>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58F7B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 xml:space="preserve">4137.73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3C86F9E8">
            <w:pPr>
              <w:jc w:val="left"/>
              <w:rPr>
                <w:rFonts w:hint="eastAsia" w:ascii="宋体" w:hAnsi="宋体" w:eastAsia="宋体" w:cs="宋体"/>
                <w:b/>
                <w:bCs/>
                <w:i w:val="0"/>
                <w:iCs w:val="0"/>
                <w:color w:val="000000"/>
                <w:sz w:val="24"/>
                <w:szCs w:val="24"/>
                <w:u w:val="none"/>
              </w:rPr>
            </w:pPr>
          </w:p>
        </w:tc>
      </w:tr>
      <w:tr w14:paraId="31AF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32C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4DFA7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梅子柿社区</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10682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4A1C5E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4044.00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10C281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970.79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173113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主要包括：路面破除恢复9600㎡、UHMW-PTE方型增强排水管4044m、混凝土检查井42座、单户化粪池40座、联户化粪池15座、HDPE-M一体化收口检查井500座、一体化泵站2座。</w:t>
            </w:r>
          </w:p>
        </w:tc>
      </w:tr>
      <w:tr w14:paraId="5DDCA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01D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ACBB2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西塘社区</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29D85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37415B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1217.00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6B704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755.01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62D6AE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主要包括：路面破除恢复3840㎡、II级钢筋混凝土承插管637m、HDPE聚乙烯缠绕结构壁管580m、混凝土检查井32座、拉森钢板桩支撑1614.99t。</w:t>
            </w:r>
          </w:p>
        </w:tc>
      </w:tr>
      <w:tr w14:paraId="605F5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FCF0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3A76A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红盾新村</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F29A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60FDC3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2421.00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38B2E7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476.04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30C4EB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主要包括：路面破除恢复4300㎡、II级钢筋混凝土承插管124m、UHMW-PTE方型增强排水管2297m、混凝土检查井110座、单篦雨水口20座、横列板支撑775㎡。</w:t>
            </w:r>
          </w:p>
        </w:tc>
      </w:tr>
      <w:tr w14:paraId="704C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B3C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5691AA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廖家小区</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52803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D56C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2449.00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1989A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1208.81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55F64B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主要包括：路面破除恢复23414㎡、II级钢筋混凝土承插管546m、UHMW-PTE方型增强排水管1903m、混凝土检查井44座、单篦雨水口110座、横列板支撑3130㎡、绿化拆除恢复2500㎡。</w:t>
            </w:r>
          </w:p>
        </w:tc>
      </w:tr>
      <w:tr w14:paraId="1100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A45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B139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大桥新城</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19D88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61E85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882.00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716E8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180.41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3DA558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主要包括：路面破除恢复880㎡、II级钢筋混凝土承插管190m、UHMW-PTE方型增强排水管692m、混凝土检查井74座、更换沟盖板797m、管道清淤936m。</w:t>
            </w:r>
          </w:p>
        </w:tc>
      </w:tr>
      <w:tr w14:paraId="7A6F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1B65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9C73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瓦子坡路</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6BD44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m</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C8C9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215.00 </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720944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546.67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71F35E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主要包括：路面破除2912㎡、新建路面4475㎡、新建人行道2245㎡、路基换填6506.8m³、毛石混凝土挡土墙186m、铺草皮1200㎡、II级钢筋混凝土承插管188m、UHMW-PTE方型增强排水管27m、混凝土检查井5座、双篦雨水口11座、PE给水管133m、道路标线350㎡、道路标志牌10套、交通栏杆480m。</w:t>
            </w:r>
          </w:p>
        </w:tc>
      </w:tr>
      <w:tr w14:paraId="1C8B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65B986C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C75E9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工程建设其他费用</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8DAAA32">
            <w:pPr>
              <w:jc w:val="center"/>
              <w:rPr>
                <w:rFonts w:hint="eastAsia" w:ascii="宋体" w:hAnsi="宋体" w:eastAsia="宋体" w:cs="宋体"/>
                <w:i w:val="0"/>
                <w:iCs w:val="0"/>
                <w:color w:val="000000"/>
                <w:sz w:val="24"/>
                <w:szCs w:val="24"/>
                <w:u w:val="none"/>
              </w:rPr>
            </w:pP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14C3E84C">
            <w:pPr>
              <w:jc w:val="center"/>
              <w:rPr>
                <w:rFonts w:hint="eastAsia" w:ascii="宋体" w:hAnsi="宋体" w:eastAsia="宋体" w:cs="宋体"/>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798CDFA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 xml:space="preserve">439.19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54ED4861">
            <w:pPr>
              <w:jc w:val="left"/>
              <w:rPr>
                <w:rFonts w:hint="eastAsia" w:ascii="宋体" w:hAnsi="宋体" w:eastAsia="宋体" w:cs="宋体"/>
                <w:i w:val="0"/>
                <w:iCs w:val="0"/>
                <w:color w:val="000000"/>
                <w:sz w:val="24"/>
                <w:szCs w:val="24"/>
                <w:u w:val="none"/>
              </w:rPr>
            </w:pPr>
          </w:p>
        </w:tc>
      </w:tr>
      <w:tr w14:paraId="040A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57A50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3AA1F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建设单位管理费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B7DCC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AE4A7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3E7B9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33.53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2E9E1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财建〔2016〕504号文</w:t>
            </w:r>
          </w:p>
        </w:tc>
      </w:tr>
      <w:tr w14:paraId="6A90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3AF6C7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25E2B8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招标代理服务费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73726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65DD6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02B321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15.77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09A8A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计价格〔2002〕1980号文</w:t>
            </w:r>
          </w:p>
        </w:tc>
      </w:tr>
      <w:tr w14:paraId="1C208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2CB866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00B3EB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建设工程交易服务费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232CB8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32742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43C1C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1.96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528D6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湘发改价费〔2019〕366 号</w:t>
            </w:r>
          </w:p>
        </w:tc>
      </w:tr>
      <w:tr w14:paraId="32A6A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05865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0452A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工程概算编制</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7E0556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40C09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5C934F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4.53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4B277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湘建价协〔2016〕25号文</w:t>
            </w:r>
          </w:p>
        </w:tc>
      </w:tr>
      <w:tr w14:paraId="13224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57E222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424A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工程预算编制</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68D0DF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70812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481FE6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12.31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1A8AF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湘建价协〔2016〕25号文</w:t>
            </w:r>
          </w:p>
        </w:tc>
      </w:tr>
      <w:tr w14:paraId="6F2D2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470DF8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585BF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全过程跟踪审计-B型</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59968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764908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71D84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43.44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6CB59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湘建价协〔2016〕25号文</w:t>
            </w:r>
          </w:p>
        </w:tc>
      </w:tr>
      <w:tr w14:paraId="6BFD7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2B709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4762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工程监理费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19868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4F1F63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768828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71.67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0111D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发改价格〔2007〕670号文</w:t>
            </w:r>
          </w:p>
        </w:tc>
      </w:tr>
      <w:tr w14:paraId="5C130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31A4B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3171CD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编制可行性研究报告</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79FE6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42DCC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2F55C5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11.62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4AA3A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〔2000〕湘价房字第95号文</w:t>
            </w:r>
          </w:p>
        </w:tc>
      </w:tr>
      <w:tr w14:paraId="120B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3E073C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A99E7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评估可行性研究报告</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7A895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129E9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5E5C3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4.50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02F1C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〔2000〕湘价房字第95号文</w:t>
            </w:r>
          </w:p>
        </w:tc>
      </w:tr>
      <w:tr w14:paraId="2A2C2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7AFB3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EDC1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工程勘察费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2C14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5571E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3C92B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45.51 </w:t>
            </w:r>
          </w:p>
        </w:tc>
        <w:tc>
          <w:tcPr>
            <w:tcW w:w="7254" w:type="dxa"/>
            <w:tcBorders>
              <w:top w:val="single" w:color="000000" w:sz="4" w:space="0"/>
              <w:left w:val="single" w:color="000000" w:sz="4" w:space="0"/>
              <w:bottom w:val="single" w:color="000000" w:sz="4" w:space="0"/>
              <w:right w:val="single" w:color="000000" w:sz="4" w:space="0"/>
            </w:tcBorders>
            <w:shd w:val="clear"/>
            <w:noWrap/>
            <w:vAlign w:val="center"/>
          </w:tcPr>
          <w:p w14:paraId="29477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建标〔2011〕1号文</w:t>
            </w:r>
          </w:p>
        </w:tc>
      </w:tr>
      <w:tr w14:paraId="1B531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6FD70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7728F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工程设计费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610F1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ACFA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1BC4A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96.59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597B9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计价格〔2002〕10号文</w:t>
            </w:r>
          </w:p>
        </w:tc>
      </w:tr>
      <w:tr w14:paraId="29EA8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2F202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2A0A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环境影响咨询服务费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6816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7109B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4D0DFF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4.94 </w:t>
            </w:r>
          </w:p>
        </w:tc>
        <w:tc>
          <w:tcPr>
            <w:tcW w:w="7254" w:type="dxa"/>
            <w:tcBorders>
              <w:top w:val="single" w:color="000000" w:sz="4" w:space="0"/>
              <w:left w:val="single" w:color="000000" w:sz="4" w:space="0"/>
              <w:bottom w:val="single" w:color="000000" w:sz="4" w:space="0"/>
              <w:right w:val="single" w:color="000000" w:sz="4" w:space="0"/>
            </w:tcBorders>
            <w:shd w:val="clear"/>
            <w:noWrap/>
            <w:vAlign w:val="center"/>
          </w:tcPr>
          <w:p w14:paraId="5F879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计价格〔2002〕125号文</w:t>
            </w:r>
          </w:p>
        </w:tc>
      </w:tr>
      <w:tr w14:paraId="25789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5FD6C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553E6E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工程质量检测费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3F9A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11BD86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3E2A4D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24.82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2A677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工程费用×0.6%</w:t>
            </w:r>
          </w:p>
        </w:tc>
      </w:tr>
      <w:tr w14:paraId="13F0D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3379C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6365BF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工程测量费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26F25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52A52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0C741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24.00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6FCE130E">
            <w:pPr>
              <w:jc w:val="center"/>
              <w:rPr>
                <w:rFonts w:hint="eastAsia" w:ascii="宋体" w:hAnsi="宋体" w:eastAsia="宋体" w:cs="宋体"/>
                <w:i w:val="0"/>
                <w:iCs w:val="0"/>
                <w:color w:val="000000"/>
                <w:sz w:val="20"/>
                <w:szCs w:val="20"/>
                <w:u w:val="none"/>
              </w:rPr>
            </w:pPr>
          </w:p>
        </w:tc>
      </w:tr>
      <w:tr w14:paraId="6898E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1B5B71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7F3BC1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工程物探费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11E279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5F81F5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4D4DB9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24.00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44B8CCBC">
            <w:pPr>
              <w:jc w:val="center"/>
              <w:rPr>
                <w:rFonts w:hint="eastAsia" w:ascii="宋体" w:hAnsi="宋体" w:eastAsia="宋体" w:cs="宋体"/>
                <w:i w:val="0"/>
                <w:iCs w:val="0"/>
                <w:color w:val="000000"/>
                <w:sz w:val="20"/>
                <w:szCs w:val="20"/>
                <w:u w:val="none"/>
              </w:rPr>
            </w:pPr>
          </w:p>
        </w:tc>
      </w:tr>
      <w:tr w14:paraId="71585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285EC0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775D3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房屋沉降观测费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70CAB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1484E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4D591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20.00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534AF44A">
            <w:pPr>
              <w:jc w:val="center"/>
              <w:rPr>
                <w:rFonts w:hint="eastAsia" w:ascii="宋体" w:hAnsi="宋体" w:eastAsia="宋体" w:cs="宋体"/>
                <w:i w:val="0"/>
                <w:iCs w:val="0"/>
                <w:color w:val="000000"/>
                <w:sz w:val="20"/>
                <w:szCs w:val="20"/>
                <w:u w:val="none"/>
              </w:rPr>
            </w:pPr>
          </w:p>
        </w:tc>
      </w:tr>
      <w:tr w14:paraId="7C994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16899F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4B0EF7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预 备 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DD4EDE6">
            <w:pPr>
              <w:jc w:val="center"/>
              <w:rPr>
                <w:rFonts w:hint="eastAsia" w:ascii="宋体" w:hAnsi="宋体" w:eastAsia="宋体" w:cs="宋体"/>
                <w:i w:val="0"/>
                <w:iCs w:val="0"/>
                <w:color w:val="000000"/>
                <w:sz w:val="24"/>
                <w:szCs w:val="24"/>
                <w:u w:val="none"/>
              </w:rPr>
            </w:pP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8827955">
            <w:pPr>
              <w:jc w:val="center"/>
              <w:rPr>
                <w:rFonts w:hint="eastAsia" w:ascii="宋体" w:hAnsi="宋体" w:eastAsia="宋体" w:cs="宋体"/>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3F4BE5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 xml:space="preserve">228.85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4A2F2C1C">
            <w:pPr>
              <w:jc w:val="left"/>
              <w:rPr>
                <w:rFonts w:hint="eastAsia" w:ascii="宋体" w:hAnsi="宋体" w:eastAsia="宋体" w:cs="宋体"/>
                <w:b/>
                <w:bCs/>
                <w:i w:val="0"/>
                <w:iCs w:val="0"/>
                <w:color w:val="000000"/>
                <w:sz w:val="24"/>
                <w:szCs w:val="24"/>
                <w:u w:val="none"/>
              </w:rPr>
            </w:pPr>
          </w:p>
        </w:tc>
      </w:tr>
      <w:tr w14:paraId="178E2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7ABD6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5B3D1C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基本预备费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37978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17A91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2C2A90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228.85 </w:t>
            </w: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02981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 + 二）×5%</w:t>
            </w:r>
          </w:p>
        </w:tc>
      </w:tr>
      <w:tr w14:paraId="6F173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2" w:type="dxa"/>
            <w:tcBorders>
              <w:top w:val="single" w:color="000000" w:sz="4" w:space="0"/>
              <w:left w:val="single" w:color="000000" w:sz="4" w:space="0"/>
              <w:bottom w:val="single" w:color="000000" w:sz="4" w:space="0"/>
              <w:right w:val="single" w:color="000000" w:sz="4" w:space="0"/>
            </w:tcBorders>
            <w:shd w:val="clear"/>
            <w:vAlign w:val="center"/>
          </w:tcPr>
          <w:p w14:paraId="55FCF6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520" w:type="dxa"/>
            <w:tcBorders>
              <w:top w:val="single" w:color="000000" w:sz="4" w:space="0"/>
              <w:left w:val="single" w:color="000000" w:sz="4" w:space="0"/>
              <w:bottom w:val="single" w:color="000000" w:sz="4" w:space="0"/>
              <w:right w:val="single" w:color="000000" w:sz="4" w:space="0"/>
            </w:tcBorders>
            <w:shd w:val="clear"/>
            <w:vAlign w:val="center"/>
          </w:tcPr>
          <w:p w14:paraId="1BA63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价差预备费</w:t>
            </w:r>
          </w:p>
        </w:tc>
        <w:tc>
          <w:tcPr>
            <w:tcW w:w="707" w:type="dxa"/>
            <w:tcBorders>
              <w:top w:val="single" w:color="000000" w:sz="4" w:space="0"/>
              <w:left w:val="single" w:color="000000" w:sz="4" w:space="0"/>
              <w:bottom w:val="single" w:color="000000" w:sz="4" w:space="0"/>
              <w:right w:val="single" w:color="000000" w:sz="4" w:space="0"/>
            </w:tcBorders>
            <w:shd w:val="clear"/>
            <w:vAlign w:val="center"/>
          </w:tcPr>
          <w:p w14:paraId="06911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14:paraId="0AE2DE68">
            <w:pPr>
              <w:jc w:val="center"/>
              <w:rPr>
                <w:rFonts w:hint="eastAsia" w:ascii="宋体" w:hAnsi="宋体" w:eastAsia="宋体" w:cs="宋体"/>
                <w:i w:val="0"/>
                <w:iCs w:val="0"/>
                <w:color w:val="000000"/>
                <w:sz w:val="22"/>
                <w:szCs w:val="22"/>
                <w:u w:val="none"/>
              </w:rPr>
            </w:pPr>
          </w:p>
        </w:tc>
        <w:tc>
          <w:tcPr>
            <w:tcW w:w="1480" w:type="dxa"/>
            <w:tcBorders>
              <w:top w:val="single" w:color="000000" w:sz="4" w:space="0"/>
              <w:left w:val="single" w:color="000000" w:sz="4" w:space="0"/>
              <w:bottom w:val="single" w:color="000000" w:sz="4" w:space="0"/>
              <w:right w:val="single" w:color="000000" w:sz="4" w:space="0"/>
            </w:tcBorders>
            <w:shd w:val="clear"/>
            <w:vAlign w:val="center"/>
          </w:tcPr>
          <w:p w14:paraId="53B85158">
            <w:pPr>
              <w:jc w:val="center"/>
              <w:rPr>
                <w:rFonts w:hint="eastAsia" w:ascii="宋体" w:hAnsi="宋体" w:eastAsia="宋体" w:cs="宋体"/>
                <w:i w:val="0"/>
                <w:iCs w:val="0"/>
                <w:color w:val="000000"/>
                <w:sz w:val="22"/>
                <w:szCs w:val="22"/>
                <w:u w:val="none"/>
              </w:rPr>
            </w:pPr>
          </w:p>
        </w:tc>
        <w:tc>
          <w:tcPr>
            <w:tcW w:w="7254" w:type="dxa"/>
            <w:tcBorders>
              <w:top w:val="single" w:color="000000" w:sz="4" w:space="0"/>
              <w:left w:val="single" w:color="000000" w:sz="4" w:space="0"/>
              <w:bottom w:val="single" w:color="000000" w:sz="4" w:space="0"/>
              <w:right w:val="single" w:color="000000" w:sz="4" w:space="0"/>
            </w:tcBorders>
            <w:shd w:val="clear"/>
            <w:vAlign w:val="center"/>
          </w:tcPr>
          <w:p w14:paraId="7E20601F">
            <w:pPr>
              <w:jc w:val="center"/>
              <w:rPr>
                <w:rFonts w:hint="eastAsia" w:ascii="宋体" w:hAnsi="宋体" w:eastAsia="宋体" w:cs="宋体"/>
                <w:i w:val="0"/>
                <w:iCs w:val="0"/>
                <w:color w:val="000000"/>
                <w:sz w:val="20"/>
                <w:szCs w:val="20"/>
                <w:u w:val="none"/>
              </w:rPr>
            </w:pPr>
          </w:p>
        </w:tc>
      </w:tr>
    </w:tbl>
    <w:p w14:paraId="1FE84CBC">
      <w:pPr>
        <w:spacing w:line="20" w:lineRule="exact"/>
      </w:pPr>
    </w:p>
    <w:sectPr>
      <w:pgSz w:w="16838" w:h="11906" w:orient="landscape"/>
      <w:pgMar w:top="1417" w:right="1134" w:bottom="1417"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5ZWRjMmQyNDgzNzhmMTliNDM4NTk4MzUxN2M3MTYifQ=="/>
  </w:docVars>
  <w:rsids>
    <w:rsidRoot w:val="005E4E1B"/>
    <w:rsid w:val="000268B9"/>
    <w:rsid w:val="00192344"/>
    <w:rsid w:val="001C0B9A"/>
    <w:rsid w:val="002A49FA"/>
    <w:rsid w:val="002B416D"/>
    <w:rsid w:val="00441DB9"/>
    <w:rsid w:val="0057769E"/>
    <w:rsid w:val="005E4E1B"/>
    <w:rsid w:val="00664824"/>
    <w:rsid w:val="006E52EF"/>
    <w:rsid w:val="00794EBC"/>
    <w:rsid w:val="00A009A7"/>
    <w:rsid w:val="00AC0F5E"/>
    <w:rsid w:val="00AC3285"/>
    <w:rsid w:val="00BB1F70"/>
    <w:rsid w:val="00C5386E"/>
    <w:rsid w:val="00C64486"/>
    <w:rsid w:val="00D75AEC"/>
    <w:rsid w:val="00D84197"/>
    <w:rsid w:val="00F25348"/>
    <w:rsid w:val="02E37EE5"/>
    <w:rsid w:val="04A07CE3"/>
    <w:rsid w:val="051F5C8D"/>
    <w:rsid w:val="08A87760"/>
    <w:rsid w:val="08AE799B"/>
    <w:rsid w:val="08EE57F5"/>
    <w:rsid w:val="0A053E70"/>
    <w:rsid w:val="0A607248"/>
    <w:rsid w:val="0B31751C"/>
    <w:rsid w:val="0C6B635F"/>
    <w:rsid w:val="0CEE31B2"/>
    <w:rsid w:val="0E103ABA"/>
    <w:rsid w:val="0E1269DB"/>
    <w:rsid w:val="0E935736"/>
    <w:rsid w:val="0F3D4CD5"/>
    <w:rsid w:val="0F563DAC"/>
    <w:rsid w:val="0F981A81"/>
    <w:rsid w:val="0F9937DA"/>
    <w:rsid w:val="12761EEC"/>
    <w:rsid w:val="12E935B8"/>
    <w:rsid w:val="16DB7E77"/>
    <w:rsid w:val="19116BA6"/>
    <w:rsid w:val="1C8F7031"/>
    <w:rsid w:val="1D7440AA"/>
    <w:rsid w:val="1F602CDA"/>
    <w:rsid w:val="23157667"/>
    <w:rsid w:val="25167B65"/>
    <w:rsid w:val="25950EC6"/>
    <w:rsid w:val="26550749"/>
    <w:rsid w:val="2660391B"/>
    <w:rsid w:val="26D933C9"/>
    <w:rsid w:val="27D6473F"/>
    <w:rsid w:val="2B227858"/>
    <w:rsid w:val="2FCF0DB2"/>
    <w:rsid w:val="3122416C"/>
    <w:rsid w:val="36BD37C8"/>
    <w:rsid w:val="38D968B4"/>
    <w:rsid w:val="3AE85CCA"/>
    <w:rsid w:val="3B0C6262"/>
    <w:rsid w:val="3BEC6FC8"/>
    <w:rsid w:val="3CAB1DC2"/>
    <w:rsid w:val="3E6D2884"/>
    <w:rsid w:val="3F684E2A"/>
    <w:rsid w:val="40FE2ED4"/>
    <w:rsid w:val="41223E47"/>
    <w:rsid w:val="422F599F"/>
    <w:rsid w:val="43C33890"/>
    <w:rsid w:val="467D4DFE"/>
    <w:rsid w:val="46D64BC2"/>
    <w:rsid w:val="4B055C10"/>
    <w:rsid w:val="4C8438A3"/>
    <w:rsid w:val="4DB32070"/>
    <w:rsid w:val="515D3987"/>
    <w:rsid w:val="53AC2490"/>
    <w:rsid w:val="58D37622"/>
    <w:rsid w:val="592F2734"/>
    <w:rsid w:val="59E65D65"/>
    <w:rsid w:val="5A6C00A1"/>
    <w:rsid w:val="60930EFE"/>
    <w:rsid w:val="62F847F0"/>
    <w:rsid w:val="653F76AE"/>
    <w:rsid w:val="65844FA8"/>
    <w:rsid w:val="6986342A"/>
    <w:rsid w:val="6F6A2D9C"/>
    <w:rsid w:val="70ED419B"/>
    <w:rsid w:val="717C1040"/>
    <w:rsid w:val="72520F78"/>
    <w:rsid w:val="78B718AD"/>
    <w:rsid w:val="7D9D4282"/>
    <w:rsid w:val="7DBD6DA0"/>
    <w:rsid w:val="7F6B3CA0"/>
    <w:rsid w:val="7F94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0"/>
    <w:pPr>
      <w:keepNext/>
      <w:keepLines/>
      <w:tabs>
        <w:tab w:val="left" w:pos="864"/>
      </w:tabs>
      <w:ind w:left="864" w:hanging="144"/>
      <w:outlineLvl w:val="3"/>
    </w:pPr>
    <w:rPr>
      <w:rFonts w:ascii="Arial" w:hAnsi="Arial"/>
      <w:bCs/>
      <w:sz w:val="28"/>
      <w:szCs w:val="28"/>
    </w:rPr>
  </w:style>
  <w:style w:type="paragraph" w:styleId="3">
    <w:name w:val="heading 6"/>
    <w:basedOn w:val="1"/>
    <w:next w:val="1"/>
    <w:autoRedefine/>
    <w:semiHidden/>
    <w:unhideWhenUsed/>
    <w:qFormat/>
    <w:uiPriority w:val="0"/>
    <w:pPr>
      <w:jc w:val="left"/>
      <w:outlineLvl w:val="5"/>
    </w:pPr>
    <w:rPr>
      <w:rFonts w:hint="eastAsia" w:ascii="宋体" w:hAnsi="宋体"/>
      <w:b/>
      <w:bCs/>
      <w:kern w:val="0"/>
      <w:sz w:val="15"/>
      <w:szCs w:val="15"/>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23"/>
    <w:autoRedefine/>
    <w:qFormat/>
    <w:uiPriority w:val="0"/>
    <w:pPr>
      <w:tabs>
        <w:tab w:val="center" w:pos="4153"/>
        <w:tab w:val="right" w:pos="8306"/>
      </w:tabs>
      <w:snapToGrid w:val="0"/>
      <w:jc w:val="left"/>
    </w:pPr>
    <w:rPr>
      <w:sz w:val="18"/>
      <w:szCs w:val="18"/>
    </w:rPr>
  </w:style>
  <w:style w:type="paragraph" w:styleId="5">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jc w:val="left"/>
    </w:pPr>
    <w:rPr>
      <w:kern w:val="0"/>
      <w:sz w:val="24"/>
    </w:rPr>
  </w:style>
  <w:style w:type="character" w:styleId="9">
    <w:name w:val="Strong"/>
    <w:basedOn w:val="8"/>
    <w:autoRedefine/>
    <w:qFormat/>
    <w:uiPriority w:val="0"/>
    <w:rPr>
      <w:b/>
      <w:bCs/>
    </w:rPr>
  </w:style>
  <w:style w:type="character" w:styleId="10">
    <w:name w:val="FollowedHyperlink"/>
    <w:basedOn w:val="8"/>
    <w:autoRedefine/>
    <w:qFormat/>
    <w:uiPriority w:val="0"/>
    <w:rPr>
      <w:color w:val="800080"/>
      <w:u w:val="none"/>
    </w:rPr>
  </w:style>
  <w:style w:type="character" w:styleId="11">
    <w:name w:val="Hyperlink"/>
    <w:basedOn w:val="8"/>
    <w:autoRedefine/>
    <w:qFormat/>
    <w:uiPriority w:val="0"/>
    <w:rPr>
      <w:color w:val="0000FF"/>
      <w:u w:val="none"/>
    </w:rPr>
  </w:style>
  <w:style w:type="character" w:styleId="12">
    <w:name w:val="HTML Code"/>
    <w:basedOn w:val="8"/>
    <w:autoRedefine/>
    <w:qFormat/>
    <w:uiPriority w:val="0"/>
    <w:rPr>
      <w:rFonts w:hint="default" w:ascii="monospace" w:hAnsi="monospace" w:eastAsia="monospace" w:cs="monospace"/>
      <w:sz w:val="21"/>
      <w:szCs w:val="21"/>
    </w:rPr>
  </w:style>
  <w:style w:type="character" w:styleId="13">
    <w:name w:val="HTML Keyboard"/>
    <w:basedOn w:val="8"/>
    <w:autoRedefine/>
    <w:qFormat/>
    <w:uiPriority w:val="0"/>
    <w:rPr>
      <w:rFonts w:ascii="monospace" w:hAnsi="monospace" w:eastAsia="monospace" w:cs="monospace"/>
      <w:sz w:val="21"/>
      <w:szCs w:val="21"/>
    </w:rPr>
  </w:style>
  <w:style w:type="character" w:styleId="14">
    <w:name w:val="HTML Sample"/>
    <w:basedOn w:val="8"/>
    <w:autoRedefine/>
    <w:qFormat/>
    <w:uiPriority w:val="0"/>
    <w:rPr>
      <w:rFonts w:hint="default" w:ascii="monospace" w:hAnsi="monospace" w:eastAsia="monospace" w:cs="monospace"/>
      <w:sz w:val="21"/>
      <w:szCs w:val="21"/>
    </w:rPr>
  </w:style>
  <w:style w:type="character" w:customStyle="1" w:styleId="15">
    <w:name w:val="not([class*=suffix])"/>
    <w:basedOn w:val="8"/>
    <w:autoRedefine/>
    <w:qFormat/>
    <w:uiPriority w:val="0"/>
    <w:rPr>
      <w:sz w:val="19"/>
      <w:szCs w:val="19"/>
    </w:rPr>
  </w:style>
  <w:style w:type="character" w:customStyle="1" w:styleId="16">
    <w:name w:val="not([class*=suffix])1"/>
    <w:basedOn w:val="8"/>
    <w:autoRedefine/>
    <w:qFormat/>
    <w:uiPriority w:val="0"/>
  </w:style>
  <w:style w:type="character" w:customStyle="1" w:styleId="17">
    <w:name w:val="not([class*=suffix])2"/>
    <w:basedOn w:val="8"/>
    <w:autoRedefine/>
    <w:qFormat/>
    <w:uiPriority w:val="0"/>
  </w:style>
  <w:style w:type="character" w:customStyle="1" w:styleId="18">
    <w:name w:val="font11"/>
    <w:basedOn w:val="8"/>
    <w:autoRedefine/>
    <w:qFormat/>
    <w:uiPriority w:val="0"/>
    <w:rPr>
      <w:rFonts w:hint="eastAsia" w:ascii="宋体" w:hAnsi="宋体" w:eastAsia="宋体" w:cs="宋体"/>
      <w:color w:val="000000"/>
      <w:sz w:val="22"/>
      <w:szCs w:val="22"/>
      <w:u w:val="none"/>
    </w:rPr>
  </w:style>
  <w:style w:type="character" w:customStyle="1" w:styleId="19">
    <w:name w:val="font31"/>
    <w:basedOn w:val="8"/>
    <w:autoRedefine/>
    <w:qFormat/>
    <w:uiPriority w:val="0"/>
    <w:rPr>
      <w:rFonts w:hint="eastAsia" w:ascii="宋体" w:hAnsi="宋体" w:eastAsia="宋体" w:cs="宋体"/>
      <w:color w:val="000000"/>
      <w:sz w:val="22"/>
      <w:szCs w:val="22"/>
      <w:u w:val="none"/>
    </w:rPr>
  </w:style>
  <w:style w:type="character" w:customStyle="1" w:styleId="20">
    <w:name w:val="font51"/>
    <w:basedOn w:val="8"/>
    <w:autoRedefine/>
    <w:qFormat/>
    <w:uiPriority w:val="0"/>
    <w:rPr>
      <w:rFonts w:hint="eastAsia" w:ascii="宋体" w:hAnsi="宋体" w:eastAsia="宋体" w:cs="宋体"/>
      <w:color w:val="FF0000"/>
      <w:sz w:val="20"/>
      <w:szCs w:val="20"/>
      <w:u w:val="none"/>
    </w:rPr>
  </w:style>
  <w:style w:type="character" w:customStyle="1" w:styleId="21">
    <w:name w:val="font21"/>
    <w:basedOn w:val="8"/>
    <w:autoRedefine/>
    <w:qFormat/>
    <w:uiPriority w:val="0"/>
    <w:rPr>
      <w:rFonts w:hint="eastAsia" w:ascii="宋体" w:hAnsi="宋体" w:eastAsia="宋体" w:cs="宋体"/>
      <w:color w:val="FF0000"/>
      <w:sz w:val="20"/>
      <w:szCs w:val="20"/>
      <w:u w:val="none"/>
      <w:vertAlign w:val="superscript"/>
    </w:rPr>
  </w:style>
  <w:style w:type="character" w:customStyle="1" w:styleId="22">
    <w:name w:val="页眉 Char"/>
    <w:basedOn w:val="8"/>
    <w:link w:val="5"/>
    <w:autoRedefine/>
    <w:qFormat/>
    <w:uiPriority w:val="0"/>
    <w:rPr>
      <w:kern w:val="2"/>
      <w:sz w:val="18"/>
      <w:szCs w:val="18"/>
    </w:rPr>
  </w:style>
  <w:style w:type="character" w:customStyle="1" w:styleId="23">
    <w:name w:val="页脚 Char"/>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609</Words>
  <Characters>666</Characters>
  <Lines>13</Lines>
  <Paragraphs>3</Paragraphs>
  <TotalTime>17</TotalTime>
  <ScaleCrop>false</ScaleCrop>
  <LinksUpToDate>false</LinksUpToDate>
  <CharactersWithSpaces>696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2022-10-24T06:53:00Z</dcterms:created>
  <dc:creator>Administrator</dc:creator>
  <cp:lastModifiedBy>李志远</cp:lastModifiedBy>
  <cp:lastPrinted>2022-10-08T03:21:00Z</cp:lastPrinted>
  <dcterms:modified xsi:type="dcterms:W3CDTF">2026-07-23T08:43:07Z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4190D2AF443D42CC8C905B437405217C_13</vt:lpwstr>
  </property>
  <property fmtid="{D5CDD505-2E9C-101B-9397-08002B2CF9AE}" pid="4" name="KSOTemplateDocerSaveRecord">
    <vt:lpwstr>eyJoZGlkIjoiODliNGRhNzI5ZmM3MTc2YjkxMmYxZTQxYjVkMmFiNGIiLCJ1c2VySWQiOiI2OTkwNTMyMTAifQ==</vt:lpwstr>
  </property>
</Properties>
</file>