
<file path=[Content_Types].xml><?xml version="1.0" encoding="utf-8"?>
<Types xmlns="http://schemas.openxmlformats.org/package/2006/content-types">
  <Default Extension="png" ContentType="image/png"/>
  <Default Extension="jpeg" ContentType="image/jpeg"/>
  <Default Extension="JPG" ContentType="image/.jp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sdt>
      <w:sdtPr>
        <w:rPr>
          <w:rFonts w:hint="eastAsia" w:ascii="仿宋" w:hAnsi="仿宋" w:eastAsia="仿宋" w:cs="仿宋"/>
          <w:kern w:val="2"/>
          <w:sz w:val="21"/>
          <w:lang w:val="en-US" w:eastAsia="zh-CN" w:bidi="ar-SA"/>
        </w:rPr>
        <w:id w:val="147473610"/>
        <w15:color w:val="DBDBDB"/>
        <w:docPartObj>
          <w:docPartGallery w:val="Table of Contents"/>
          <w:docPartUnique/>
        </w:docPartObj>
      </w:sdtPr>
      <w:sdtEndPr>
        <w:rPr>
          <w:rFonts w:hint="eastAsia" w:ascii="仿宋" w:hAnsi="仿宋" w:eastAsia="仿宋" w:cs="仿宋"/>
          <w:color w:val="auto"/>
          <w:spacing w:val="40"/>
          <w:w w:val="95"/>
          <w:kern w:val="0"/>
          <w:sz w:val="25"/>
          <w:szCs w:val="25"/>
          <w:lang w:val="en-US" w:eastAsia="zh-CN" w:bidi="ar-SA"/>
        </w:rPr>
      </w:sdtEndPr>
      <w:sdtContent>
        <w:p w14:paraId="2CC53B2E">
          <w:pPr>
            <w:keepNext w:val="0"/>
            <w:keepLines w:val="0"/>
            <w:pageBreakBefore w:val="0"/>
            <w:widowControl w:val="0"/>
            <w:kinsoku/>
            <w:wordWrap/>
            <w:overflowPunct/>
            <w:topLinePunct w:val="0"/>
            <w:autoSpaceDE/>
            <w:autoSpaceDN/>
            <w:bidi w:val="0"/>
            <w:adjustRightInd/>
            <w:snapToGrid/>
            <w:spacing w:before="0" w:beforeLines="0" w:after="0" w:afterLines="0" w:line="360" w:lineRule="auto"/>
            <w:ind w:left="0" w:leftChars="0" w:right="0" w:rightChars="0" w:firstLine="0" w:firstLineChars="0"/>
            <w:jc w:val="center"/>
            <w:textAlignment w:val="auto"/>
            <w:rPr>
              <w:rFonts w:hint="eastAsia" w:ascii="仿宋" w:hAnsi="仿宋" w:eastAsia="仿宋" w:cs="仿宋"/>
              <w:sz w:val="24"/>
              <w:szCs w:val="24"/>
            </w:rPr>
          </w:pPr>
          <w:r>
            <w:rPr>
              <w:rFonts w:hint="eastAsia" w:ascii="仿宋" w:hAnsi="仿宋" w:eastAsia="仿宋" w:cs="仿宋"/>
              <w:sz w:val="28"/>
              <w:szCs w:val="28"/>
            </w:rPr>
            <w:t>目录</w:t>
          </w:r>
        </w:p>
        <w:p w14:paraId="4C394946">
          <w:pPr>
            <w:pStyle w:val="14"/>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color w:val="auto"/>
              <w:spacing w:val="40"/>
              <w:w w:val="95"/>
              <w:kern w:val="0"/>
              <w:sz w:val="24"/>
              <w:szCs w:val="24"/>
              <w:lang w:val="en-US" w:eastAsia="zh-CN" w:bidi="ar-SA"/>
            </w:rPr>
            <w:instrText xml:space="preserve">TOC \o "1-2" \h \u </w:instrText>
          </w:r>
          <w:r>
            <w:rPr>
              <w:rFonts w:hint="eastAsia" w:ascii="仿宋" w:hAnsi="仿宋" w:eastAsia="仿宋" w:cs="仿宋"/>
              <w:color w:val="auto"/>
              <w:spacing w:val="40"/>
              <w:w w:val="95"/>
              <w:kern w:val="0"/>
              <w:sz w:val="24"/>
              <w:szCs w:val="24"/>
              <w:lang w:val="en-US" w:eastAsia="zh-CN" w:bidi="ar-SA"/>
            </w:rPr>
            <w:fldChar w:fldCharType="separate"/>
          </w:r>
          <w:bookmarkStart w:id="229" w:name="_GoBack"/>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_Toc8691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sz w:val="24"/>
              <w:szCs w:val="24"/>
              <w:lang w:val="en-US" w:eastAsia="zh-CN"/>
            </w:rPr>
            <w:t>一、项目概述</w:t>
          </w:r>
          <w:r>
            <w:rPr>
              <w:sz w:val="24"/>
              <w:szCs w:val="24"/>
            </w:rPr>
            <w:tab/>
          </w:r>
          <w:r>
            <w:rPr>
              <w:sz w:val="24"/>
              <w:szCs w:val="24"/>
            </w:rPr>
            <w:fldChar w:fldCharType="begin"/>
          </w:r>
          <w:r>
            <w:rPr>
              <w:sz w:val="24"/>
              <w:szCs w:val="24"/>
            </w:rPr>
            <w:instrText xml:space="preserve"> PAGEREF _Toc8691 \h </w:instrText>
          </w:r>
          <w:r>
            <w:rPr>
              <w:sz w:val="24"/>
              <w:szCs w:val="24"/>
            </w:rPr>
            <w:fldChar w:fldCharType="separate"/>
          </w:r>
          <w:r>
            <w:rPr>
              <w:sz w:val="24"/>
              <w:szCs w:val="24"/>
            </w:rPr>
            <w:t>3</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0F0031CC">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_Toc10093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1.1. 工程概况</w:t>
          </w:r>
          <w:r>
            <w:rPr>
              <w:sz w:val="24"/>
              <w:szCs w:val="24"/>
            </w:rPr>
            <w:tab/>
          </w:r>
          <w:r>
            <w:rPr>
              <w:sz w:val="24"/>
              <w:szCs w:val="24"/>
            </w:rPr>
            <w:fldChar w:fldCharType="begin"/>
          </w:r>
          <w:r>
            <w:rPr>
              <w:sz w:val="24"/>
              <w:szCs w:val="24"/>
            </w:rPr>
            <w:instrText xml:space="preserve"> PAGEREF _Toc10093 \h </w:instrText>
          </w:r>
          <w:r>
            <w:rPr>
              <w:sz w:val="24"/>
              <w:szCs w:val="24"/>
            </w:rPr>
            <w:fldChar w:fldCharType="separate"/>
          </w:r>
          <w:r>
            <w:rPr>
              <w:sz w:val="24"/>
              <w:szCs w:val="24"/>
            </w:rPr>
            <w:t>3</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3E76D4A0">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_Toc3627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1.2. 设计规范、规程与技术标准</w:t>
          </w:r>
          <w:r>
            <w:rPr>
              <w:sz w:val="24"/>
              <w:szCs w:val="24"/>
            </w:rPr>
            <w:tab/>
          </w:r>
          <w:r>
            <w:rPr>
              <w:sz w:val="24"/>
              <w:szCs w:val="24"/>
            </w:rPr>
            <w:fldChar w:fldCharType="begin"/>
          </w:r>
          <w:r>
            <w:rPr>
              <w:sz w:val="24"/>
              <w:szCs w:val="24"/>
            </w:rPr>
            <w:instrText xml:space="preserve"> PAGEREF _Toc3627 \h </w:instrText>
          </w:r>
          <w:r>
            <w:rPr>
              <w:sz w:val="24"/>
              <w:szCs w:val="24"/>
            </w:rPr>
            <w:fldChar w:fldCharType="separate"/>
          </w:r>
          <w:r>
            <w:rPr>
              <w:sz w:val="24"/>
              <w:szCs w:val="24"/>
            </w:rPr>
            <w:t>4</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41B9D290">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_Toc10655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1.3.编制原则</w:t>
          </w:r>
          <w:r>
            <w:rPr>
              <w:sz w:val="24"/>
              <w:szCs w:val="24"/>
            </w:rPr>
            <w:tab/>
          </w:r>
          <w:r>
            <w:rPr>
              <w:sz w:val="24"/>
              <w:szCs w:val="24"/>
            </w:rPr>
            <w:fldChar w:fldCharType="begin"/>
          </w:r>
          <w:r>
            <w:rPr>
              <w:sz w:val="24"/>
              <w:szCs w:val="24"/>
            </w:rPr>
            <w:instrText xml:space="preserve"> PAGEREF _Toc10655 \h </w:instrText>
          </w:r>
          <w:r>
            <w:rPr>
              <w:sz w:val="24"/>
              <w:szCs w:val="24"/>
            </w:rPr>
            <w:fldChar w:fldCharType="separate"/>
          </w:r>
          <w:r>
            <w:rPr>
              <w:sz w:val="24"/>
              <w:szCs w:val="24"/>
            </w:rPr>
            <w:t>4</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7B6F9507">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_Toc2220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1.4.工程目标</w:t>
          </w:r>
          <w:r>
            <w:rPr>
              <w:sz w:val="24"/>
              <w:szCs w:val="24"/>
            </w:rPr>
            <w:tab/>
          </w:r>
          <w:r>
            <w:rPr>
              <w:sz w:val="24"/>
              <w:szCs w:val="24"/>
            </w:rPr>
            <w:fldChar w:fldCharType="begin"/>
          </w:r>
          <w:r>
            <w:rPr>
              <w:sz w:val="24"/>
              <w:szCs w:val="24"/>
            </w:rPr>
            <w:instrText xml:space="preserve"> PAGEREF _Toc2220 \h </w:instrText>
          </w:r>
          <w:r>
            <w:rPr>
              <w:sz w:val="24"/>
              <w:szCs w:val="24"/>
            </w:rPr>
            <w:fldChar w:fldCharType="separate"/>
          </w:r>
          <w:r>
            <w:rPr>
              <w:sz w:val="24"/>
              <w:szCs w:val="24"/>
            </w:rPr>
            <w:t>5</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74806AC3">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_Toc13820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1.5.主要内容</w:t>
          </w:r>
          <w:r>
            <w:rPr>
              <w:sz w:val="24"/>
              <w:szCs w:val="24"/>
            </w:rPr>
            <w:tab/>
          </w:r>
          <w:r>
            <w:rPr>
              <w:sz w:val="24"/>
              <w:szCs w:val="24"/>
            </w:rPr>
            <w:fldChar w:fldCharType="begin"/>
          </w:r>
          <w:r>
            <w:rPr>
              <w:sz w:val="24"/>
              <w:szCs w:val="24"/>
            </w:rPr>
            <w:instrText xml:space="preserve"> PAGEREF _Toc13820 \h </w:instrText>
          </w:r>
          <w:r>
            <w:rPr>
              <w:sz w:val="24"/>
              <w:szCs w:val="24"/>
            </w:rPr>
            <w:fldChar w:fldCharType="separate"/>
          </w:r>
          <w:r>
            <w:rPr>
              <w:sz w:val="24"/>
              <w:szCs w:val="24"/>
            </w:rPr>
            <w:t>6</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2F8B2356">
          <w:pPr>
            <w:pStyle w:val="14"/>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_Toc29331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sz w:val="24"/>
              <w:szCs w:val="24"/>
              <w:lang w:val="en-US" w:eastAsia="zh-CN"/>
            </w:rPr>
            <w:t>二</w:t>
          </w:r>
          <w:r>
            <w:rPr>
              <w:rFonts w:hint="eastAsia" w:ascii="仿宋" w:hAnsi="仿宋" w:eastAsia="仿宋" w:cs="仿宋"/>
              <w:sz w:val="24"/>
              <w:szCs w:val="24"/>
              <w:lang w:eastAsia="zh-CN"/>
            </w:rPr>
            <w:t>.城市概况</w:t>
          </w:r>
          <w:r>
            <w:rPr>
              <w:sz w:val="24"/>
              <w:szCs w:val="24"/>
            </w:rPr>
            <w:tab/>
          </w:r>
          <w:r>
            <w:rPr>
              <w:sz w:val="24"/>
              <w:szCs w:val="24"/>
            </w:rPr>
            <w:fldChar w:fldCharType="begin"/>
          </w:r>
          <w:r>
            <w:rPr>
              <w:sz w:val="24"/>
              <w:szCs w:val="24"/>
            </w:rPr>
            <w:instrText xml:space="preserve"> PAGEREF _Toc29331 \h </w:instrText>
          </w:r>
          <w:r>
            <w:rPr>
              <w:sz w:val="24"/>
              <w:szCs w:val="24"/>
            </w:rPr>
            <w:fldChar w:fldCharType="separate"/>
          </w:r>
          <w:r>
            <w:rPr>
              <w:sz w:val="24"/>
              <w:szCs w:val="24"/>
            </w:rPr>
            <w:t>7</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1E426385">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_Toc17256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2.1.城市自然条件</w:t>
          </w:r>
          <w:r>
            <w:rPr>
              <w:sz w:val="24"/>
              <w:szCs w:val="24"/>
            </w:rPr>
            <w:tab/>
          </w:r>
          <w:r>
            <w:rPr>
              <w:sz w:val="24"/>
              <w:szCs w:val="24"/>
            </w:rPr>
            <w:fldChar w:fldCharType="begin"/>
          </w:r>
          <w:r>
            <w:rPr>
              <w:sz w:val="24"/>
              <w:szCs w:val="24"/>
            </w:rPr>
            <w:instrText xml:space="preserve"> PAGEREF _Toc17256 \h </w:instrText>
          </w:r>
          <w:r>
            <w:rPr>
              <w:sz w:val="24"/>
              <w:szCs w:val="24"/>
            </w:rPr>
            <w:fldChar w:fldCharType="separate"/>
          </w:r>
          <w:r>
            <w:rPr>
              <w:sz w:val="24"/>
              <w:szCs w:val="24"/>
            </w:rPr>
            <w:t>7</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1B621FF3">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_Toc140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2.1.1.地理位置</w:t>
          </w:r>
          <w:r>
            <w:rPr>
              <w:sz w:val="24"/>
              <w:szCs w:val="24"/>
            </w:rPr>
            <w:tab/>
          </w:r>
          <w:r>
            <w:rPr>
              <w:sz w:val="24"/>
              <w:szCs w:val="24"/>
            </w:rPr>
            <w:fldChar w:fldCharType="begin"/>
          </w:r>
          <w:r>
            <w:rPr>
              <w:sz w:val="24"/>
              <w:szCs w:val="24"/>
            </w:rPr>
            <w:instrText xml:space="preserve"> PAGEREF _Toc140 \h </w:instrText>
          </w:r>
          <w:r>
            <w:rPr>
              <w:sz w:val="24"/>
              <w:szCs w:val="24"/>
            </w:rPr>
            <w:fldChar w:fldCharType="separate"/>
          </w:r>
          <w:r>
            <w:rPr>
              <w:sz w:val="24"/>
              <w:szCs w:val="24"/>
            </w:rPr>
            <w:t>7</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688FFB0A">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_Toc12265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2.1.2.地形地貌</w:t>
          </w:r>
          <w:r>
            <w:rPr>
              <w:sz w:val="24"/>
              <w:szCs w:val="24"/>
            </w:rPr>
            <w:tab/>
          </w:r>
          <w:r>
            <w:rPr>
              <w:sz w:val="24"/>
              <w:szCs w:val="24"/>
            </w:rPr>
            <w:fldChar w:fldCharType="begin"/>
          </w:r>
          <w:r>
            <w:rPr>
              <w:sz w:val="24"/>
              <w:szCs w:val="24"/>
            </w:rPr>
            <w:instrText xml:space="preserve"> PAGEREF _Toc12265 \h </w:instrText>
          </w:r>
          <w:r>
            <w:rPr>
              <w:sz w:val="24"/>
              <w:szCs w:val="24"/>
            </w:rPr>
            <w:fldChar w:fldCharType="separate"/>
          </w:r>
          <w:r>
            <w:rPr>
              <w:sz w:val="24"/>
              <w:szCs w:val="24"/>
            </w:rPr>
            <w:t>7</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340C472F">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_Toc19555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2.1.3.工程地质</w:t>
          </w:r>
          <w:r>
            <w:rPr>
              <w:sz w:val="24"/>
              <w:szCs w:val="24"/>
            </w:rPr>
            <w:tab/>
          </w:r>
          <w:r>
            <w:rPr>
              <w:sz w:val="24"/>
              <w:szCs w:val="24"/>
            </w:rPr>
            <w:fldChar w:fldCharType="begin"/>
          </w:r>
          <w:r>
            <w:rPr>
              <w:sz w:val="24"/>
              <w:szCs w:val="24"/>
            </w:rPr>
            <w:instrText xml:space="preserve"> PAGEREF _Toc19555 \h </w:instrText>
          </w:r>
          <w:r>
            <w:rPr>
              <w:sz w:val="24"/>
              <w:szCs w:val="24"/>
            </w:rPr>
            <w:fldChar w:fldCharType="separate"/>
          </w:r>
          <w:r>
            <w:rPr>
              <w:sz w:val="24"/>
              <w:szCs w:val="24"/>
            </w:rPr>
            <w:t>7</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7B049F71">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_Toc6776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2.1.4.气象</w:t>
          </w:r>
          <w:r>
            <w:rPr>
              <w:sz w:val="24"/>
              <w:szCs w:val="24"/>
            </w:rPr>
            <w:tab/>
          </w:r>
          <w:r>
            <w:rPr>
              <w:sz w:val="24"/>
              <w:szCs w:val="24"/>
            </w:rPr>
            <w:fldChar w:fldCharType="begin"/>
          </w:r>
          <w:r>
            <w:rPr>
              <w:sz w:val="24"/>
              <w:szCs w:val="24"/>
            </w:rPr>
            <w:instrText xml:space="preserve"> PAGEREF _Toc6776 \h </w:instrText>
          </w:r>
          <w:r>
            <w:rPr>
              <w:sz w:val="24"/>
              <w:szCs w:val="24"/>
            </w:rPr>
            <w:fldChar w:fldCharType="separate"/>
          </w:r>
          <w:r>
            <w:rPr>
              <w:sz w:val="24"/>
              <w:szCs w:val="24"/>
            </w:rPr>
            <w:t>7</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6E050BA6">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_Toc7200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2.1.5.水文</w:t>
          </w:r>
          <w:r>
            <w:rPr>
              <w:sz w:val="24"/>
              <w:szCs w:val="24"/>
            </w:rPr>
            <w:tab/>
          </w:r>
          <w:r>
            <w:rPr>
              <w:sz w:val="24"/>
              <w:szCs w:val="24"/>
            </w:rPr>
            <w:fldChar w:fldCharType="begin"/>
          </w:r>
          <w:r>
            <w:rPr>
              <w:sz w:val="24"/>
              <w:szCs w:val="24"/>
            </w:rPr>
            <w:instrText xml:space="preserve"> PAGEREF _Toc7200 \h </w:instrText>
          </w:r>
          <w:r>
            <w:rPr>
              <w:sz w:val="24"/>
              <w:szCs w:val="24"/>
            </w:rPr>
            <w:fldChar w:fldCharType="separate"/>
          </w:r>
          <w:r>
            <w:rPr>
              <w:sz w:val="24"/>
              <w:szCs w:val="24"/>
            </w:rPr>
            <w:t>8</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5CF3BA18">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_Toc4129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2.1.6.地震烈度</w:t>
          </w:r>
          <w:r>
            <w:rPr>
              <w:sz w:val="24"/>
              <w:szCs w:val="24"/>
            </w:rPr>
            <w:tab/>
          </w:r>
          <w:r>
            <w:rPr>
              <w:sz w:val="24"/>
              <w:szCs w:val="24"/>
            </w:rPr>
            <w:fldChar w:fldCharType="begin"/>
          </w:r>
          <w:r>
            <w:rPr>
              <w:sz w:val="24"/>
              <w:szCs w:val="24"/>
            </w:rPr>
            <w:instrText xml:space="preserve"> PAGEREF _Toc4129 \h </w:instrText>
          </w:r>
          <w:r>
            <w:rPr>
              <w:sz w:val="24"/>
              <w:szCs w:val="24"/>
            </w:rPr>
            <w:fldChar w:fldCharType="separate"/>
          </w:r>
          <w:r>
            <w:rPr>
              <w:sz w:val="24"/>
              <w:szCs w:val="24"/>
            </w:rPr>
            <w:t>8</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142C560E">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_Toc21280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2.2.城市性质及规模</w:t>
          </w:r>
          <w:r>
            <w:rPr>
              <w:sz w:val="24"/>
              <w:szCs w:val="24"/>
            </w:rPr>
            <w:tab/>
          </w:r>
          <w:r>
            <w:rPr>
              <w:sz w:val="24"/>
              <w:szCs w:val="24"/>
            </w:rPr>
            <w:fldChar w:fldCharType="begin"/>
          </w:r>
          <w:r>
            <w:rPr>
              <w:sz w:val="24"/>
              <w:szCs w:val="24"/>
            </w:rPr>
            <w:instrText xml:space="preserve"> PAGEREF _Toc21280 \h </w:instrText>
          </w:r>
          <w:r>
            <w:rPr>
              <w:sz w:val="24"/>
              <w:szCs w:val="24"/>
            </w:rPr>
            <w:fldChar w:fldCharType="separate"/>
          </w:r>
          <w:r>
            <w:rPr>
              <w:sz w:val="24"/>
              <w:szCs w:val="24"/>
            </w:rPr>
            <w:t>8</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17D22E3B">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_Toc20300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2.2.1.城市性质</w:t>
          </w:r>
          <w:r>
            <w:rPr>
              <w:sz w:val="24"/>
              <w:szCs w:val="24"/>
            </w:rPr>
            <w:tab/>
          </w:r>
          <w:r>
            <w:rPr>
              <w:sz w:val="24"/>
              <w:szCs w:val="24"/>
            </w:rPr>
            <w:fldChar w:fldCharType="begin"/>
          </w:r>
          <w:r>
            <w:rPr>
              <w:sz w:val="24"/>
              <w:szCs w:val="24"/>
            </w:rPr>
            <w:instrText xml:space="preserve"> PAGEREF _Toc20300 \h </w:instrText>
          </w:r>
          <w:r>
            <w:rPr>
              <w:sz w:val="24"/>
              <w:szCs w:val="24"/>
            </w:rPr>
            <w:fldChar w:fldCharType="separate"/>
          </w:r>
          <w:r>
            <w:rPr>
              <w:sz w:val="24"/>
              <w:szCs w:val="24"/>
            </w:rPr>
            <w:t>8</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0A7D1045">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_Toc25793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2.2.2.行政区划及人口</w:t>
          </w:r>
          <w:r>
            <w:rPr>
              <w:sz w:val="24"/>
              <w:szCs w:val="24"/>
            </w:rPr>
            <w:tab/>
          </w:r>
          <w:r>
            <w:rPr>
              <w:sz w:val="24"/>
              <w:szCs w:val="24"/>
            </w:rPr>
            <w:fldChar w:fldCharType="begin"/>
          </w:r>
          <w:r>
            <w:rPr>
              <w:sz w:val="24"/>
              <w:szCs w:val="24"/>
            </w:rPr>
            <w:instrText xml:space="preserve"> PAGEREF _Toc25793 \h </w:instrText>
          </w:r>
          <w:r>
            <w:rPr>
              <w:sz w:val="24"/>
              <w:szCs w:val="24"/>
            </w:rPr>
            <w:fldChar w:fldCharType="separate"/>
          </w:r>
          <w:r>
            <w:rPr>
              <w:sz w:val="24"/>
              <w:szCs w:val="24"/>
            </w:rPr>
            <w:t>8</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757D92AE">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_Toc14886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2.2.3.社会经济概况</w:t>
          </w:r>
          <w:r>
            <w:rPr>
              <w:sz w:val="24"/>
              <w:szCs w:val="24"/>
            </w:rPr>
            <w:tab/>
          </w:r>
          <w:r>
            <w:rPr>
              <w:sz w:val="24"/>
              <w:szCs w:val="24"/>
            </w:rPr>
            <w:fldChar w:fldCharType="begin"/>
          </w:r>
          <w:r>
            <w:rPr>
              <w:sz w:val="24"/>
              <w:szCs w:val="24"/>
            </w:rPr>
            <w:instrText xml:space="preserve"> PAGEREF _Toc14886 \h </w:instrText>
          </w:r>
          <w:r>
            <w:rPr>
              <w:sz w:val="24"/>
              <w:szCs w:val="24"/>
            </w:rPr>
            <w:fldChar w:fldCharType="separate"/>
          </w:r>
          <w:r>
            <w:rPr>
              <w:sz w:val="24"/>
              <w:szCs w:val="24"/>
            </w:rPr>
            <w:t>8</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73DD0582">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_Toc7579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2.3.城市相关规划解读</w:t>
          </w:r>
          <w:r>
            <w:rPr>
              <w:sz w:val="24"/>
              <w:szCs w:val="24"/>
            </w:rPr>
            <w:tab/>
          </w:r>
          <w:r>
            <w:rPr>
              <w:sz w:val="24"/>
              <w:szCs w:val="24"/>
            </w:rPr>
            <w:fldChar w:fldCharType="begin"/>
          </w:r>
          <w:r>
            <w:rPr>
              <w:sz w:val="24"/>
              <w:szCs w:val="24"/>
            </w:rPr>
            <w:instrText xml:space="preserve"> PAGEREF _Toc7579 \h </w:instrText>
          </w:r>
          <w:r>
            <w:rPr>
              <w:sz w:val="24"/>
              <w:szCs w:val="24"/>
            </w:rPr>
            <w:fldChar w:fldCharType="separate"/>
          </w:r>
          <w:r>
            <w:rPr>
              <w:sz w:val="24"/>
              <w:szCs w:val="24"/>
            </w:rPr>
            <w:t>9</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4427C3A8">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_Toc6532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2.3.1.《岳阳市水资源保护规划》</w:t>
          </w:r>
          <w:r>
            <w:rPr>
              <w:sz w:val="24"/>
              <w:szCs w:val="24"/>
            </w:rPr>
            <w:tab/>
          </w:r>
          <w:r>
            <w:rPr>
              <w:sz w:val="24"/>
              <w:szCs w:val="24"/>
            </w:rPr>
            <w:fldChar w:fldCharType="begin"/>
          </w:r>
          <w:r>
            <w:rPr>
              <w:sz w:val="24"/>
              <w:szCs w:val="24"/>
            </w:rPr>
            <w:instrText xml:space="preserve"> PAGEREF _Toc6532 \h </w:instrText>
          </w:r>
          <w:r>
            <w:rPr>
              <w:sz w:val="24"/>
              <w:szCs w:val="24"/>
            </w:rPr>
            <w:fldChar w:fldCharType="separate"/>
          </w:r>
          <w:r>
            <w:rPr>
              <w:sz w:val="24"/>
              <w:szCs w:val="24"/>
            </w:rPr>
            <w:t>9</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24788A7B">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_Toc32606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2.3.2.《岳阳市中心城区给水专项规划（2011~2030）》</w:t>
          </w:r>
          <w:r>
            <w:rPr>
              <w:sz w:val="24"/>
              <w:szCs w:val="24"/>
            </w:rPr>
            <w:tab/>
          </w:r>
          <w:r>
            <w:rPr>
              <w:sz w:val="24"/>
              <w:szCs w:val="24"/>
            </w:rPr>
            <w:fldChar w:fldCharType="begin"/>
          </w:r>
          <w:r>
            <w:rPr>
              <w:sz w:val="24"/>
              <w:szCs w:val="24"/>
            </w:rPr>
            <w:instrText xml:space="preserve"> PAGEREF _Toc32606 \h </w:instrText>
          </w:r>
          <w:r>
            <w:rPr>
              <w:sz w:val="24"/>
              <w:szCs w:val="24"/>
            </w:rPr>
            <w:fldChar w:fldCharType="separate"/>
          </w:r>
          <w:r>
            <w:rPr>
              <w:sz w:val="24"/>
              <w:szCs w:val="24"/>
            </w:rPr>
            <w:t>9</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505330FC">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_Toc7100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2.3.3.《岳阳市中心城区排水专项规划》（修编）（2016-2030）</w:t>
          </w:r>
          <w:r>
            <w:rPr>
              <w:sz w:val="24"/>
              <w:szCs w:val="24"/>
            </w:rPr>
            <w:tab/>
          </w:r>
          <w:r>
            <w:rPr>
              <w:sz w:val="24"/>
              <w:szCs w:val="24"/>
            </w:rPr>
            <w:fldChar w:fldCharType="begin"/>
          </w:r>
          <w:r>
            <w:rPr>
              <w:sz w:val="24"/>
              <w:szCs w:val="24"/>
            </w:rPr>
            <w:instrText xml:space="preserve"> PAGEREF _Toc7100 \h </w:instrText>
          </w:r>
          <w:r>
            <w:rPr>
              <w:sz w:val="24"/>
              <w:szCs w:val="24"/>
            </w:rPr>
            <w:fldChar w:fldCharType="separate"/>
          </w:r>
          <w:r>
            <w:rPr>
              <w:sz w:val="24"/>
              <w:szCs w:val="24"/>
            </w:rPr>
            <w:t>10</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3C0FE881">
          <w:pPr>
            <w:pStyle w:val="14"/>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_Toc3280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sz w:val="24"/>
              <w:szCs w:val="24"/>
              <w:lang w:val="en-US" w:eastAsia="zh-CN"/>
            </w:rPr>
            <w:t>三、</w:t>
          </w:r>
          <w:r>
            <w:rPr>
              <w:rFonts w:hint="eastAsia" w:ascii="仿宋" w:hAnsi="仿宋" w:eastAsia="仿宋" w:cs="仿宋"/>
              <w:bCs/>
              <w:sz w:val="24"/>
              <w:szCs w:val="24"/>
              <w:lang w:val="en-US" w:eastAsia="zh-CN"/>
            </w:rPr>
            <w:t>排水现状</w:t>
          </w:r>
          <w:r>
            <w:rPr>
              <w:sz w:val="24"/>
              <w:szCs w:val="24"/>
            </w:rPr>
            <w:tab/>
          </w:r>
          <w:r>
            <w:rPr>
              <w:sz w:val="24"/>
              <w:szCs w:val="24"/>
            </w:rPr>
            <w:fldChar w:fldCharType="begin"/>
          </w:r>
          <w:r>
            <w:rPr>
              <w:sz w:val="24"/>
              <w:szCs w:val="24"/>
            </w:rPr>
            <w:instrText xml:space="preserve"> PAGEREF _Toc3280 \h </w:instrText>
          </w:r>
          <w:r>
            <w:rPr>
              <w:sz w:val="24"/>
              <w:szCs w:val="24"/>
            </w:rPr>
            <w:fldChar w:fldCharType="separate"/>
          </w:r>
          <w:r>
            <w:rPr>
              <w:sz w:val="24"/>
              <w:szCs w:val="24"/>
            </w:rPr>
            <w:t>12</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3F0C8C5F">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_Toc5946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3.1红盾新村排水现状</w:t>
          </w:r>
          <w:r>
            <w:rPr>
              <w:sz w:val="24"/>
              <w:szCs w:val="24"/>
            </w:rPr>
            <w:tab/>
          </w:r>
          <w:r>
            <w:rPr>
              <w:sz w:val="24"/>
              <w:szCs w:val="24"/>
            </w:rPr>
            <w:fldChar w:fldCharType="begin"/>
          </w:r>
          <w:r>
            <w:rPr>
              <w:sz w:val="24"/>
              <w:szCs w:val="24"/>
            </w:rPr>
            <w:instrText xml:space="preserve"> PAGEREF _Toc5946 \h </w:instrText>
          </w:r>
          <w:r>
            <w:rPr>
              <w:sz w:val="24"/>
              <w:szCs w:val="24"/>
            </w:rPr>
            <w:fldChar w:fldCharType="separate"/>
          </w:r>
          <w:r>
            <w:rPr>
              <w:sz w:val="24"/>
              <w:szCs w:val="24"/>
            </w:rPr>
            <w:t>12</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24BF0C24">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_Toc3708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3.2梅子柿社区现状</w:t>
          </w:r>
          <w:r>
            <w:rPr>
              <w:sz w:val="24"/>
              <w:szCs w:val="24"/>
            </w:rPr>
            <w:tab/>
          </w:r>
          <w:r>
            <w:rPr>
              <w:sz w:val="24"/>
              <w:szCs w:val="24"/>
            </w:rPr>
            <w:fldChar w:fldCharType="begin"/>
          </w:r>
          <w:r>
            <w:rPr>
              <w:sz w:val="24"/>
              <w:szCs w:val="24"/>
            </w:rPr>
            <w:instrText xml:space="preserve"> PAGEREF _Toc3708 \h </w:instrText>
          </w:r>
          <w:r>
            <w:rPr>
              <w:sz w:val="24"/>
              <w:szCs w:val="24"/>
            </w:rPr>
            <w:fldChar w:fldCharType="separate"/>
          </w:r>
          <w:r>
            <w:rPr>
              <w:sz w:val="24"/>
              <w:szCs w:val="24"/>
            </w:rPr>
            <w:t>12</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7AF2777A">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_Toc5862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3.3西塘镇西塘社区现状</w:t>
          </w:r>
          <w:r>
            <w:rPr>
              <w:sz w:val="24"/>
              <w:szCs w:val="24"/>
            </w:rPr>
            <w:tab/>
          </w:r>
          <w:r>
            <w:rPr>
              <w:sz w:val="24"/>
              <w:szCs w:val="24"/>
            </w:rPr>
            <w:fldChar w:fldCharType="begin"/>
          </w:r>
          <w:r>
            <w:rPr>
              <w:sz w:val="24"/>
              <w:szCs w:val="24"/>
            </w:rPr>
            <w:instrText xml:space="preserve"> PAGEREF _Toc5862 \h </w:instrText>
          </w:r>
          <w:r>
            <w:rPr>
              <w:sz w:val="24"/>
              <w:szCs w:val="24"/>
            </w:rPr>
            <w:fldChar w:fldCharType="separate"/>
          </w:r>
          <w:r>
            <w:rPr>
              <w:sz w:val="24"/>
              <w:szCs w:val="24"/>
            </w:rPr>
            <w:t>13</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0BE12260">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_Toc9875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3.4大桥新城现状</w:t>
          </w:r>
          <w:r>
            <w:rPr>
              <w:sz w:val="24"/>
              <w:szCs w:val="24"/>
            </w:rPr>
            <w:tab/>
          </w:r>
          <w:r>
            <w:rPr>
              <w:sz w:val="24"/>
              <w:szCs w:val="24"/>
            </w:rPr>
            <w:fldChar w:fldCharType="begin"/>
          </w:r>
          <w:r>
            <w:rPr>
              <w:sz w:val="24"/>
              <w:szCs w:val="24"/>
            </w:rPr>
            <w:instrText xml:space="preserve"> PAGEREF _Toc9875 \h </w:instrText>
          </w:r>
          <w:r>
            <w:rPr>
              <w:sz w:val="24"/>
              <w:szCs w:val="24"/>
            </w:rPr>
            <w:fldChar w:fldCharType="separate"/>
          </w:r>
          <w:r>
            <w:rPr>
              <w:sz w:val="24"/>
              <w:szCs w:val="24"/>
            </w:rPr>
            <w:t>13</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5F65AB57">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_Toc30074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3.5廖家小区现状</w:t>
          </w:r>
          <w:r>
            <w:rPr>
              <w:sz w:val="24"/>
              <w:szCs w:val="24"/>
            </w:rPr>
            <w:tab/>
          </w:r>
          <w:r>
            <w:rPr>
              <w:sz w:val="24"/>
              <w:szCs w:val="24"/>
            </w:rPr>
            <w:fldChar w:fldCharType="begin"/>
          </w:r>
          <w:r>
            <w:rPr>
              <w:sz w:val="24"/>
              <w:szCs w:val="24"/>
            </w:rPr>
            <w:instrText xml:space="preserve"> PAGEREF _Toc30074 \h </w:instrText>
          </w:r>
          <w:r>
            <w:rPr>
              <w:sz w:val="24"/>
              <w:szCs w:val="24"/>
            </w:rPr>
            <w:fldChar w:fldCharType="separate"/>
          </w:r>
          <w:r>
            <w:rPr>
              <w:sz w:val="24"/>
              <w:szCs w:val="24"/>
            </w:rPr>
            <w:t>13</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6713BCB2">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_Toc18448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3.6瓦子坡路临时道路现状</w:t>
          </w:r>
          <w:r>
            <w:rPr>
              <w:sz w:val="24"/>
              <w:szCs w:val="24"/>
            </w:rPr>
            <w:tab/>
          </w:r>
          <w:r>
            <w:rPr>
              <w:sz w:val="24"/>
              <w:szCs w:val="24"/>
            </w:rPr>
            <w:fldChar w:fldCharType="begin"/>
          </w:r>
          <w:r>
            <w:rPr>
              <w:sz w:val="24"/>
              <w:szCs w:val="24"/>
            </w:rPr>
            <w:instrText xml:space="preserve"> PAGEREF _Toc18448 \h </w:instrText>
          </w:r>
          <w:r>
            <w:rPr>
              <w:sz w:val="24"/>
              <w:szCs w:val="24"/>
            </w:rPr>
            <w:fldChar w:fldCharType="separate"/>
          </w:r>
          <w:r>
            <w:rPr>
              <w:sz w:val="24"/>
              <w:szCs w:val="24"/>
            </w:rPr>
            <w:t>14</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0DE30C22">
          <w:pPr>
            <w:pStyle w:val="14"/>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_Toc10328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sz w:val="24"/>
              <w:szCs w:val="24"/>
              <w:lang w:val="en-US" w:eastAsia="zh-CN"/>
            </w:rPr>
            <w:t>四、总体方案设计</w:t>
          </w:r>
          <w:r>
            <w:rPr>
              <w:sz w:val="24"/>
              <w:szCs w:val="24"/>
            </w:rPr>
            <w:tab/>
          </w:r>
          <w:r>
            <w:rPr>
              <w:sz w:val="24"/>
              <w:szCs w:val="24"/>
            </w:rPr>
            <w:fldChar w:fldCharType="begin"/>
          </w:r>
          <w:r>
            <w:rPr>
              <w:sz w:val="24"/>
              <w:szCs w:val="24"/>
            </w:rPr>
            <w:instrText xml:space="preserve"> PAGEREF _Toc10328 \h </w:instrText>
          </w:r>
          <w:r>
            <w:rPr>
              <w:sz w:val="24"/>
              <w:szCs w:val="24"/>
            </w:rPr>
            <w:fldChar w:fldCharType="separate"/>
          </w:r>
          <w:r>
            <w:rPr>
              <w:sz w:val="24"/>
              <w:szCs w:val="24"/>
            </w:rPr>
            <w:t>15</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51E617C6">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_Toc32147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4.1 排水工程设计标准</w:t>
          </w:r>
          <w:r>
            <w:rPr>
              <w:sz w:val="24"/>
              <w:szCs w:val="24"/>
            </w:rPr>
            <w:tab/>
          </w:r>
          <w:r>
            <w:rPr>
              <w:sz w:val="24"/>
              <w:szCs w:val="24"/>
            </w:rPr>
            <w:fldChar w:fldCharType="begin"/>
          </w:r>
          <w:r>
            <w:rPr>
              <w:sz w:val="24"/>
              <w:szCs w:val="24"/>
            </w:rPr>
            <w:instrText xml:space="preserve"> PAGEREF _Toc32147 \h </w:instrText>
          </w:r>
          <w:r>
            <w:rPr>
              <w:sz w:val="24"/>
              <w:szCs w:val="24"/>
            </w:rPr>
            <w:fldChar w:fldCharType="separate"/>
          </w:r>
          <w:r>
            <w:rPr>
              <w:sz w:val="24"/>
              <w:szCs w:val="24"/>
            </w:rPr>
            <w:t>15</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3424EE3C">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_Toc24858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4.2 排水工程设计原则及总体思路</w:t>
          </w:r>
          <w:r>
            <w:rPr>
              <w:sz w:val="24"/>
              <w:szCs w:val="24"/>
            </w:rPr>
            <w:tab/>
          </w:r>
          <w:r>
            <w:rPr>
              <w:sz w:val="24"/>
              <w:szCs w:val="24"/>
            </w:rPr>
            <w:fldChar w:fldCharType="begin"/>
          </w:r>
          <w:r>
            <w:rPr>
              <w:sz w:val="24"/>
              <w:szCs w:val="24"/>
            </w:rPr>
            <w:instrText xml:space="preserve"> PAGEREF _Toc24858 \h </w:instrText>
          </w:r>
          <w:r>
            <w:rPr>
              <w:sz w:val="24"/>
              <w:szCs w:val="24"/>
            </w:rPr>
            <w:fldChar w:fldCharType="separate"/>
          </w:r>
          <w:r>
            <w:rPr>
              <w:sz w:val="24"/>
              <w:szCs w:val="24"/>
            </w:rPr>
            <w:t>15</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381574B4">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_Toc31886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4.3管网布置要求</w:t>
          </w:r>
          <w:r>
            <w:rPr>
              <w:sz w:val="24"/>
              <w:szCs w:val="24"/>
            </w:rPr>
            <w:tab/>
          </w:r>
          <w:r>
            <w:rPr>
              <w:sz w:val="24"/>
              <w:szCs w:val="24"/>
            </w:rPr>
            <w:fldChar w:fldCharType="begin"/>
          </w:r>
          <w:r>
            <w:rPr>
              <w:sz w:val="24"/>
              <w:szCs w:val="24"/>
            </w:rPr>
            <w:instrText xml:space="preserve"> PAGEREF _Toc31886 \h </w:instrText>
          </w:r>
          <w:r>
            <w:rPr>
              <w:sz w:val="24"/>
              <w:szCs w:val="24"/>
            </w:rPr>
            <w:fldChar w:fldCharType="separate"/>
          </w:r>
          <w:r>
            <w:rPr>
              <w:sz w:val="24"/>
              <w:szCs w:val="24"/>
            </w:rPr>
            <w:t>15</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43CD99F4">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_Toc18700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4.4雨水工程</w:t>
          </w:r>
          <w:r>
            <w:rPr>
              <w:sz w:val="24"/>
              <w:szCs w:val="24"/>
            </w:rPr>
            <w:tab/>
          </w:r>
          <w:r>
            <w:rPr>
              <w:sz w:val="24"/>
              <w:szCs w:val="24"/>
            </w:rPr>
            <w:fldChar w:fldCharType="begin"/>
          </w:r>
          <w:r>
            <w:rPr>
              <w:sz w:val="24"/>
              <w:szCs w:val="24"/>
            </w:rPr>
            <w:instrText xml:space="preserve"> PAGEREF _Toc18700 \h </w:instrText>
          </w:r>
          <w:r>
            <w:rPr>
              <w:sz w:val="24"/>
              <w:szCs w:val="24"/>
            </w:rPr>
            <w:fldChar w:fldCharType="separate"/>
          </w:r>
          <w:r>
            <w:rPr>
              <w:sz w:val="24"/>
              <w:szCs w:val="24"/>
            </w:rPr>
            <w:t>15</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6C8E9F0F">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_Toc29750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4.5 污水工程</w:t>
          </w:r>
          <w:r>
            <w:rPr>
              <w:sz w:val="24"/>
              <w:szCs w:val="24"/>
            </w:rPr>
            <w:tab/>
          </w:r>
          <w:r>
            <w:rPr>
              <w:sz w:val="24"/>
              <w:szCs w:val="24"/>
            </w:rPr>
            <w:fldChar w:fldCharType="begin"/>
          </w:r>
          <w:r>
            <w:rPr>
              <w:sz w:val="24"/>
              <w:szCs w:val="24"/>
            </w:rPr>
            <w:instrText xml:space="preserve"> PAGEREF _Toc29750 \h </w:instrText>
          </w:r>
          <w:r>
            <w:rPr>
              <w:sz w:val="24"/>
              <w:szCs w:val="24"/>
            </w:rPr>
            <w:fldChar w:fldCharType="separate"/>
          </w:r>
          <w:r>
            <w:rPr>
              <w:sz w:val="24"/>
              <w:szCs w:val="24"/>
            </w:rPr>
            <w:t>18</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78A4B5E0">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_Toc14653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4.6管道材质的确定</w:t>
          </w:r>
          <w:r>
            <w:rPr>
              <w:sz w:val="24"/>
              <w:szCs w:val="24"/>
            </w:rPr>
            <w:tab/>
          </w:r>
          <w:r>
            <w:rPr>
              <w:sz w:val="24"/>
              <w:szCs w:val="24"/>
            </w:rPr>
            <w:fldChar w:fldCharType="begin"/>
          </w:r>
          <w:r>
            <w:rPr>
              <w:sz w:val="24"/>
              <w:szCs w:val="24"/>
            </w:rPr>
            <w:instrText xml:space="preserve"> PAGEREF _Toc14653 \h </w:instrText>
          </w:r>
          <w:r>
            <w:rPr>
              <w:sz w:val="24"/>
              <w:szCs w:val="24"/>
            </w:rPr>
            <w:fldChar w:fldCharType="separate"/>
          </w:r>
          <w:r>
            <w:rPr>
              <w:sz w:val="24"/>
              <w:szCs w:val="24"/>
            </w:rPr>
            <w:t>21</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6B06C637">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_Toc27973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4.7排水管网附属构筑物</w:t>
          </w:r>
          <w:r>
            <w:rPr>
              <w:sz w:val="24"/>
              <w:szCs w:val="24"/>
            </w:rPr>
            <w:tab/>
          </w:r>
          <w:r>
            <w:rPr>
              <w:sz w:val="24"/>
              <w:szCs w:val="24"/>
            </w:rPr>
            <w:fldChar w:fldCharType="begin"/>
          </w:r>
          <w:r>
            <w:rPr>
              <w:sz w:val="24"/>
              <w:szCs w:val="24"/>
            </w:rPr>
            <w:instrText xml:space="preserve"> PAGEREF _Toc27973 \h </w:instrText>
          </w:r>
          <w:r>
            <w:rPr>
              <w:sz w:val="24"/>
              <w:szCs w:val="24"/>
            </w:rPr>
            <w:fldChar w:fldCharType="separate"/>
          </w:r>
          <w:r>
            <w:rPr>
              <w:sz w:val="24"/>
              <w:szCs w:val="24"/>
            </w:rPr>
            <w:t>23</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1243157B">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_Toc962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4.8沟槽开挖回填</w:t>
          </w:r>
          <w:r>
            <w:rPr>
              <w:sz w:val="24"/>
              <w:szCs w:val="24"/>
            </w:rPr>
            <w:tab/>
          </w:r>
          <w:r>
            <w:rPr>
              <w:sz w:val="24"/>
              <w:szCs w:val="24"/>
            </w:rPr>
            <w:fldChar w:fldCharType="begin"/>
          </w:r>
          <w:r>
            <w:rPr>
              <w:sz w:val="24"/>
              <w:szCs w:val="24"/>
            </w:rPr>
            <w:instrText xml:space="preserve"> PAGEREF _Toc962 \h </w:instrText>
          </w:r>
          <w:r>
            <w:rPr>
              <w:sz w:val="24"/>
              <w:szCs w:val="24"/>
            </w:rPr>
            <w:fldChar w:fldCharType="separate"/>
          </w:r>
          <w:r>
            <w:rPr>
              <w:sz w:val="24"/>
              <w:szCs w:val="24"/>
            </w:rPr>
            <w:t>23</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38157218">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_Toc13500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4.9 抗震及抗浮</w:t>
          </w:r>
          <w:r>
            <w:rPr>
              <w:sz w:val="24"/>
              <w:szCs w:val="24"/>
            </w:rPr>
            <w:tab/>
          </w:r>
          <w:r>
            <w:rPr>
              <w:sz w:val="24"/>
              <w:szCs w:val="24"/>
            </w:rPr>
            <w:fldChar w:fldCharType="begin"/>
          </w:r>
          <w:r>
            <w:rPr>
              <w:sz w:val="24"/>
              <w:szCs w:val="24"/>
            </w:rPr>
            <w:instrText xml:space="preserve"> PAGEREF _Toc13500 \h </w:instrText>
          </w:r>
          <w:r>
            <w:rPr>
              <w:sz w:val="24"/>
              <w:szCs w:val="24"/>
            </w:rPr>
            <w:fldChar w:fldCharType="separate"/>
          </w:r>
          <w:r>
            <w:rPr>
              <w:sz w:val="24"/>
              <w:szCs w:val="24"/>
            </w:rPr>
            <w:t>24</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69BFFDBA">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_Toc24558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4.10</w:t>
          </w:r>
          <w:r>
            <w:rPr>
              <w:rFonts w:hint="default" w:ascii="仿宋" w:hAnsi="仿宋" w:eastAsia="仿宋" w:cs="仿宋"/>
              <w:bCs/>
              <w:sz w:val="24"/>
              <w:szCs w:val="24"/>
              <w:lang w:val="en-US" w:eastAsia="zh-CN"/>
            </w:rPr>
            <w:t>管道清淤</w:t>
          </w:r>
          <w:r>
            <w:rPr>
              <w:sz w:val="24"/>
              <w:szCs w:val="24"/>
            </w:rPr>
            <w:tab/>
          </w:r>
          <w:r>
            <w:rPr>
              <w:sz w:val="24"/>
              <w:szCs w:val="24"/>
            </w:rPr>
            <w:fldChar w:fldCharType="begin"/>
          </w:r>
          <w:r>
            <w:rPr>
              <w:sz w:val="24"/>
              <w:szCs w:val="24"/>
            </w:rPr>
            <w:instrText xml:space="preserve"> PAGEREF _Toc24558 \h </w:instrText>
          </w:r>
          <w:r>
            <w:rPr>
              <w:sz w:val="24"/>
              <w:szCs w:val="24"/>
            </w:rPr>
            <w:fldChar w:fldCharType="separate"/>
          </w:r>
          <w:r>
            <w:rPr>
              <w:sz w:val="24"/>
              <w:szCs w:val="24"/>
            </w:rPr>
            <w:t>24</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2A135F10">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_Toc4520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4.11危险性较大的分部分项工程:</w:t>
          </w:r>
          <w:r>
            <w:rPr>
              <w:sz w:val="24"/>
              <w:szCs w:val="24"/>
            </w:rPr>
            <w:tab/>
          </w:r>
          <w:r>
            <w:rPr>
              <w:sz w:val="24"/>
              <w:szCs w:val="24"/>
            </w:rPr>
            <w:fldChar w:fldCharType="begin"/>
          </w:r>
          <w:r>
            <w:rPr>
              <w:sz w:val="24"/>
              <w:szCs w:val="24"/>
            </w:rPr>
            <w:instrText xml:space="preserve"> PAGEREF _Toc4520 \h </w:instrText>
          </w:r>
          <w:r>
            <w:rPr>
              <w:sz w:val="24"/>
              <w:szCs w:val="24"/>
            </w:rPr>
            <w:fldChar w:fldCharType="separate"/>
          </w:r>
          <w:r>
            <w:rPr>
              <w:sz w:val="24"/>
              <w:szCs w:val="24"/>
            </w:rPr>
            <w:t>25</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7F39EEC3">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_Toc22903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4.12沟槽排水</w:t>
          </w:r>
          <w:r>
            <w:rPr>
              <w:sz w:val="24"/>
              <w:szCs w:val="24"/>
            </w:rPr>
            <w:tab/>
          </w:r>
          <w:r>
            <w:rPr>
              <w:sz w:val="24"/>
              <w:szCs w:val="24"/>
            </w:rPr>
            <w:fldChar w:fldCharType="begin"/>
          </w:r>
          <w:r>
            <w:rPr>
              <w:sz w:val="24"/>
              <w:szCs w:val="24"/>
            </w:rPr>
            <w:instrText xml:space="preserve"> PAGEREF _Toc22903 \h </w:instrText>
          </w:r>
          <w:r>
            <w:rPr>
              <w:sz w:val="24"/>
              <w:szCs w:val="24"/>
            </w:rPr>
            <w:fldChar w:fldCharType="separate"/>
          </w:r>
          <w:r>
            <w:rPr>
              <w:sz w:val="24"/>
              <w:szCs w:val="24"/>
            </w:rPr>
            <w:t>26</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2B92F8AE">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_Toc17988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4.13管材安装</w:t>
          </w:r>
          <w:r>
            <w:rPr>
              <w:sz w:val="24"/>
              <w:szCs w:val="24"/>
            </w:rPr>
            <w:tab/>
          </w:r>
          <w:r>
            <w:rPr>
              <w:sz w:val="24"/>
              <w:szCs w:val="24"/>
            </w:rPr>
            <w:fldChar w:fldCharType="begin"/>
          </w:r>
          <w:r>
            <w:rPr>
              <w:sz w:val="24"/>
              <w:szCs w:val="24"/>
            </w:rPr>
            <w:instrText xml:space="preserve"> PAGEREF _Toc17988 \h </w:instrText>
          </w:r>
          <w:r>
            <w:rPr>
              <w:sz w:val="24"/>
              <w:szCs w:val="24"/>
            </w:rPr>
            <w:fldChar w:fldCharType="separate"/>
          </w:r>
          <w:r>
            <w:rPr>
              <w:sz w:val="24"/>
              <w:szCs w:val="24"/>
            </w:rPr>
            <w:t>26</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0CC60482">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_Toc24994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4.14防渗处理</w:t>
          </w:r>
          <w:r>
            <w:rPr>
              <w:sz w:val="24"/>
              <w:szCs w:val="24"/>
            </w:rPr>
            <w:tab/>
          </w:r>
          <w:r>
            <w:rPr>
              <w:sz w:val="24"/>
              <w:szCs w:val="24"/>
            </w:rPr>
            <w:fldChar w:fldCharType="begin"/>
          </w:r>
          <w:r>
            <w:rPr>
              <w:sz w:val="24"/>
              <w:szCs w:val="24"/>
            </w:rPr>
            <w:instrText xml:space="preserve"> PAGEREF _Toc24994 \h </w:instrText>
          </w:r>
          <w:r>
            <w:rPr>
              <w:sz w:val="24"/>
              <w:szCs w:val="24"/>
            </w:rPr>
            <w:fldChar w:fldCharType="separate"/>
          </w:r>
          <w:r>
            <w:rPr>
              <w:sz w:val="24"/>
              <w:szCs w:val="24"/>
            </w:rPr>
            <w:t>26</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22323784">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_Toc7911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4.15内涝防治措施</w:t>
          </w:r>
          <w:r>
            <w:rPr>
              <w:sz w:val="24"/>
              <w:szCs w:val="24"/>
            </w:rPr>
            <w:tab/>
          </w:r>
          <w:r>
            <w:rPr>
              <w:sz w:val="24"/>
              <w:szCs w:val="24"/>
            </w:rPr>
            <w:fldChar w:fldCharType="begin"/>
          </w:r>
          <w:r>
            <w:rPr>
              <w:sz w:val="24"/>
              <w:szCs w:val="24"/>
            </w:rPr>
            <w:instrText xml:space="preserve"> PAGEREF _Toc7911 \h </w:instrText>
          </w:r>
          <w:r>
            <w:rPr>
              <w:sz w:val="24"/>
              <w:szCs w:val="24"/>
            </w:rPr>
            <w:fldChar w:fldCharType="separate"/>
          </w:r>
          <w:r>
            <w:rPr>
              <w:sz w:val="24"/>
              <w:szCs w:val="24"/>
            </w:rPr>
            <w:t>26</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7C88EFC6">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_Toc23275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4.16 排水工程仪表和自动化控制的要求</w:t>
          </w:r>
          <w:r>
            <w:rPr>
              <w:sz w:val="24"/>
              <w:szCs w:val="24"/>
            </w:rPr>
            <w:tab/>
          </w:r>
          <w:r>
            <w:rPr>
              <w:sz w:val="24"/>
              <w:szCs w:val="24"/>
            </w:rPr>
            <w:fldChar w:fldCharType="begin"/>
          </w:r>
          <w:r>
            <w:rPr>
              <w:sz w:val="24"/>
              <w:szCs w:val="24"/>
            </w:rPr>
            <w:instrText xml:space="preserve"> PAGEREF _Toc23275 \h </w:instrText>
          </w:r>
          <w:r>
            <w:rPr>
              <w:sz w:val="24"/>
              <w:szCs w:val="24"/>
            </w:rPr>
            <w:fldChar w:fldCharType="separate"/>
          </w:r>
          <w:r>
            <w:rPr>
              <w:sz w:val="24"/>
              <w:szCs w:val="24"/>
            </w:rPr>
            <w:t>27</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069AE930">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_Toc9628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4.17 管线保护及迁改</w:t>
          </w:r>
          <w:r>
            <w:rPr>
              <w:sz w:val="24"/>
              <w:szCs w:val="24"/>
            </w:rPr>
            <w:tab/>
          </w:r>
          <w:r>
            <w:rPr>
              <w:sz w:val="24"/>
              <w:szCs w:val="24"/>
            </w:rPr>
            <w:fldChar w:fldCharType="begin"/>
          </w:r>
          <w:r>
            <w:rPr>
              <w:sz w:val="24"/>
              <w:szCs w:val="24"/>
            </w:rPr>
            <w:instrText xml:space="preserve"> PAGEREF _Toc9628 \h </w:instrText>
          </w:r>
          <w:r>
            <w:rPr>
              <w:sz w:val="24"/>
              <w:szCs w:val="24"/>
            </w:rPr>
            <w:fldChar w:fldCharType="separate"/>
          </w:r>
          <w:r>
            <w:rPr>
              <w:sz w:val="24"/>
              <w:szCs w:val="24"/>
            </w:rPr>
            <w:t>27</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6441688C">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_Toc31422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4.18 钢板桩施工</w:t>
          </w:r>
          <w:r>
            <w:rPr>
              <w:sz w:val="24"/>
              <w:szCs w:val="24"/>
            </w:rPr>
            <w:tab/>
          </w:r>
          <w:r>
            <w:rPr>
              <w:sz w:val="24"/>
              <w:szCs w:val="24"/>
            </w:rPr>
            <w:fldChar w:fldCharType="begin"/>
          </w:r>
          <w:r>
            <w:rPr>
              <w:sz w:val="24"/>
              <w:szCs w:val="24"/>
            </w:rPr>
            <w:instrText xml:space="preserve"> PAGEREF _Toc31422 \h </w:instrText>
          </w:r>
          <w:r>
            <w:rPr>
              <w:sz w:val="24"/>
              <w:szCs w:val="24"/>
            </w:rPr>
            <w:fldChar w:fldCharType="separate"/>
          </w:r>
          <w:r>
            <w:rPr>
              <w:sz w:val="24"/>
              <w:szCs w:val="24"/>
            </w:rPr>
            <w:t>28</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633ABD97">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_Toc1890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4.19 施工要求及注意事项</w:t>
          </w:r>
          <w:r>
            <w:rPr>
              <w:sz w:val="24"/>
              <w:szCs w:val="24"/>
            </w:rPr>
            <w:tab/>
          </w:r>
          <w:r>
            <w:rPr>
              <w:sz w:val="24"/>
              <w:szCs w:val="24"/>
            </w:rPr>
            <w:fldChar w:fldCharType="begin"/>
          </w:r>
          <w:r>
            <w:rPr>
              <w:sz w:val="24"/>
              <w:szCs w:val="24"/>
            </w:rPr>
            <w:instrText xml:space="preserve"> PAGEREF _Toc1890 \h </w:instrText>
          </w:r>
          <w:r>
            <w:rPr>
              <w:sz w:val="24"/>
              <w:szCs w:val="24"/>
            </w:rPr>
            <w:fldChar w:fldCharType="separate"/>
          </w:r>
          <w:r>
            <w:rPr>
              <w:sz w:val="24"/>
              <w:szCs w:val="24"/>
            </w:rPr>
            <w:t>30</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540E9DB6">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_Toc31303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4.20 道路工程</w:t>
          </w:r>
          <w:r>
            <w:rPr>
              <w:sz w:val="24"/>
              <w:szCs w:val="24"/>
            </w:rPr>
            <w:tab/>
          </w:r>
          <w:r>
            <w:rPr>
              <w:sz w:val="24"/>
              <w:szCs w:val="24"/>
            </w:rPr>
            <w:fldChar w:fldCharType="begin"/>
          </w:r>
          <w:r>
            <w:rPr>
              <w:sz w:val="24"/>
              <w:szCs w:val="24"/>
            </w:rPr>
            <w:instrText xml:space="preserve"> PAGEREF _Toc31303 \h </w:instrText>
          </w:r>
          <w:r>
            <w:rPr>
              <w:sz w:val="24"/>
              <w:szCs w:val="24"/>
            </w:rPr>
            <w:fldChar w:fldCharType="separate"/>
          </w:r>
          <w:r>
            <w:rPr>
              <w:sz w:val="24"/>
              <w:szCs w:val="24"/>
            </w:rPr>
            <w:t>31</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1DFB9C45">
          <w:pPr>
            <w:pStyle w:val="14"/>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_Toc24664 </w:instrText>
          </w:r>
          <w:r>
            <w:rPr>
              <w:rFonts w:hint="eastAsia" w:ascii="仿宋" w:hAnsi="仿宋" w:eastAsia="仿宋" w:cs="仿宋"/>
              <w:spacing w:val="40"/>
              <w:w w:val="95"/>
              <w:kern w:val="0"/>
              <w:sz w:val="24"/>
              <w:szCs w:val="24"/>
              <w:lang w:val="en-US" w:eastAsia="zh-CN" w:bidi="ar-SA"/>
            </w:rPr>
            <w:fldChar w:fldCharType="separate"/>
          </w:r>
          <w:r>
            <w:rPr>
              <w:rFonts w:hint="eastAsia" w:ascii="宋体" w:hAnsi="宋体"/>
              <w:kern w:val="0"/>
              <w:sz w:val="24"/>
              <w:szCs w:val="24"/>
              <w:lang w:val="en-US" w:eastAsia="zh-CN"/>
            </w:rPr>
            <w:t>1）</w:t>
          </w:r>
          <w:r>
            <w:rPr>
              <w:rFonts w:ascii="宋体" w:hAnsi="宋体"/>
              <w:kern w:val="0"/>
              <w:sz w:val="24"/>
              <w:szCs w:val="24"/>
              <w:lang w:val="zh-CN"/>
            </w:rPr>
            <w:t>、标线</w:t>
          </w:r>
          <w:r>
            <w:rPr>
              <w:sz w:val="24"/>
              <w:szCs w:val="24"/>
            </w:rPr>
            <w:tab/>
          </w:r>
          <w:r>
            <w:rPr>
              <w:sz w:val="24"/>
              <w:szCs w:val="24"/>
            </w:rPr>
            <w:fldChar w:fldCharType="begin"/>
          </w:r>
          <w:r>
            <w:rPr>
              <w:sz w:val="24"/>
              <w:szCs w:val="24"/>
            </w:rPr>
            <w:instrText xml:space="preserve"> PAGEREF _Toc24664 \h </w:instrText>
          </w:r>
          <w:r>
            <w:rPr>
              <w:sz w:val="24"/>
              <w:szCs w:val="24"/>
            </w:rPr>
            <w:fldChar w:fldCharType="separate"/>
          </w:r>
          <w:r>
            <w:rPr>
              <w:sz w:val="24"/>
              <w:szCs w:val="24"/>
            </w:rPr>
            <w:t>41</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63B214F5">
          <w:pPr>
            <w:pStyle w:val="14"/>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_Toc5722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sz w:val="24"/>
              <w:szCs w:val="24"/>
              <w:lang w:val="en-US" w:eastAsia="zh-CN"/>
            </w:rPr>
            <w:t>五.环境保护及水土保持</w:t>
          </w:r>
          <w:r>
            <w:rPr>
              <w:sz w:val="24"/>
              <w:szCs w:val="24"/>
            </w:rPr>
            <w:tab/>
          </w:r>
          <w:r>
            <w:rPr>
              <w:sz w:val="24"/>
              <w:szCs w:val="24"/>
            </w:rPr>
            <w:fldChar w:fldCharType="begin"/>
          </w:r>
          <w:r>
            <w:rPr>
              <w:sz w:val="24"/>
              <w:szCs w:val="24"/>
            </w:rPr>
            <w:instrText xml:space="preserve"> PAGEREF _Toc5722 \h </w:instrText>
          </w:r>
          <w:r>
            <w:rPr>
              <w:sz w:val="24"/>
              <w:szCs w:val="24"/>
            </w:rPr>
            <w:fldChar w:fldCharType="separate"/>
          </w:r>
          <w:r>
            <w:rPr>
              <w:sz w:val="24"/>
              <w:szCs w:val="24"/>
            </w:rPr>
            <w:t>44</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5DA8CBDD">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_Toc3684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5.1.采用的环境保护标准</w:t>
          </w:r>
          <w:r>
            <w:rPr>
              <w:sz w:val="24"/>
              <w:szCs w:val="24"/>
            </w:rPr>
            <w:tab/>
          </w:r>
          <w:r>
            <w:rPr>
              <w:sz w:val="24"/>
              <w:szCs w:val="24"/>
            </w:rPr>
            <w:fldChar w:fldCharType="begin"/>
          </w:r>
          <w:r>
            <w:rPr>
              <w:sz w:val="24"/>
              <w:szCs w:val="24"/>
            </w:rPr>
            <w:instrText xml:space="preserve"> PAGEREF _Toc3684 \h </w:instrText>
          </w:r>
          <w:r>
            <w:rPr>
              <w:sz w:val="24"/>
              <w:szCs w:val="24"/>
            </w:rPr>
            <w:fldChar w:fldCharType="separate"/>
          </w:r>
          <w:r>
            <w:rPr>
              <w:sz w:val="24"/>
              <w:szCs w:val="24"/>
            </w:rPr>
            <w:t>44</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1F095E8A">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_Toc8195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5.2.主要污染源</w:t>
          </w:r>
          <w:r>
            <w:rPr>
              <w:sz w:val="24"/>
              <w:szCs w:val="24"/>
            </w:rPr>
            <w:tab/>
          </w:r>
          <w:r>
            <w:rPr>
              <w:sz w:val="24"/>
              <w:szCs w:val="24"/>
            </w:rPr>
            <w:fldChar w:fldCharType="begin"/>
          </w:r>
          <w:r>
            <w:rPr>
              <w:sz w:val="24"/>
              <w:szCs w:val="24"/>
            </w:rPr>
            <w:instrText xml:space="preserve"> PAGEREF _Toc8195 \h </w:instrText>
          </w:r>
          <w:r>
            <w:rPr>
              <w:sz w:val="24"/>
              <w:szCs w:val="24"/>
            </w:rPr>
            <w:fldChar w:fldCharType="separate"/>
          </w:r>
          <w:r>
            <w:rPr>
              <w:sz w:val="24"/>
              <w:szCs w:val="24"/>
            </w:rPr>
            <w:t>44</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5DE687AD">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_Toc26145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5.3.环境影响及对策</w:t>
          </w:r>
          <w:r>
            <w:rPr>
              <w:sz w:val="24"/>
              <w:szCs w:val="24"/>
            </w:rPr>
            <w:tab/>
          </w:r>
          <w:r>
            <w:rPr>
              <w:sz w:val="24"/>
              <w:szCs w:val="24"/>
            </w:rPr>
            <w:fldChar w:fldCharType="begin"/>
          </w:r>
          <w:r>
            <w:rPr>
              <w:sz w:val="24"/>
              <w:szCs w:val="24"/>
            </w:rPr>
            <w:instrText xml:space="preserve"> PAGEREF _Toc26145 \h </w:instrText>
          </w:r>
          <w:r>
            <w:rPr>
              <w:sz w:val="24"/>
              <w:szCs w:val="24"/>
            </w:rPr>
            <w:fldChar w:fldCharType="separate"/>
          </w:r>
          <w:r>
            <w:rPr>
              <w:sz w:val="24"/>
              <w:szCs w:val="24"/>
            </w:rPr>
            <w:t>44</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532790D3">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_Toc10821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5.4.水土保持</w:t>
          </w:r>
          <w:r>
            <w:rPr>
              <w:sz w:val="24"/>
              <w:szCs w:val="24"/>
            </w:rPr>
            <w:tab/>
          </w:r>
          <w:r>
            <w:rPr>
              <w:sz w:val="24"/>
              <w:szCs w:val="24"/>
            </w:rPr>
            <w:fldChar w:fldCharType="begin"/>
          </w:r>
          <w:r>
            <w:rPr>
              <w:sz w:val="24"/>
              <w:szCs w:val="24"/>
            </w:rPr>
            <w:instrText xml:space="preserve"> PAGEREF _Toc10821 \h </w:instrText>
          </w:r>
          <w:r>
            <w:rPr>
              <w:sz w:val="24"/>
              <w:szCs w:val="24"/>
            </w:rPr>
            <w:fldChar w:fldCharType="separate"/>
          </w:r>
          <w:r>
            <w:rPr>
              <w:sz w:val="24"/>
              <w:szCs w:val="24"/>
            </w:rPr>
            <w:t>45</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00988D19">
          <w:pPr>
            <w:pStyle w:val="14"/>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_Toc17422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sz w:val="24"/>
              <w:szCs w:val="24"/>
              <w:lang w:val="en-US" w:eastAsia="zh-CN"/>
            </w:rPr>
            <w:t>六.劳动保护、职业安全与卫生</w:t>
          </w:r>
          <w:r>
            <w:rPr>
              <w:sz w:val="24"/>
              <w:szCs w:val="24"/>
            </w:rPr>
            <w:tab/>
          </w:r>
          <w:r>
            <w:rPr>
              <w:sz w:val="24"/>
              <w:szCs w:val="24"/>
            </w:rPr>
            <w:fldChar w:fldCharType="begin"/>
          </w:r>
          <w:r>
            <w:rPr>
              <w:sz w:val="24"/>
              <w:szCs w:val="24"/>
            </w:rPr>
            <w:instrText xml:space="preserve"> PAGEREF _Toc17422 \h </w:instrText>
          </w:r>
          <w:r>
            <w:rPr>
              <w:sz w:val="24"/>
              <w:szCs w:val="24"/>
            </w:rPr>
            <w:fldChar w:fldCharType="separate"/>
          </w:r>
          <w:r>
            <w:rPr>
              <w:sz w:val="24"/>
              <w:szCs w:val="24"/>
            </w:rPr>
            <w:t>46</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51471365">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_Toc1799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6.1.设计依据</w:t>
          </w:r>
          <w:r>
            <w:rPr>
              <w:sz w:val="24"/>
              <w:szCs w:val="24"/>
            </w:rPr>
            <w:tab/>
          </w:r>
          <w:r>
            <w:rPr>
              <w:sz w:val="24"/>
              <w:szCs w:val="24"/>
            </w:rPr>
            <w:fldChar w:fldCharType="begin"/>
          </w:r>
          <w:r>
            <w:rPr>
              <w:sz w:val="24"/>
              <w:szCs w:val="24"/>
            </w:rPr>
            <w:instrText xml:space="preserve"> PAGEREF _Toc1799 \h </w:instrText>
          </w:r>
          <w:r>
            <w:rPr>
              <w:sz w:val="24"/>
              <w:szCs w:val="24"/>
            </w:rPr>
            <w:fldChar w:fldCharType="separate"/>
          </w:r>
          <w:r>
            <w:rPr>
              <w:sz w:val="24"/>
              <w:szCs w:val="24"/>
            </w:rPr>
            <w:t>46</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36590DCD">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_Toc1104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6.2.主要危害因素</w:t>
          </w:r>
          <w:r>
            <w:rPr>
              <w:sz w:val="24"/>
              <w:szCs w:val="24"/>
            </w:rPr>
            <w:tab/>
          </w:r>
          <w:r>
            <w:rPr>
              <w:sz w:val="24"/>
              <w:szCs w:val="24"/>
            </w:rPr>
            <w:fldChar w:fldCharType="begin"/>
          </w:r>
          <w:r>
            <w:rPr>
              <w:sz w:val="24"/>
              <w:szCs w:val="24"/>
            </w:rPr>
            <w:instrText xml:space="preserve"> PAGEREF _Toc1104 \h </w:instrText>
          </w:r>
          <w:r>
            <w:rPr>
              <w:sz w:val="24"/>
              <w:szCs w:val="24"/>
            </w:rPr>
            <w:fldChar w:fldCharType="separate"/>
          </w:r>
          <w:r>
            <w:rPr>
              <w:sz w:val="24"/>
              <w:szCs w:val="24"/>
            </w:rPr>
            <w:t>46</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67BE9A05">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_Toc5193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6.2.1. 自然因素危害分析</w:t>
          </w:r>
          <w:r>
            <w:rPr>
              <w:sz w:val="24"/>
              <w:szCs w:val="24"/>
            </w:rPr>
            <w:tab/>
          </w:r>
          <w:r>
            <w:rPr>
              <w:sz w:val="24"/>
              <w:szCs w:val="24"/>
            </w:rPr>
            <w:fldChar w:fldCharType="begin"/>
          </w:r>
          <w:r>
            <w:rPr>
              <w:sz w:val="24"/>
              <w:szCs w:val="24"/>
            </w:rPr>
            <w:instrText xml:space="preserve"> PAGEREF _Toc5193 \h </w:instrText>
          </w:r>
          <w:r>
            <w:rPr>
              <w:sz w:val="24"/>
              <w:szCs w:val="24"/>
            </w:rPr>
            <w:fldChar w:fldCharType="separate"/>
          </w:r>
          <w:r>
            <w:rPr>
              <w:sz w:val="24"/>
              <w:szCs w:val="24"/>
            </w:rPr>
            <w:t>46</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488F1F09">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_Toc32145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6.2.2.生产危害因素分析</w:t>
          </w:r>
          <w:r>
            <w:rPr>
              <w:sz w:val="24"/>
              <w:szCs w:val="24"/>
            </w:rPr>
            <w:tab/>
          </w:r>
          <w:r>
            <w:rPr>
              <w:sz w:val="24"/>
              <w:szCs w:val="24"/>
            </w:rPr>
            <w:fldChar w:fldCharType="begin"/>
          </w:r>
          <w:r>
            <w:rPr>
              <w:sz w:val="24"/>
              <w:szCs w:val="24"/>
            </w:rPr>
            <w:instrText xml:space="preserve"> PAGEREF _Toc32145 \h </w:instrText>
          </w:r>
          <w:r>
            <w:rPr>
              <w:sz w:val="24"/>
              <w:szCs w:val="24"/>
            </w:rPr>
            <w:fldChar w:fldCharType="separate"/>
          </w:r>
          <w:r>
            <w:rPr>
              <w:sz w:val="24"/>
              <w:szCs w:val="24"/>
            </w:rPr>
            <w:t>46</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5B8D0164">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_Toc9232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6.3.安全卫生防范防护措施</w:t>
          </w:r>
          <w:r>
            <w:rPr>
              <w:sz w:val="24"/>
              <w:szCs w:val="24"/>
            </w:rPr>
            <w:tab/>
          </w:r>
          <w:r>
            <w:rPr>
              <w:sz w:val="24"/>
              <w:szCs w:val="24"/>
            </w:rPr>
            <w:fldChar w:fldCharType="begin"/>
          </w:r>
          <w:r>
            <w:rPr>
              <w:sz w:val="24"/>
              <w:szCs w:val="24"/>
            </w:rPr>
            <w:instrText xml:space="preserve"> PAGEREF _Toc9232 \h </w:instrText>
          </w:r>
          <w:r>
            <w:rPr>
              <w:sz w:val="24"/>
              <w:szCs w:val="24"/>
            </w:rPr>
            <w:fldChar w:fldCharType="separate"/>
          </w:r>
          <w:r>
            <w:rPr>
              <w:sz w:val="24"/>
              <w:szCs w:val="24"/>
            </w:rPr>
            <w:t>47</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276E6388">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_Toc16316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6.3.1.抗震措施</w:t>
          </w:r>
          <w:r>
            <w:rPr>
              <w:sz w:val="24"/>
              <w:szCs w:val="24"/>
            </w:rPr>
            <w:tab/>
          </w:r>
          <w:r>
            <w:rPr>
              <w:sz w:val="24"/>
              <w:szCs w:val="24"/>
            </w:rPr>
            <w:fldChar w:fldCharType="begin"/>
          </w:r>
          <w:r>
            <w:rPr>
              <w:sz w:val="24"/>
              <w:szCs w:val="24"/>
            </w:rPr>
            <w:instrText xml:space="preserve"> PAGEREF _Toc16316 \h </w:instrText>
          </w:r>
          <w:r>
            <w:rPr>
              <w:sz w:val="24"/>
              <w:szCs w:val="24"/>
            </w:rPr>
            <w:fldChar w:fldCharType="separate"/>
          </w:r>
          <w:r>
            <w:rPr>
              <w:sz w:val="24"/>
              <w:szCs w:val="24"/>
            </w:rPr>
            <w:t>47</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2041D963">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_Toc23728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6.3.2.防洪防淹措施</w:t>
          </w:r>
          <w:r>
            <w:rPr>
              <w:sz w:val="24"/>
              <w:szCs w:val="24"/>
            </w:rPr>
            <w:tab/>
          </w:r>
          <w:r>
            <w:rPr>
              <w:sz w:val="24"/>
              <w:szCs w:val="24"/>
            </w:rPr>
            <w:fldChar w:fldCharType="begin"/>
          </w:r>
          <w:r>
            <w:rPr>
              <w:sz w:val="24"/>
              <w:szCs w:val="24"/>
            </w:rPr>
            <w:instrText xml:space="preserve"> PAGEREF _Toc23728 \h </w:instrText>
          </w:r>
          <w:r>
            <w:rPr>
              <w:sz w:val="24"/>
              <w:szCs w:val="24"/>
            </w:rPr>
            <w:fldChar w:fldCharType="separate"/>
          </w:r>
          <w:r>
            <w:rPr>
              <w:sz w:val="24"/>
              <w:szCs w:val="24"/>
            </w:rPr>
            <w:t>47</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02F1F175">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_Toc7585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6.3.3.防噪声、防振动措施</w:t>
          </w:r>
          <w:r>
            <w:rPr>
              <w:sz w:val="24"/>
              <w:szCs w:val="24"/>
            </w:rPr>
            <w:tab/>
          </w:r>
          <w:r>
            <w:rPr>
              <w:sz w:val="24"/>
              <w:szCs w:val="24"/>
            </w:rPr>
            <w:fldChar w:fldCharType="begin"/>
          </w:r>
          <w:r>
            <w:rPr>
              <w:sz w:val="24"/>
              <w:szCs w:val="24"/>
            </w:rPr>
            <w:instrText xml:space="preserve"> PAGEREF _Toc7585 \h </w:instrText>
          </w:r>
          <w:r>
            <w:rPr>
              <w:sz w:val="24"/>
              <w:szCs w:val="24"/>
            </w:rPr>
            <w:fldChar w:fldCharType="separate"/>
          </w:r>
          <w:r>
            <w:rPr>
              <w:sz w:val="24"/>
              <w:szCs w:val="24"/>
            </w:rPr>
            <w:t>47</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32F793BC">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_Toc7254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6.3.4. 防火防爆措施</w:t>
          </w:r>
          <w:r>
            <w:rPr>
              <w:sz w:val="24"/>
              <w:szCs w:val="24"/>
            </w:rPr>
            <w:tab/>
          </w:r>
          <w:r>
            <w:rPr>
              <w:sz w:val="24"/>
              <w:szCs w:val="24"/>
            </w:rPr>
            <w:fldChar w:fldCharType="begin"/>
          </w:r>
          <w:r>
            <w:rPr>
              <w:sz w:val="24"/>
              <w:szCs w:val="24"/>
            </w:rPr>
            <w:instrText xml:space="preserve"> PAGEREF _Toc7254 \h </w:instrText>
          </w:r>
          <w:r>
            <w:rPr>
              <w:sz w:val="24"/>
              <w:szCs w:val="24"/>
            </w:rPr>
            <w:fldChar w:fldCharType="separate"/>
          </w:r>
          <w:r>
            <w:rPr>
              <w:sz w:val="24"/>
              <w:szCs w:val="24"/>
            </w:rPr>
            <w:t>48</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6372AB39">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_Toc207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6.3.5.防电气伤害措施</w:t>
          </w:r>
          <w:r>
            <w:rPr>
              <w:sz w:val="24"/>
              <w:szCs w:val="24"/>
            </w:rPr>
            <w:tab/>
          </w:r>
          <w:r>
            <w:rPr>
              <w:sz w:val="24"/>
              <w:szCs w:val="24"/>
            </w:rPr>
            <w:fldChar w:fldCharType="begin"/>
          </w:r>
          <w:r>
            <w:rPr>
              <w:sz w:val="24"/>
              <w:szCs w:val="24"/>
            </w:rPr>
            <w:instrText xml:space="preserve"> PAGEREF _Toc207 \h </w:instrText>
          </w:r>
          <w:r>
            <w:rPr>
              <w:sz w:val="24"/>
              <w:szCs w:val="24"/>
            </w:rPr>
            <w:fldChar w:fldCharType="separate"/>
          </w:r>
          <w:r>
            <w:rPr>
              <w:sz w:val="24"/>
              <w:szCs w:val="24"/>
            </w:rPr>
            <w:t>48</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28C12B80">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_Toc518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6.3.6. 防毒措施</w:t>
          </w:r>
          <w:r>
            <w:rPr>
              <w:sz w:val="24"/>
              <w:szCs w:val="24"/>
            </w:rPr>
            <w:tab/>
          </w:r>
          <w:r>
            <w:rPr>
              <w:sz w:val="24"/>
              <w:szCs w:val="24"/>
            </w:rPr>
            <w:fldChar w:fldCharType="begin"/>
          </w:r>
          <w:r>
            <w:rPr>
              <w:sz w:val="24"/>
              <w:szCs w:val="24"/>
            </w:rPr>
            <w:instrText xml:space="preserve"> PAGEREF _Toc518 \h </w:instrText>
          </w:r>
          <w:r>
            <w:rPr>
              <w:sz w:val="24"/>
              <w:szCs w:val="24"/>
            </w:rPr>
            <w:fldChar w:fldCharType="separate"/>
          </w:r>
          <w:r>
            <w:rPr>
              <w:sz w:val="24"/>
              <w:szCs w:val="24"/>
            </w:rPr>
            <w:t>49</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641F4949">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_Toc16678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6.3.7. 防尘措施</w:t>
          </w:r>
          <w:r>
            <w:rPr>
              <w:sz w:val="24"/>
              <w:szCs w:val="24"/>
            </w:rPr>
            <w:tab/>
          </w:r>
          <w:r>
            <w:rPr>
              <w:sz w:val="24"/>
              <w:szCs w:val="24"/>
            </w:rPr>
            <w:fldChar w:fldCharType="begin"/>
          </w:r>
          <w:r>
            <w:rPr>
              <w:sz w:val="24"/>
              <w:szCs w:val="24"/>
            </w:rPr>
            <w:instrText xml:space="preserve"> PAGEREF _Toc16678 \h </w:instrText>
          </w:r>
          <w:r>
            <w:rPr>
              <w:sz w:val="24"/>
              <w:szCs w:val="24"/>
            </w:rPr>
            <w:fldChar w:fldCharType="separate"/>
          </w:r>
          <w:r>
            <w:rPr>
              <w:sz w:val="24"/>
              <w:szCs w:val="24"/>
            </w:rPr>
            <w:t>49</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150AD336">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_Toc3948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6.3.8. 防污染措施</w:t>
          </w:r>
          <w:r>
            <w:rPr>
              <w:sz w:val="24"/>
              <w:szCs w:val="24"/>
            </w:rPr>
            <w:tab/>
          </w:r>
          <w:r>
            <w:rPr>
              <w:sz w:val="24"/>
              <w:szCs w:val="24"/>
            </w:rPr>
            <w:fldChar w:fldCharType="begin"/>
          </w:r>
          <w:r>
            <w:rPr>
              <w:sz w:val="24"/>
              <w:szCs w:val="24"/>
            </w:rPr>
            <w:instrText xml:space="preserve"> PAGEREF _Toc3948 \h </w:instrText>
          </w:r>
          <w:r>
            <w:rPr>
              <w:sz w:val="24"/>
              <w:szCs w:val="24"/>
            </w:rPr>
            <w:fldChar w:fldCharType="separate"/>
          </w:r>
          <w:r>
            <w:rPr>
              <w:sz w:val="24"/>
              <w:szCs w:val="24"/>
            </w:rPr>
            <w:t>50</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14B6AC5F">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_Toc17888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6.3.9. 防腐蚀措施</w:t>
          </w:r>
          <w:r>
            <w:rPr>
              <w:sz w:val="24"/>
              <w:szCs w:val="24"/>
            </w:rPr>
            <w:tab/>
          </w:r>
          <w:r>
            <w:rPr>
              <w:sz w:val="24"/>
              <w:szCs w:val="24"/>
            </w:rPr>
            <w:fldChar w:fldCharType="begin"/>
          </w:r>
          <w:r>
            <w:rPr>
              <w:sz w:val="24"/>
              <w:szCs w:val="24"/>
            </w:rPr>
            <w:instrText xml:space="preserve"> PAGEREF _Toc17888 \h </w:instrText>
          </w:r>
          <w:r>
            <w:rPr>
              <w:sz w:val="24"/>
              <w:szCs w:val="24"/>
            </w:rPr>
            <w:fldChar w:fldCharType="separate"/>
          </w:r>
          <w:r>
            <w:rPr>
              <w:sz w:val="24"/>
              <w:szCs w:val="24"/>
            </w:rPr>
            <w:t>50</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71AE69BE">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_Toc12833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6.3.10.采光与照明</w:t>
          </w:r>
          <w:r>
            <w:rPr>
              <w:sz w:val="24"/>
              <w:szCs w:val="24"/>
            </w:rPr>
            <w:tab/>
          </w:r>
          <w:r>
            <w:rPr>
              <w:sz w:val="24"/>
              <w:szCs w:val="24"/>
            </w:rPr>
            <w:fldChar w:fldCharType="begin"/>
          </w:r>
          <w:r>
            <w:rPr>
              <w:sz w:val="24"/>
              <w:szCs w:val="24"/>
            </w:rPr>
            <w:instrText xml:space="preserve"> PAGEREF _Toc12833 \h </w:instrText>
          </w:r>
          <w:r>
            <w:rPr>
              <w:sz w:val="24"/>
              <w:szCs w:val="24"/>
            </w:rPr>
            <w:fldChar w:fldCharType="separate"/>
          </w:r>
          <w:r>
            <w:rPr>
              <w:sz w:val="24"/>
              <w:szCs w:val="24"/>
            </w:rPr>
            <w:t>50</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213735A7">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_Toc9268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6.3.11.安全标志</w:t>
          </w:r>
          <w:r>
            <w:rPr>
              <w:sz w:val="24"/>
              <w:szCs w:val="24"/>
            </w:rPr>
            <w:tab/>
          </w:r>
          <w:r>
            <w:rPr>
              <w:sz w:val="24"/>
              <w:szCs w:val="24"/>
            </w:rPr>
            <w:fldChar w:fldCharType="begin"/>
          </w:r>
          <w:r>
            <w:rPr>
              <w:sz w:val="24"/>
              <w:szCs w:val="24"/>
            </w:rPr>
            <w:instrText xml:space="preserve"> PAGEREF _Toc9268 \h </w:instrText>
          </w:r>
          <w:r>
            <w:rPr>
              <w:sz w:val="24"/>
              <w:szCs w:val="24"/>
            </w:rPr>
            <w:fldChar w:fldCharType="separate"/>
          </w:r>
          <w:r>
            <w:rPr>
              <w:sz w:val="24"/>
              <w:szCs w:val="24"/>
            </w:rPr>
            <w:t>50</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1C00520A">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_Toc14439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6.4.安全卫生防范防护措施</w:t>
          </w:r>
          <w:r>
            <w:rPr>
              <w:sz w:val="24"/>
              <w:szCs w:val="24"/>
            </w:rPr>
            <w:tab/>
          </w:r>
          <w:r>
            <w:rPr>
              <w:sz w:val="24"/>
              <w:szCs w:val="24"/>
            </w:rPr>
            <w:fldChar w:fldCharType="begin"/>
          </w:r>
          <w:r>
            <w:rPr>
              <w:sz w:val="24"/>
              <w:szCs w:val="24"/>
            </w:rPr>
            <w:instrText xml:space="preserve"> PAGEREF _Toc14439 \h </w:instrText>
          </w:r>
          <w:r>
            <w:rPr>
              <w:sz w:val="24"/>
              <w:szCs w:val="24"/>
            </w:rPr>
            <w:fldChar w:fldCharType="separate"/>
          </w:r>
          <w:r>
            <w:rPr>
              <w:sz w:val="24"/>
              <w:szCs w:val="24"/>
            </w:rPr>
            <w:t>51</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399D35A2">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_Toc20412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6.4.1.施工阶段安全注意事项</w:t>
          </w:r>
          <w:r>
            <w:rPr>
              <w:sz w:val="24"/>
              <w:szCs w:val="24"/>
            </w:rPr>
            <w:tab/>
          </w:r>
          <w:r>
            <w:rPr>
              <w:sz w:val="24"/>
              <w:szCs w:val="24"/>
            </w:rPr>
            <w:fldChar w:fldCharType="begin"/>
          </w:r>
          <w:r>
            <w:rPr>
              <w:sz w:val="24"/>
              <w:szCs w:val="24"/>
            </w:rPr>
            <w:instrText xml:space="preserve"> PAGEREF _Toc20412 \h </w:instrText>
          </w:r>
          <w:r>
            <w:rPr>
              <w:sz w:val="24"/>
              <w:szCs w:val="24"/>
            </w:rPr>
            <w:fldChar w:fldCharType="separate"/>
          </w:r>
          <w:r>
            <w:rPr>
              <w:sz w:val="24"/>
              <w:szCs w:val="24"/>
            </w:rPr>
            <w:t>51</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2FB2C20A">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_Toc5215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6.4.2.管道维护安全注意事项</w:t>
          </w:r>
          <w:r>
            <w:rPr>
              <w:sz w:val="24"/>
              <w:szCs w:val="24"/>
            </w:rPr>
            <w:tab/>
          </w:r>
          <w:r>
            <w:rPr>
              <w:sz w:val="24"/>
              <w:szCs w:val="24"/>
            </w:rPr>
            <w:fldChar w:fldCharType="begin"/>
          </w:r>
          <w:r>
            <w:rPr>
              <w:sz w:val="24"/>
              <w:szCs w:val="24"/>
            </w:rPr>
            <w:instrText xml:space="preserve"> PAGEREF _Toc5215 \h </w:instrText>
          </w:r>
          <w:r>
            <w:rPr>
              <w:sz w:val="24"/>
              <w:szCs w:val="24"/>
            </w:rPr>
            <w:fldChar w:fldCharType="separate"/>
          </w:r>
          <w:r>
            <w:rPr>
              <w:sz w:val="24"/>
              <w:szCs w:val="24"/>
            </w:rPr>
            <w:t>52</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00C93D58">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_Toc21309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6.4.3.井下作业安全注意事项</w:t>
          </w:r>
          <w:r>
            <w:rPr>
              <w:sz w:val="24"/>
              <w:szCs w:val="24"/>
            </w:rPr>
            <w:tab/>
          </w:r>
          <w:r>
            <w:rPr>
              <w:sz w:val="24"/>
              <w:szCs w:val="24"/>
            </w:rPr>
            <w:fldChar w:fldCharType="begin"/>
          </w:r>
          <w:r>
            <w:rPr>
              <w:sz w:val="24"/>
              <w:szCs w:val="24"/>
            </w:rPr>
            <w:instrText xml:space="preserve"> PAGEREF _Toc21309 \h </w:instrText>
          </w:r>
          <w:r>
            <w:rPr>
              <w:sz w:val="24"/>
              <w:szCs w:val="24"/>
            </w:rPr>
            <w:fldChar w:fldCharType="separate"/>
          </w:r>
          <w:r>
            <w:rPr>
              <w:sz w:val="24"/>
              <w:szCs w:val="24"/>
            </w:rPr>
            <w:t>53</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225FD473">
          <w:pPr>
            <w:pStyle w:val="14"/>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_Toc10818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sz w:val="24"/>
              <w:szCs w:val="24"/>
              <w:lang w:val="en-US" w:eastAsia="zh-CN"/>
            </w:rPr>
            <w:t>七 节能设计</w:t>
          </w:r>
          <w:r>
            <w:rPr>
              <w:sz w:val="24"/>
              <w:szCs w:val="24"/>
            </w:rPr>
            <w:tab/>
          </w:r>
          <w:r>
            <w:rPr>
              <w:sz w:val="24"/>
              <w:szCs w:val="24"/>
            </w:rPr>
            <w:fldChar w:fldCharType="begin"/>
          </w:r>
          <w:r>
            <w:rPr>
              <w:sz w:val="24"/>
              <w:szCs w:val="24"/>
            </w:rPr>
            <w:instrText xml:space="preserve"> PAGEREF _Toc10818 \h </w:instrText>
          </w:r>
          <w:r>
            <w:rPr>
              <w:sz w:val="24"/>
              <w:szCs w:val="24"/>
            </w:rPr>
            <w:fldChar w:fldCharType="separate"/>
          </w:r>
          <w:r>
            <w:rPr>
              <w:sz w:val="24"/>
              <w:szCs w:val="24"/>
            </w:rPr>
            <w:t>55</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5F2B40B7">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_Toc31878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7.1 编制依据</w:t>
          </w:r>
          <w:r>
            <w:rPr>
              <w:sz w:val="24"/>
              <w:szCs w:val="24"/>
            </w:rPr>
            <w:tab/>
          </w:r>
          <w:r>
            <w:rPr>
              <w:sz w:val="24"/>
              <w:szCs w:val="24"/>
            </w:rPr>
            <w:fldChar w:fldCharType="begin"/>
          </w:r>
          <w:r>
            <w:rPr>
              <w:sz w:val="24"/>
              <w:szCs w:val="24"/>
            </w:rPr>
            <w:instrText xml:space="preserve"> PAGEREF _Toc31878 \h </w:instrText>
          </w:r>
          <w:r>
            <w:rPr>
              <w:sz w:val="24"/>
              <w:szCs w:val="24"/>
            </w:rPr>
            <w:fldChar w:fldCharType="separate"/>
          </w:r>
          <w:r>
            <w:rPr>
              <w:sz w:val="24"/>
              <w:szCs w:val="24"/>
            </w:rPr>
            <w:t>55</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66229329">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_Toc2351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7.2 节能原则和要求</w:t>
          </w:r>
          <w:r>
            <w:rPr>
              <w:sz w:val="24"/>
              <w:szCs w:val="24"/>
            </w:rPr>
            <w:tab/>
          </w:r>
          <w:r>
            <w:rPr>
              <w:sz w:val="24"/>
              <w:szCs w:val="24"/>
            </w:rPr>
            <w:fldChar w:fldCharType="begin"/>
          </w:r>
          <w:r>
            <w:rPr>
              <w:sz w:val="24"/>
              <w:szCs w:val="24"/>
            </w:rPr>
            <w:instrText xml:space="preserve"> PAGEREF _Toc2351 \h </w:instrText>
          </w:r>
          <w:r>
            <w:rPr>
              <w:sz w:val="24"/>
              <w:szCs w:val="24"/>
            </w:rPr>
            <w:fldChar w:fldCharType="separate"/>
          </w:r>
          <w:r>
            <w:rPr>
              <w:sz w:val="24"/>
              <w:szCs w:val="24"/>
            </w:rPr>
            <w:t>55</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361CD4E3">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_Toc31877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7.3 项目能源消耗情况</w:t>
          </w:r>
          <w:r>
            <w:rPr>
              <w:sz w:val="24"/>
              <w:szCs w:val="24"/>
            </w:rPr>
            <w:tab/>
          </w:r>
          <w:r>
            <w:rPr>
              <w:sz w:val="24"/>
              <w:szCs w:val="24"/>
            </w:rPr>
            <w:fldChar w:fldCharType="begin"/>
          </w:r>
          <w:r>
            <w:rPr>
              <w:sz w:val="24"/>
              <w:szCs w:val="24"/>
            </w:rPr>
            <w:instrText xml:space="preserve"> PAGEREF _Toc31877 \h </w:instrText>
          </w:r>
          <w:r>
            <w:rPr>
              <w:sz w:val="24"/>
              <w:szCs w:val="24"/>
            </w:rPr>
            <w:fldChar w:fldCharType="separate"/>
          </w:r>
          <w:r>
            <w:rPr>
              <w:sz w:val="24"/>
              <w:szCs w:val="24"/>
            </w:rPr>
            <w:t>55</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6CD75DF9">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_Toc11137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7.3.1 能源种类</w:t>
          </w:r>
          <w:r>
            <w:rPr>
              <w:sz w:val="24"/>
              <w:szCs w:val="24"/>
            </w:rPr>
            <w:tab/>
          </w:r>
          <w:r>
            <w:rPr>
              <w:sz w:val="24"/>
              <w:szCs w:val="24"/>
            </w:rPr>
            <w:fldChar w:fldCharType="begin"/>
          </w:r>
          <w:r>
            <w:rPr>
              <w:sz w:val="24"/>
              <w:szCs w:val="24"/>
            </w:rPr>
            <w:instrText xml:space="preserve"> PAGEREF _Toc11137 \h </w:instrText>
          </w:r>
          <w:r>
            <w:rPr>
              <w:sz w:val="24"/>
              <w:szCs w:val="24"/>
            </w:rPr>
            <w:fldChar w:fldCharType="separate"/>
          </w:r>
          <w:r>
            <w:rPr>
              <w:sz w:val="24"/>
              <w:szCs w:val="24"/>
            </w:rPr>
            <w:t>55</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7C073B48">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_Toc17602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7.3.2 能源消耗量</w:t>
          </w:r>
          <w:r>
            <w:rPr>
              <w:sz w:val="24"/>
              <w:szCs w:val="24"/>
            </w:rPr>
            <w:tab/>
          </w:r>
          <w:r>
            <w:rPr>
              <w:sz w:val="24"/>
              <w:szCs w:val="24"/>
            </w:rPr>
            <w:fldChar w:fldCharType="begin"/>
          </w:r>
          <w:r>
            <w:rPr>
              <w:sz w:val="24"/>
              <w:szCs w:val="24"/>
            </w:rPr>
            <w:instrText xml:space="preserve"> PAGEREF _Toc17602 \h </w:instrText>
          </w:r>
          <w:r>
            <w:rPr>
              <w:sz w:val="24"/>
              <w:szCs w:val="24"/>
            </w:rPr>
            <w:fldChar w:fldCharType="separate"/>
          </w:r>
          <w:r>
            <w:rPr>
              <w:sz w:val="24"/>
              <w:szCs w:val="24"/>
            </w:rPr>
            <w:t>55</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1CC36585">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_Toc723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7.4节能效果分析</w:t>
          </w:r>
          <w:r>
            <w:rPr>
              <w:sz w:val="24"/>
              <w:szCs w:val="24"/>
            </w:rPr>
            <w:tab/>
          </w:r>
          <w:r>
            <w:rPr>
              <w:sz w:val="24"/>
              <w:szCs w:val="24"/>
            </w:rPr>
            <w:fldChar w:fldCharType="begin"/>
          </w:r>
          <w:r>
            <w:rPr>
              <w:sz w:val="24"/>
              <w:szCs w:val="24"/>
            </w:rPr>
            <w:instrText xml:space="preserve"> PAGEREF _Toc723 \h </w:instrText>
          </w:r>
          <w:r>
            <w:rPr>
              <w:sz w:val="24"/>
              <w:szCs w:val="24"/>
            </w:rPr>
            <w:fldChar w:fldCharType="separate"/>
          </w:r>
          <w:r>
            <w:rPr>
              <w:sz w:val="24"/>
              <w:szCs w:val="24"/>
            </w:rPr>
            <w:t>55</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5FDBF317">
          <w:pPr>
            <w:pStyle w:val="14"/>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_Toc30167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sz w:val="24"/>
              <w:szCs w:val="24"/>
              <w:lang w:val="en-US" w:eastAsia="zh-CN"/>
            </w:rPr>
            <w:t>八 交通组织</w:t>
          </w:r>
          <w:r>
            <w:rPr>
              <w:sz w:val="24"/>
              <w:szCs w:val="24"/>
            </w:rPr>
            <w:tab/>
          </w:r>
          <w:r>
            <w:rPr>
              <w:sz w:val="24"/>
              <w:szCs w:val="24"/>
            </w:rPr>
            <w:fldChar w:fldCharType="begin"/>
          </w:r>
          <w:r>
            <w:rPr>
              <w:sz w:val="24"/>
              <w:szCs w:val="24"/>
            </w:rPr>
            <w:instrText xml:space="preserve"> PAGEREF _Toc30167 \h </w:instrText>
          </w:r>
          <w:r>
            <w:rPr>
              <w:sz w:val="24"/>
              <w:szCs w:val="24"/>
            </w:rPr>
            <w:fldChar w:fldCharType="separate"/>
          </w:r>
          <w:r>
            <w:rPr>
              <w:sz w:val="24"/>
              <w:szCs w:val="24"/>
            </w:rPr>
            <w:t>57</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30F7B9B7">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_Toc29973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8.1 交通组织原则</w:t>
          </w:r>
          <w:r>
            <w:rPr>
              <w:sz w:val="24"/>
              <w:szCs w:val="24"/>
            </w:rPr>
            <w:tab/>
          </w:r>
          <w:r>
            <w:rPr>
              <w:sz w:val="24"/>
              <w:szCs w:val="24"/>
            </w:rPr>
            <w:fldChar w:fldCharType="begin"/>
          </w:r>
          <w:r>
            <w:rPr>
              <w:sz w:val="24"/>
              <w:szCs w:val="24"/>
            </w:rPr>
            <w:instrText xml:space="preserve"> PAGEREF _Toc29973 \h </w:instrText>
          </w:r>
          <w:r>
            <w:rPr>
              <w:sz w:val="24"/>
              <w:szCs w:val="24"/>
            </w:rPr>
            <w:fldChar w:fldCharType="separate"/>
          </w:r>
          <w:r>
            <w:rPr>
              <w:sz w:val="24"/>
              <w:szCs w:val="24"/>
            </w:rPr>
            <w:t>57</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7921425F">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_Toc3756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8.2 交通疏解设计</w:t>
          </w:r>
          <w:r>
            <w:rPr>
              <w:sz w:val="24"/>
              <w:szCs w:val="24"/>
            </w:rPr>
            <w:tab/>
          </w:r>
          <w:r>
            <w:rPr>
              <w:sz w:val="24"/>
              <w:szCs w:val="24"/>
            </w:rPr>
            <w:fldChar w:fldCharType="begin"/>
          </w:r>
          <w:r>
            <w:rPr>
              <w:sz w:val="24"/>
              <w:szCs w:val="24"/>
            </w:rPr>
            <w:instrText xml:space="preserve"> PAGEREF _Toc3756 \h </w:instrText>
          </w:r>
          <w:r>
            <w:rPr>
              <w:sz w:val="24"/>
              <w:szCs w:val="24"/>
            </w:rPr>
            <w:fldChar w:fldCharType="separate"/>
          </w:r>
          <w:r>
            <w:rPr>
              <w:sz w:val="24"/>
              <w:szCs w:val="24"/>
            </w:rPr>
            <w:t>57</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4AE3970C">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_Toc23396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8.3 交通保障措施</w:t>
          </w:r>
          <w:r>
            <w:rPr>
              <w:sz w:val="24"/>
              <w:szCs w:val="24"/>
            </w:rPr>
            <w:tab/>
          </w:r>
          <w:r>
            <w:rPr>
              <w:sz w:val="24"/>
              <w:szCs w:val="24"/>
            </w:rPr>
            <w:fldChar w:fldCharType="begin"/>
          </w:r>
          <w:r>
            <w:rPr>
              <w:sz w:val="24"/>
              <w:szCs w:val="24"/>
            </w:rPr>
            <w:instrText xml:space="preserve"> PAGEREF _Toc23396 \h </w:instrText>
          </w:r>
          <w:r>
            <w:rPr>
              <w:sz w:val="24"/>
              <w:szCs w:val="24"/>
            </w:rPr>
            <w:fldChar w:fldCharType="separate"/>
          </w:r>
          <w:r>
            <w:rPr>
              <w:sz w:val="24"/>
              <w:szCs w:val="24"/>
            </w:rPr>
            <w:t>57</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3BE31DD4">
          <w:pPr>
            <w:pStyle w:val="14"/>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_Toc19063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sz w:val="24"/>
              <w:szCs w:val="24"/>
              <w:lang w:val="en-US" w:eastAsia="zh-CN"/>
            </w:rPr>
            <w:t>九 项目管理及实施计划</w:t>
          </w:r>
          <w:r>
            <w:rPr>
              <w:sz w:val="24"/>
              <w:szCs w:val="24"/>
            </w:rPr>
            <w:tab/>
          </w:r>
          <w:r>
            <w:rPr>
              <w:sz w:val="24"/>
              <w:szCs w:val="24"/>
            </w:rPr>
            <w:fldChar w:fldCharType="begin"/>
          </w:r>
          <w:r>
            <w:rPr>
              <w:sz w:val="24"/>
              <w:szCs w:val="24"/>
            </w:rPr>
            <w:instrText xml:space="preserve"> PAGEREF _Toc19063 \h </w:instrText>
          </w:r>
          <w:r>
            <w:rPr>
              <w:sz w:val="24"/>
              <w:szCs w:val="24"/>
            </w:rPr>
            <w:fldChar w:fldCharType="separate"/>
          </w:r>
          <w:r>
            <w:rPr>
              <w:sz w:val="24"/>
              <w:szCs w:val="24"/>
            </w:rPr>
            <w:t>61</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2500ADB9">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_Toc22656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9.1实施原则与步骤</w:t>
          </w:r>
          <w:r>
            <w:rPr>
              <w:sz w:val="24"/>
              <w:szCs w:val="24"/>
            </w:rPr>
            <w:tab/>
          </w:r>
          <w:r>
            <w:rPr>
              <w:sz w:val="24"/>
              <w:szCs w:val="24"/>
            </w:rPr>
            <w:fldChar w:fldCharType="begin"/>
          </w:r>
          <w:r>
            <w:rPr>
              <w:sz w:val="24"/>
              <w:szCs w:val="24"/>
            </w:rPr>
            <w:instrText xml:space="preserve"> PAGEREF _Toc22656 \h </w:instrText>
          </w:r>
          <w:r>
            <w:rPr>
              <w:sz w:val="24"/>
              <w:szCs w:val="24"/>
            </w:rPr>
            <w:fldChar w:fldCharType="separate"/>
          </w:r>
          <w:r>
            <w:rPr>
              <w:sz w:val="24"/>
              <w:szCs w:val="24"/>
            </w:rPr>
            <w:t>61</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001AB87F">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_Toc19406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9.2项目管理机构</w:t>
          </w:r>
          <w:r>
            <w:rPr>
              <w:sz w:val="24"/>
              <w:szCs w:val="24"/>
            </w:rPr>
            <w:tab/>
          </w:r>
          <w:r>
            <w:rPr>
              <w:sz w:val="24"/>
              <w:szCs w:val="24"/>
            </w:rPr>
            <w:fldChar w:fldCharType="begin"/>
          </w:r>
          <w:r>
            <w:rPr>
              <w:sz w:val="24"/>
              <w:szCs w:val="24"/>
            </w:rPr>
            <w:instrText xml:space="preserve"> PAGEREF _Toc19406 \h </w:instrText>
          </w:r>
          <w:r>
            <w:rPr>
              <w:sz w:val="24"/>
              <w:szCs w:val="24"/>
            </w:rPr>
            <w:fldChar w:fldCharType="separate"/>
          </w:r>
          <w:r>
            <w:rPr>
              <w:sz w:val="24"/>
              <w:szCs w:val="24"/>
            </w:rPr>
            <w:t>61</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426A4EC9">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_Toc19478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9.2.1实施组织机构</w:t>
          </w:r>
          <w:r>
            <w:rPr>
              <w:sz w:val="24"/>
              <w:szCs w:val="24"/>
            </w:rPr>
            <w:tab/>
          </w:r>
          <w:r>
            <w:rPr>
              <w:sz w:val="24"/>
              <w:szCs w:val="24"/>
            </w:rPr>
            <w:fldChar w:fldCharType="begin"/>
          </w:r>
          <w:r>
            <w:rPr>
              <w:sz w:val="24"/>
              <w:szCs w:val="24"/>
            </w:rPr>
            <w:instrText xml:space="preserve"> PAGEREF _Toc19478 \h </w:instrText>
          </w:r>
          <w:r>
            <w:rPr>
              <w:sz w:val="24"/>
              <w:szCs w:val="24"/>
            </w:rPr>
            <w:fldChar w:fldCharType="separate"/>
          </w:r>
          <w:r>
            <w:rPr>
              <w:sz w:val="24"/>
              <w:szCs w:val="24"/>
            </w:rPr>
            <w:t>61</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0A9794DC">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_Toc25943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9.2.2计划主要履行单位</w:t>
          </w:r>
          <w:r>
            <w:rPr>
              <w:sz w:val="24"/>
              <w:szCs w:val="24"/>
            </w:rPr>
            <w:tab/>
          </w:r>
          <w:r>
            <w:rPr>
              <w:sz w:val="24"/>
              <w:szCs w:val="24"/>
            </w:rPr>
            <w:fldChar w:fldCharType="begin"/>
          </w:r>
          <w:r>
            <w:rPr>
              <w:sz w:val="24"/>
              <w:szCs w:val="24"/>
            </w:rPr>
            <w:instrText xml:space="preserve"> PAGEREF _Toc25943 \h </w:instrText>
          </w:r>
          <w:r>
            <w:rPr>
              <w:sz w:val="24"/>
              <w:szCs w:val="24"/>
            </w:rPr>
            <w:fldChar w:fldCharType="separate"/>
          </w:r>
          <w:r>
            <w:rPr>
              <w:sz w:val="24"/>
              <w:szCs w:val="24"/>
            </w:rPr>
            <w:t>61</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13DAD6BB">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rPr>
              <w:sz w:val="24"/>
              <w:szCs w:val="24"/>
            </w:rPr>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_Toc4409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9.3.运行期管理</w:t>
          </w:r>
          <w:r>
            <w:rPr>
              <w:sz w:val="24"/>
              <w:szCs w:val="24"/>
            </w:rPr>
            <w:tab/>
          </w:r>
          <w:r>
            <w:rPr>
              <w:sz w:val="24"/>
              <w:szCs w:val="24"/>
            </w:rPr>
            <w:fldChar w:fldCharType="begin"/>
          </w:r>
          <w:r>
            <w:rPr>
              <w:sz w:val="24"/>
              <w:szCs w:val="24"/>
            </w:rPr>
            <w:instrText xml:space="preserve"> PAGEREF _Toc4409 \h </w:instrText>
          </w:r>
          <w:r>
            <w:rPr>
              <w:sz w:val="24"/>
              <w:szCs w:val="24"/>
            </w:rPr>
            <w:fldChar w:fldCharType="separate"/>
          </w:r>
          <w:r>
            <w:rPr>
              <w:sz w:val="24"/>
              <w:szCs w:val="24"/>
            </w:rPr>
            <w:t>61</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p>
        <w:p w14:paraId="0CB1D0EB">
          <w:pPr>
            <w:pStyle w:val="15"/>
            <w:keepNext w:val="0"/>
            <w:keepLines w:val="0"/>
            <w:pageBreakBefore w:val="0"/>
            <w:widowControl w:val="0"/>
            <w:tabs>
              <w:tab w:val="right" w:leader="dot" w:pos="10102"/>
            </w:tabs>
            <w:kinsoku/>
            <w:wordWrap/>
            <w:overflowPunct/>
            <w:topLinePunct w:val="0"/>
            <w:autoSpaceDE/>
            <w:autoSpaceDN/>
            <w:bidi w:val="0"/>
            <w:adjustRightInd/>
            <w:snapToGrid/>
            <w:spacing w:line="360" w:lineRule="auto"/>
            <w:textAlignment w:val="auto"/>
          </w:pPr>
          <w:r>
            <w:rPr>
              <w:rFonts w:hint="eastAsia" w:ascii="仿宋" w:hAnsi="仿宋" w:eastAsia="仿宋" w:cs="仿宋"/>
              <w:color w:val="auto"/>
              <w:spacing w:val="40"/>
              <w:w w:val="95"/>
              <w:kern w:val="0"/>
              <w:sz w:val="24"/>
              <w:szCs w:val="24"/>
              <w:lang w:val="en-US" w:eastAsia="zh-CN" w:bidi="ar-SA"/>
            </w:rPr>
            <w:fldChar w:fldCharType="begin"/>
          </w:r>
          <w:r>
            <w:rPr>
              <w:rFonts w:hint="eastAsia" w:ascii="仿宋" w:hAnsi="仿宋" w:eastAsia="仿宋" w:cs="仿宋"/>
              <w:spacing w:val="40"/>
              <w:w w:val="95"/>
              <w:kern w:val="0"/>
              <w:sz w:val="24"/>
              <w:szCs w:val="24"/>
              <w:lang w:val="en-US" w:eastAsia="zh-CN" w:bidi="ar-SA"/>
            </w:rPr>
            <w:instrText xml:space="preserve"> HYPERLINK \l _Toc5329 </w:instrText>
          </w:r>
          <w:r>
            <w:rPr>
              <w:rFonts w:hint="eastAsia" w:ascii="仿宋" w:hAnsi="仿宋" w:eastAsia="仿宋" w:cs="仿宋"/>
              <w:spacing w:val="40"/>
              <w:w w:val="95"/>
              <w:kern w:val="0"/>
              <w:sz w:val="24"/>
              <w:szCs w:val="24"/>
              <w:lang w:val="en-US" w:eastAsia="zh-CN" w:bidi="ar-SA"/>
            </w:rPr>
            <w:fldChar w:fldCharType="separate"/>
          </w:r>
          <w:r>
            <w:rPr>
              <w:rFonts w:hint="eastAsia" w:ascii="仿宋" w:hAnsi="仿宋" w:eastAsia="仿宋" w:cs="仿宋"/>
              <w:bCs/>
              <w:sz w:val="24"/>
              <w:szCs w:val="24"/>
              <w:lang w:val="en-US" w:eastAsia="zh-CN"/>
            </w:rPr>
            <w:t>9.4.运营维护方案</w:t>
          </w:r>
          <w:r>
            <w:rPr>
              <w:sz w:val="24"/>
              <w:szCs w:val="24"/>
            </w:rPr>
            <w:tab/>
          </w:r>
          <w:r>
            <w:rPr>
              <w:sz w:val="24"/>
              <w:szCs w:val="24"/>
            </w:rPr>
            <w:fldChar w:fldCharType="begin"/>
          </w:r>
          <w:r>
            <w:rPr>
              <w:sz w:val="24"/>
              <w:szCs w:val="24"/>
            </w:rPr>
            <w:instrText xml:space="preserve"> PAGEREF _Toc5329 \h </w:instrText>
          </w:r>
          <w:r>
            <w:rPr>
              <w:sz w:val="24"/>
              <w:szCs w:val="24"/>
            </w:rPr>
            <w:fldChar w:fldCharType="separate"/>
          </w:r>
          <w:r>
            <w:rPr>
              <w:sz w:val="24"/>
              <w:szCs w:val="24"/>
            </w:rPr>
            <w:t>62</w:t>
          </w:r>
          <w:r>
            <w:rPr>
              <w:sz w:val="24"/>
              <w:szCs w:val="24"/>
            </w:rPr>
            <w:fldChar w:fldCharType="end"/>
          </w:r>
          <w:r>
            <w:rPr>
              <w:rFonts w:hint="eastAsia" w:ascii="仿宋" w:hAnsi="仿宋" w:eastAsia="仿宋" w:cs="仿宋"/>
              <w:color w:val="auto"/>
              <w:spacing w:val="40"/>
              <w:w w:val="95"/>
              <w:kern w:val="0"/>
              <w:sz w:val="24"/>
              <w:szCs w:val="24"/>
              <w:lang w:val="en-US" w:eastAsia="zh-CN" w:bidi="ar-SA"/>
            </w:rPr>
            <w:fldChar w:fldCharType="end"/>
          </w:r>
          <w:bookmarkEnd w:id="229"/>
        </w:p>
        <w:p w14:paraId="12D4D957">
          <w:pPr>
            <w:pStyle w:val="24"/>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仿宋" w:hAnsi="仿宋" w:eastAsia="仿宋" w:cs="仿宋"/>
              <w:color w:val="auto"/>
              <w:spacing w:val="40"/>
              <w:w w:val="95"/>
              <w:kern w:val="0"/>
              <w:sz w:val="21"/>
              <w:szCs w:val="44"/>
              <w:lang w:val="en-US" w:eastAsia="zh-CN" w:bidi="ar-SA"/>
            </w:rPr>
          </w:pPr>
          <w:r>
            <w:rPr>
              <w:rFonts w:hint="eastAsia" w:ascii="仿宋" w:hAnsi="仿宋" w:eastAsia="仿宋" w:cs="仿宋"/>
              <w:color w:val="auto"/>
              <w:spacing w:val="40"/>
              <w:w w:val="95"/>
              <w:kern w:val="0"/>
              <w:szCs w:val="24"/>
              <w:lang w:val="en-US" w:eastAsia="zh-CN" w:bidi="ar-SA"/>
            </w:rPr>
            <w:fldChar w:fldCharType="end"/>
          </w:r>
        </w:p>
      </w:sdtContent>
    </w:sdt>
    <w:p w14:paraId="107850E8">
      <w:pPr>
        <w:pStyle w:val="24"/>
        <w:tabs>
          <w:tab w:val="center" w:pos="5108"/>
        </w:tabs>
        <w:spacing w:before="312" w:beforeLines="100" w:after="312" w:afterLines="100"/>
        <w:jc w:val="center"/>
        <w:rPr>
          <w:rFonts w:hint="eastAsia" w:ascii="仿宋" w:hAnsi="仿宋" w:eastAsia="仿宋" w:cs="仿宋"/>
          <w:b/>
          <w:color w:val="auto"/>
          <w:spacing w:val="40"/>
          <w:w w:val="95"/>
          <w:kern w:val="0"/>
          <w:sz w:val="44"/>
          <w:szCs w:val="44"/>
          <w:lang w:val="en-US" w:eastAsia="zh-CN"/>
        </w:rPr>
        <w:sectPr>
          <w:headerReference r:id="rId3" w:type="default"/>
          <w:footerReference r:id="rId4" w:type="default"/>
          <w:pgSz w:w="23814" w:h="16840" w:orient="landscape"/>
          <w:pgMar w:top="1417" w:right="1134" w:bottom="1134" w:left="1701" w:header="1089" w:footer="1141" w:gutter="0"/>
          <w:pgBorders>
            <w:top w:val="none" w:sz="0" w:space="0"/>
            <w:left w:val="none" w:sz="0" w:space="0"/>
            <w:bottom w:val="none" w:sz="0" w:space="0"/>
            <w:right w:val="none" w:sz="0" w:space="0"/>
          </w:pgBorders>
          <w:pgNumType w:fmt="decimal" w:start="1"/>
          <w:cols w:space="775" w:num="2"/>
          <w:rtlGutter w:val="0"/>
          <w:docGrid w:type="lines" w:linePitch="312" w:charSpace="0"/>
        </w:sectPr>
      </w:pPr>
    </w:p>
    <w:p w14:paraId="7EF8DF7C">
      <w:pPr>
        <w:pStyle w:val="24"/>
        <w:tabs>
          <w:tab w:val="center" w:pos="5108"/>
        </w:tabs>
        <w:spacing w:before="312" w:beforeLines="100" w:after="312" w:afterLines="100"/>
        <w:jc w:val="center"/>
        <w:rPr>
          <w:rFonts w:hint="eastAsia" w:ascii="仿宋" w:hAnsi="仿宋" w:eastAsia="仿宋" w:cs="仿宋"/>
          <w:b/>
          <w:color w:val="auto"/>
          <w:spacing w:val="40"/>
          <w:w w:val="95"/>
          <w:kern w:val="0"/>
          <w:sz w:val="44"/>
          <w:szCs w:val="44"/>
        </w:rPr>
      </w:pPr>
      <w:r>
        <w:rPr>
          <w:rFonts w:hint="eastAsia" w:ascii="仿宋" w:hAnsi="仿宋" w:eastAsia="仿宋" w:cs="仿宋"/>
          <w:b/>
          <w:color w:val="auto"/>
          <w:spacing w:val="40"/>
          <w:w w:val="95"/>
          <w:kern w:val="0"/>
          <w:sz w:val="44"/>
          <w:szCs w:val="44"/>
          <w:lang w:val="en-US" w:eastAsia="zh-CN"/>
        </w:rPr>
        <w:t>初步</w:t>
      </w:r>
      <w:r>
        <w:rPr>
          <w:rFonts w:hint="eastAsia" w:ascii="仿宋" w:hAnsi="仿宋" w:eastAsia="仿宋" w:cs="仿宋"/>
          <w:b/>
          <w:color w:val="auto"/>
          <w:spacing w:val="40"/>
          <w:w w:val="95"/>
          <w:kern w:val="0"/>
          <w:sz w:val="44"/>
          <w:szCs w:val="44"/>
        </w:rPr>
        <w:t>设计说明</w:t>
      </w:r>
    </w:p>
    <w:p w14:paraId="1BAACE37">
      <w:pPr>
        <w:pStyle w:val="2"/>
        <w:keepNext w:val="0"/>
        <w:keepLines w:val="0"/>
        <w:pageBreakBefore w:val="0"/>
        <w:widowControl/>
        <w:kinsoku/>
        <w:wordWrap/>
        <w:overflowPunct/>
        <w:topLinePunct w:val="0"/>
        <w:autoSpaceDE/>
        <w:autoSpaceDN/>
        <w:bidi w:val="0"/>
        <w:adjustRightInd/>
        <w:snapToGrid/>
        <w:spacing w:before="147" w:beforeLines="50" w:beforeAutospacing="0" w:after="147" w:afterLines="50" w:afterAutospacing="0" w:line="360" w:lineRule="auto"/>
        <w:jc w:val="center"/>
        <w:textAlignment w:val="auto"/>
        <w:rPr>
          <w:rFonts w:hint="eastAsia" w:ascii="仿宋" w:hAnsi="仿宋" w:eastAsia="仿宋" w:cs="仿宋"/>
          <w:color w:val="auto"/>
          <w:sz w:val="28"/>
          <w:szCs w:val="28"/>
          <w:lang w:val="en-US" w:eastAsia="zh-CN"/>
        </w:rPr>
        <w:sectPr>
          <w:headerReference r:id="rId5" w:type="default"/>
          <w:footerReference r:id="rId6" w:type="default"/>
          <w:pgSz w:w="23814" w:h="16840" w:orient="landscape"/>
          <w:pgMar w:top="1417" w:right="1134" w:bottom="1134" w:left="1701" w:header="850" w:footer="907" w:gutter="0"/>
          <w:pgBorders>
            <w:top w:val="none" w:sz="0" w:space="0"/>
            <w:left w:val="none" w:sz="0" w:space="0"/>
            <w:bottom w:val="none" w:sz="0" w:space="0"/>
            <w:right w:val="none" w:sz="0" w:space="0"/>
          </w:pgBorders>
          <w:pgNumType w:fmt="decimal"/>
          <w:cols w:space="425" w:num="1"/>
          <w:rtlGutter w:val="0"/>
          <w:docGrid w:type="lines" w:linePitch="292" w:charSpace="23644"/>
        </w:sectPr>
      </w:pPr>
    </w:p>
    <w:p w14:paraId="631E3011">
      <w:pPr>
        <w:pStyle w:val="2"/>
        <w:keepNext w:val="0"/>
        <w:keepLines w:val="0"/>
        <w:pageBreakBefore w:val="0"/>
        <w:widowControl/>
        <w:kinsoku/>
        <w:wordWrap/>
        <w:overflowPunct/>
        <w:topLinePunct w:val="0"/>
        <w:autoSpaceDE/>
        <w:autoSpaceDN/>
        <w:bidi w:val="0"/>
        <w:adjustRightInd/>
        <w:snapToGrid/>
        <w:spacing w:before="147" w:beforeLines="50" w:beforeAutospacing="0" w:after="147" w:afterLines="50" w:afterAutospacing="0" w:line="360" w:lineRule="auto"/>
        <w:jc w:val="center"/>
        <w:textAlignment w:val="auto"/>
        <w:rPr>
          <w:rFonts w:hint="eastAsia" w:ascii="仿宋" w:hAnsi="仿宋" w:eastAsia="仿宋" w:cs="仿宋"/>
          <w:color w:val="auto"/>
          <w:sz w:val="28"/>
          <w:szCs w:val="28"/>
          <w:lang w:val="en-US" w:eastAsia="zh-CN"/>
        </w:rPr>
      </w:pPr>
      <w:bookmarkStart w:id="0" w:name="_Toc8691"/>
      <w:r>
        <w:rPr>
          <w:rFonts w:hint="eastAsia" w:ascii="仿宋" w:hAnsi="仿宋" w:eastAsia="仿宋" w:cs="仿宋"/>
          <w:color w:val="auto"/>
          <w:sz w:val="28"/>
          <w:szCs w:val="28"/>
          <w:lang w:val="en-US" w:eastAsia="zh-CN"/>
        </w:rPr>
        <w:t>一、项目概述</w:t>
      </w:r>
      <w:bookmarkEnd w:id="0"/>
    </w:p>
    <w:p w14:paraId="6289D177">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 w:name="_Toc10093"/>
      <w:r>
        <w:rPr>
          <w:rFonts w:hint="eastAsia" w:ascii="仿宋" w:hAnsi="仿宋" w:eastAsia="仿宋" w:cs="仿宋"/>
          <w:b/>
          <w:bCs/>
          <w:color w:val="auto"/>
          <w:sz w:val="28"/>
          <w:szCs w:val="28"/>
          <w:lang w:val="en-US" w:eastAsia="zh-CN"/>
        </w:rPr>
        <w:t>1.1. 工程概况</w:t>
      </w:r>
      <w:bookmarkEnd w:id="1"/>
    </w:p>
    <w:p w14:paraId="3EA28FB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项目名称：岳阳市岳阳楼区城东片区排水管网改造工程。</w:t>
      </w:r>
    </w:p>
    <w:p w14:paraId="0DEA63BE">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32" w:firstLineChars="200"/>
        <w:textAlignment w:val="auto"/>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建设地点：本次对6处区域进行排水改造。分别为红盾新村、大桥新城、廖家小区、金凤桥办事处梅子柿社区、西塘镇西塘社区、瓦子坡路临时道路排水改造。</w:t>
      </w:r>
    </w:p>
    <w:p w14:paraId="7A615514">
      <w:pPr>
        <w:spacing w:line="360" w:lineRule="auto"/>
        <w:ind w:firstLine="532" w:firstLineChars="200"/>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drawing>
          <wp:inline distT="0" distB="0" distL="114300" distR="114300">
            <wp:extent cx="6019165" cy="5109845"/>
            <wp:effectExtent l="0" t="0" r="635" b="1460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8"/>
                    <a:srcRect b="10067"/>
                    <a:stretch>
                      <a:fillRect/>
                    </a:stretch>
                  </pic:blipFill>
                  <pic:spPr>
                    <a:xfrm>
                      <a:off x="0" y="0"/>
                      <a:ext cx="6019165" cy="5109845"/>
                    </a:xfrm>
                    <a:prstGeom prst="rect">
                      <a:avLst/>
                    </a:prstGeom>
                    <a:noFill/>
                    <a:ln>
                      <a:noFill/>
                    </a:ln>
                  </pic:spPr>
                </pic:pic>
              </a:graphicData>
            </a:graphic>
          </wp:inline>
        </w:drawing>
      </w:r>
    </w:p>
    <w:p w14:paraId="159553E3">
      <w:pPr>
        <w:pStyle w:val="3"/>
        <w:keepNext/>
        <w:keepLines/>
        <w:pageBreakBefore w:val="0"/>
        <w:widowControl w:val="0"/>
        <w:kinsoku/>
        <w:wordWrap/>
        <w:overflowPunct/>
        <w:topLinePunct w:val="0"/>
        <w:autoSpaceDE/>
        <w:autoSpaceDN/>
        <w:bidi w:val="0"/>
        <w:adjustRightInd/>
        <w:snapToGrid/>
        <w:spacing w:before="0" w:after="0" w:line="360" w:lineRule="auto"/>
        <w:textAlignment w:val="auto"/>
      </w:pPr>
    </w:p>
    <w:p w14:paraId="30AFB08B">
      <w:pPr>
        <w:pStyle w:val="3"/>
        <w:keepNext/>
        <w:keepLines/>
        <w:pageBreakBefore w:val="0"/>
        <w:widowControl w:val="0"/>
        <w:kinsoku/>
        <w:wordWrap/>
        <w:overflowPunct/>
        <w:topLinePunct w:val="0"/>
        <w:autoSpaceDE/>
        <w:autoSpaceDN/>
        <w:bidi w:val="0"/>
        <w:adjustRightInd/>
        <w:snapToGrid/>
        <w:spacing w:before="0" w:after="0" w:line="360" w:lineRule="auto"/>
        <w:textAlignment w:val="auto"/>
      </w:pPr>
    </w:p>
    <w:p w14:paraId="0FB469F3">
      <w:pPr>
        <w:spacing w:line="360" w:lineRule="auto"/>
        <w:ind w:firstLine="532" w:firstLineChars="200"/>
        <w:rPr>
          <w:rFonts w:hint="eastAsia" w:ascii="仿宋" w:hAnsi="仿宋" w:eastAsia="仿宋" w:cs="仿宋"/>
          <w:color w:val="auto"/>
          <w:w w:val="95"/>
          <w:sz w:val="28"/>
          <w:szCs w:val="28"/>
          <w:lang w:val="en-US" w:eastAsia="zh-CN"/>
        </w:rPr>
      </w:pPr>
      <w:bookmarkStart w:id="2" w:name="_Toc20797"/>
      <w:bookmarkStart w:id="3" w:name="_Toc31982"/>
      <w:bookmarkStart w:id="4" w:name="_Toc3596"/>
      <w:r>
        <w:rPr>
          <w:rFonts w:hint="eastAsia" w:ascii="仿宋" w:hAnsi="仿宋" w:eastAsia="仿宋" w:cs="仿宋"/>
          <w:color w:val="auto"/>
          <w:w w:val="95"/>
          <w:sz w:val="28"/>
          <w:szCs w:val="28"/>
          <w:lang w:val="en-US" w:eastAsia="zh-CN"/>
        </w:rPr>
        <w:drawing>
          <wp:inline distT="0" distB="0" distL="114300" distR="114300">
            <wp:extent cx="6010275" cy="6279515"/>
            <wp:effectExtent l="0" t="0" r="9525"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6010275" cy="6279515"/>
                    </a:xfrm>
                    <a:prstGeom prst="rect">
                      <a:avLst/>
                    </a:prstGeom>
                    <a:noFill/>
                    <a:ln>
                      <a:noFill/>
                    </a:ln>
                  </pic:spPr>
                </pic:pic>
              </a:graphicData>
            </a:graphic>
          </wp:inline>
        </w:drawing>
      </w:r>
      <w:bookmarkEnd w:id="2"/>
      <w:bookmarkEnd w:id="3"/>
      <w:bookmarkEnd w:id="4"/>
    </w:p>
    <w:p w14:paraId="51FCF5E0">
      <w:pPr>
        <w:pStyle w:val="3"/>
        <w:keepNext/>
        <w:keepLines/>
        <w:pageBreakBefore w:val="0"/>
        <w:widowControl w:val="0"/>
        <w:kinsoku/>
        <w:wordWrap/>
        <w:overflowPunct/>
        <w:topLinePunct w:val="0"/>
        <w:autoSpaceDE/>
        <w:autoSpaceDN/>
        <w:bidi w:val="0"/>
        <w:adjustRightInd/>
        <w:snapToGrid/>
        <w:spacing w:before="0" w:after="0" w:line="360" w:lineRule="auto"/>
        <w:textAlignment w:val="auto"/>
      </w:pPr>
    </w:p>
    <w:p w14:paraId="0BFF4C0B">
      <w:pPr>
        <w:spacing w:line="360" w:lineRule="auto"/>
        <w:jc w:val="both"/>
        <w:rPr>
          <w:rFonts w:hint="eastAsia" w:ascii="仿宋" w:hAnsi="仿宋" w:eastAsia="仿宋" w:cs="仿宋"/>
          <w:b/>
          <w:bCs/>
          <w:color w:val="auto"/>
          <w:sz w:val="28"/>
          <w:szCs w:val="28"/>
          <w:lang w:val="en-US" w:eastAsia="zh-CN"/>
        </w:rPr>
      </w:pPr>
      <w:bookmarkStart w:id="5" w:name="_Toc23836"/>
      <w:r>
        <w:rPr>
          <w:rFonts w:hint="eastAsia" w:ascii="仿宋" w:hAnsi="仿宋" w:eastAsia="仿宋" w:cs="仿宋"/>
          <w:color w:val="auto"/>
          <w:w w:val="95"/>
          <w:sz w:val="28"/>
          <w:szCs w:val="28"/>
          <w:lang w:val="en-US" w:eastAsia="zh-CN"/>
        </w:rPr>
        <w:drawing>
          <wp:inline distT="0" distB="0" distL="114300" distR="114300">
            <wp:extent cx="6411595" cy="4601210"/>
            <wp:effectExtent l="0" t="0" r="8255" b="889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0"/>
                    <a:stretch>
                      <a:fillRect/>
                    </a:stretch>
                  </pic:blipFill>
                  <pic:spPr>
                    <a:xfrm>
                      <a:off x="0" y="0"/>
                      <a:ext cx="6411595" cy="4601210"/>
                    </a:xfrm>
                    <a:prstGeom prst="rect">
                      <a:avLst/>
                    </a:prstGeom>
                    <a:noFill/>
                    <a:ln>
                      <a:noFill/>
                    </a:ln>
                  </pic:spPr>
                </pic:pic>
              </a:graphicData>
            </a:graphic>
          </wp:inline>
        </w:drawing>
      </w:r>
      <w:bookmarkEnd w:id="5"/>
    </w:p>
    <w:p w14:paraId="3F44CA7F">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6" w:name="_Toc3627"/>
      <w:r>
        <w:rPr>
          <w:rFonts w:hint="eastAsia" w:ascii="仿宋" w:hAnsi="仿宋" w:eastAsia="仿宋" w:cs="仿宋"/>
          <w:b/>
          <w:bCs/>
          <w:color w:val="auto"/>
          <w:sz w:val="28"/>
          <w:szCs w:val="28"/>
          <w:lang w:val="en-US" w:eastAsia="zh-CN"/>
        </w:rPr>
        <w:t>1.2. 设计规范、规程与技术标准</w:t>
      </w:r>
      <w:bookmarkEnd w:id="6"/>
    </w:p>
    <w:p w14:paraId="3F98D69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（1）《城市排水工程规划规范》（GB50318-2017）</w:t>
      </w:r>
    </w:p>
    <w:p w14:paraId="4658D39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（2）《室外排水设计标准》（GB50014-2021）</w:t>
      </w:r>
    </w:p>
    <w:p w14:paraId="5D24787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（3）《室外给水设计标准》（GB 50013—2018）</w:t>
      </w:r>
    </w:p>
    <w:p w14:paraId="3D8B7AD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（4）《给水排水工程管道结构设计规范》（GB50332-2002）</w:t>
      </w:r>
    </w:p>
    <w:p w14:paraId="71E172D0">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（5）《给水排水工程构筑物结构设计规范》（GB50069-2002）</w:t>
      </w:r>
    </w:p>
    <w:p w14:paraId="70CED87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（6）《城市工程管线综合规划规范》（GB50289-2016）</w:t>
      </w:r>
    </w:p>
    <w:p w14:paraId="5EC41F20">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（7）《给水排水管道工程施工及验收规范》（GB50268-2008）</w:t>
      </w:r>
    </w:p>
    <w:p w14:paraId="01B2BC3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（8）《室外给水排水和燃气热力工程抗震设计规范》（GB50032-2003）</w:t>
      </w:r>
    </w:p>
    <w:p w14:paraId="1FB5A54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（9）《砌体结构设计规范》（GB50003-2011）</w:t>
      </w:r>
    </w:p>
    <w:p w14:paraId="4680DA2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（10）《混凝土结构设计规范》（2015年版）（GB50010-2010）</w:t>
      </w:r>
    </w:p>
    <w:p w14:paraId="3984893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（11）《球墨铸铁单层井盖及踏步施工》（14S501）</w:t>
      </w:r>
    </w:p>
    <w:p w14:paraId="3E67BC5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（12）《建筑地基基础设计规范》（GB50007-2011）</w:t>
      </w:r>
    </w:p>
    <w:p w14:paraId="321B0FD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（13）《建筑基坑支护技术规程》（JGJ120-2012）</w:t>
      </w:r>
    </w:p>
    <w:p w14:paraId="4BA8BE3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（14）《城乡排水工程项目规范》（GB55027-2022）</w:t>
      </w:r>
    </w:p>
    <w:p w14:paraId="2A37EB6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（15）《城市给水工程项目规范》（GB 55026-2022）</w:t>
      </w:r>
    </w:p>
    <w:p w14:paraId="15AEF34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（16）《污水排入城镇下水道水质标准》（GB/T 31962-2015）</w:t>
      </w:r>
    </w:p>
    <w:p w14:paraId="3088405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（17）《雨水口》（16S518）</w:t>
      </w:r>
    </w:p>
    <w:p w14:paraId="71C5D9B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（18）《检查井盖》（GB/T 23858-2009）</w:t>
      </w:r>
    </w:p>
    <w:p w14:paraId="6C17E4B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（19）《排水管道出水口》（20S517）</w:t>
      </w:r>
    </w:p>
    <w:p w14:paraId="1F1FF0E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（20）《安全网》（GB5725-2009）</w:t>
      </w:r>
    </w:p>
    <w:p w14:paraId="6EBAB78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（21）《市政排水管道工程及附属设施》（图集号06MS201-3）1~3节</w:t>
      </w:r>
    </w:p>
    <w:p w14:paraId="045C1E4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（22）《埋地塑料排水管道工程技术规程》（CJJ143-2010）</w:t>
      </w:r>
    </w:p>
    <w:p w14:paraId="5DC76BC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（23）建设部关于发布建设事业“十一五”推广应用和限制禁止使用技术（第一批）的公告（2007.06）</w:t>
      </w:r>
    </w:p>
    <w:p w14:paraId="3F3212F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（24）《中华人民共和国工程建设标准现行强制性条文城镇建设部分》（2013年版）</w:t>
      </w:r>
    </w:p>
    <w:p w14:paraId="4FEF011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（25）其他相关现行设计规范、标准及强制性条文。</w:t>
      </w:r>
    </w:p>
    <w:p w14:paraId="38AB5FBB">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7" w:name="_Toc10655"/>
      <w:r>
        <w:rPr>
          <w:rFonts w:hint="eastAsia" w:ascii="仿宋" w:hAnsi="仿宋" w:eastAsia="仿宋" w:cs="仿宋"/>
          <w:b/>
          <w:bCs/>
          <w:color w:val="auto"/>
          <w:sz w:val="28"/>
          <w:szCs w:val="28"/>
          <w:lang w:val="en-US" w:eastAsia="zh-CN"/>
        </w:rPr>
        <w:t>1.3.编制原则</w:t>
      </w:r>
      <w:bookmarkEnd w:id="7"/>
    </w:p>
    <w:p w14:paraId="5033C5D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（1）根据“统一规划、合理布局、综合开发、配套建设”的方针，从实际情况出 发，在城镇总体规划、排水专项规划和实施指南的指导下，采取统筹协调、系统谋划、 近远结合、分步实施、建管并重、注重长效的原则，使工程建设与城市的发展相协调， 既保护环境，又最大程度地发挥工程效益；</w:t>
      </w:r>
    </w:p>
    <w:p w14:paraId="3673776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（2）贯彻执行国家关于环境保护的政策，符合国家的有关法规、规范及标准；</w:t>
      </w:r>
    </w:p>
    <w:p w14:paraId="48869CD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（3）工程设计方案按实际情况因地施用，因地制宜，充分发挥现有排水设施功能， 减少工程投资；</w:t>
      </w:r>
    </w:p>
    <w:p w14:paraId="7F96413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（4）为确保工程的可靠性及有效性，提高自动化水平，降低运行费用，减少日常 维护检修工作量，改善工人操作条件。</w:t>
      </w:r>
    </w:p>
    <w:p w14:paraId="20E3D0E8">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8" w:name="_Toc2220"/>
      <w:r>
        <w:rPr>
          <w:rFonts w:hint="eastAsia" w:ascii="仿宋" w:hAnsi="仿宋" w:eastAsia="仿宋" w:cs="仿宋"/>
          <w:b/>
          <w:bCs/>
          <w:color w:val="auto"/>
          <w:sz w:val="28"/>
          <w:szCs w:val="28"/>
          <w:lang w:val="en-US" w:eastAsia="zh-CN"/>
        </w:rPr>
        <w:t>1.4.工程目标</w:t>
      </w:r>
      <w:bookmarkEnd w:id="8"/>
    </w:p>
    <w:p w14:paraId="001B0F3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实施城东片区排水管网改造，是解决当前排水突出问题、保障民生安全、改善水环境、完善城市功能、落实长江大保护战略的迫切需要，具有极强的现实必要性与长远意义。</w:t>
      </w:r>
    </w:p>
    <w:p w14:paraId="6259A410">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（1）解决现状排水系统严重缺陷，消除民生与安全隐患</w:t>
      </w:r>
    </w:p>
    <w:p w14:paraId="6798E08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雨污混流、管网错漏问题突出城东片区现状多为合流制管网，存在大量错接、混接、漏接现象岳阳市岳阳楼区人民政府。污水混入雨水管直排河湖，雨水接入污水管增加处理负荷、导致管网溢流，是片区污水直排、水体黑臭的核心根源。</w:t>
      </w:r>
    </w:p>
    <w:p w14:paraId="5BB4FAE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2、内涝积水频发，威胁生命财产安全片区地势低洼、管网老化、管径偏小、排水能力不足，强降雨必涝、小雨积水。多处低洼路段与小区积水深度可达0.5–1.5 米，造成房屋浸泡、电器损毁、交通瘫痪，带来巨大财产损失与安全风险。应急抽排仅能治标，必须系统改造才能根治。</w:t>
      </w:r>
    </w:p>
    <w:p w14:paraId="13F0C08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管网老化破损，运维失效现有管网多为早期建设，材质差、破损、堵塞、坍塌严重，清淤修复困难岳阳市岳阳楼区人民政府。污水外溢、井盖缺失、管道返水等问题频发，臭气扰民、污染环境，严重影响居民生活质量。</w:t>
      </w:r>
    </w:p>
    <w:p w14:paraId="7A9AE45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（2）落实国家与地方治水战略，守护一江碧水</w:t>
      </w:r>
    </w:p>
    <w:p w14:paraId="1FDEEAD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1、践行长江大保护与洞庭湖生态治理岳阳是长江与洞庭湖生态屏障关键节点。城东片区污水直排影响王家河、南湖水质，最终汇入洞庭湖与长江。改造是落实 “守护好一江碧水”、削减入河湖污染负荷、保障流域生态安全的刚性政治任务。</w:t>
      </w:r>
    </w:p>
    <w:p w14:paraId="5C5435F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2、巩固黑臭水体治理成效，实现长治久清岳阳已完成多轮黑臭水体整治，但管网不完善导致污染反弹压力大岳阳市岳阳楼区人民政府。城东片区是控源截污关键环节，改造可杜绝污水直排、削减</w:t>
      </w:r>
      <w:r>
        <w:rPr>
          <w:rFonts w:hint="eastAsia" w:ascii="仿宋" w:hAnsi="仿宋" w:eastAsia="仿宋" w:cs="仿宋"/>
          <w:color w:val="auto"/>
          <w:w w:val="95"/>
          <w:sz w:val="28"/>
          <w:szCs w:val="28"/>
          <w:highlight w:val="none"/>
          <w:lang w:val="en-US" w:eastAsia="zh-CN"/>
        </w:rPr>
        <w:t>合流</w:t>
      </w:r>
      <w:r>
        <w:rPr>
          <w:rFonts w:hint="eastAsia" w:ascii="仿宋" w:hAnsi="仿宋" w:eastAsia="仿宋" w:cs="仿宋"/>
          <w:color w:val="auto"/>
          <w:w w:val="95"/>
          <w:sz w:val="28"/>
          <w:szCs w:val="28"/>
          <w:lang w:val="en-US" w:eastAsia="zh-CN"/>
        </w:rPr>
        <w:t>溢流污染，确保水体水质稳定达标岳阳市人民政府。</w:t>
      </w:r>
    </w:p>
    <w:p w14:paraId="6BD7321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3、响应国家雨污分流与城市内涝治理政策符合国家城镇污水处理提质增效、城市排水防涝等政策要求岳阳市人民政府。是补齐市政短板、推进海绵城市建设、提升城市韧性的必要举措。</w:t>
      </w:r>
    </w:p>
    <w:p w14:paraId="6391BEC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（3）支撑城市扩容发展，完善基础设施功能</w:t>
      </w:r>
    </w:p>
    <w:p w14:paraId="7100219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匹配城东片区开发与人口增长需求城东为岳阳重点开发区域，居住、商业、公共服务快速集聚，人口与排污量激增岳阳市岳阳楼区政府。原有管网设计标准低、覆盖不全，已无法承载发展负荷，改造是城市扩容的基础前提岳阳市岳阳楼区人民政府。</w:t>
      </w:r>
    </w:p>
    <w:p w14:paraId="0374725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2、提升污水处理效能，保障厂网协同运行雨污混流导致污水浓度低、清水入厂，马壕、南津港等污水厂处理效率低、能耗高。改造实现污水全收集、高浓度进厂，提升处理效能、降低运行成本岳阳市人民政府。</w:t>
      </w:r>
    </w:p>
    <w:p w14:paraId="5726EA9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3、完善城市功能，提升综合承载能力排水管网是城市生命线。改造可健全市政体系、消除设施短板，提升城东片区宜居度、营商环境与可持续发展能力岳阳市岳阳楼区政府。</w:t>
      </w:r>
    </w:p>
    <w:p w14:paraId="4C401A1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（4）保障民生福祉，提升居民生活品质</w:t>
      </w:r>
    </w:p>
    <w:p w14:paraId="339AD64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1、解决群众急难愁盼，回应民生诉求内涝、污水外溢、臭气是高频投诉问题。改造是办实事、解民忧的民生工程，直接提升居住安全感与幸福感。</w:t>
      </w:r>
    </w:p>
    <w:p w14:paraId="17B24D5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2、改善人居与生态环境，促进宜居城市建设实现雨清水洁、路干无渍、河清岸绿，减少蚊虫、病菌滋生，提升生态与居住品质。</w:t>
      </w:r>
    </w:p>
    <w:p w14:paraId="54E9092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3、降低城市运维与应急成本减少积水抢险、管网清淤、污染治理等长期被动投入，构建高效、稳定、低维护的排水系统。</w:t>
      </w:r>
    </w:p>
    <w:p w14:paraId="0B3802A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城东片区排水管网改造是一项民生工程、生态工程、战略工程：</w:t>
      </w:r>
    </w:p>
    <w:p w14:paraId="49AEA65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民生层面：根治内涝、杜绝污水直排、改善居住环境；</w:t>
      </w:r>
    </w:p>
    <w:p w14:paraId="6280D40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生态层面：守护长江与洞庭湖水质、巩固黑臭水体治理；</w:t>
      </w:r>
    </w:p>
    <w:p w14:paraId="3890FAB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发展层面：补齐市政短板、支撑城市扩容、提升综合功能。</w:t>
      </w:r>
    </w:p>
    <w:p w14:paraId="41BF482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工程刻不容缓、势在必行，对岳阳建设生态宜居、安全韧性、高质量发展的城市具有不可替代的必要性。</w:t>
      </w:r>
    </w:p>
    <w:p w14:paraId="06621968">
      <w:pPr>
        <w:keepNext w:val="0"/>
        <w:keepLines w:val="0"/>
        <w:widowControl/>
        <w:suppressLineNumbers w:val="0"/>
        <w:jc w:val="left"/>
        <w:rPr>
          <w:rFonts w:hint="eastAsia" w:ascii="仿宋" w:hAnsi="仿宋" w:eastAsia="仿宋" w:cs="仿宋"/>
          <w:b/>
          <w:bCs/>
          <w:color w:val="auto"/>
          <w:kern w:val="2"/>
          <w:sz w:val="28"/>
          <w:szCs w:val="28"/>
          <w:lang w:val="en-US" w:eastAsia="zh-CN" w:bidi="ar-SA"/>
        </w:rPr>
      </w:pPr>
      <w:r>
        <w:rPr>
          <w:rFonts w:hint="eastAsia" w:ascii="仿宋" w:hAnsi="仿宋" w:eastAsia="仿宋" w:cs="仿宋"/>
          <w:b/>
          <w:bCs/>
          <w:color w:val="auto"/>
          <w:kern w:val="2"/>
          <w:sz w:val="28"/>
          <w:szCs w:val="28"/>
          <w:lang w:val="en-US" w:eastAsia="zh-CN" w:bidi="ar-SA"/>
        </w:rPr>
        <w:t xml:space="preserve">1.4可研批复、审查意见及执行情况 </w:t>
      </w:r>
    </w:p>
    <w:p w14:paraId="54424522">
      <w:pPr>
        <w:keepNext w:val="0"/>
        <w:keepLines w:val="0"/>
        <w:widowControl/>
        <w:suppressLineNumbers w:val="0"/>
        <w:jc w:val="left"/>
        <w:rPr>
          <w:rFonts w:hint="eastAsia" w:ascii="仿宋" w:hAnsi="仿宋" w:eastAsia="仿宋" w:cs="仿宋"/>
          <w:b/>
          <w:bCs/>
          <w:color w:val="auto"/>
          <w:sz w:val="28"/>
          <w:szCs w:val="28"/>
          <w:lang w:val="en-US" w:eastAsia="zh-CN"/>
        </w:rPr>
      </w:pPr>
      <w:r>
        <w:rPr>
          <w:rFonts w:hint="eastAsia" w:ascii="仿宋" w:hAnsi="仿宋" w:eastAsia="仿宋" w:cs="仿宋"/>
          <w:color w:val="000000"/>
          <w:kern w:val="0"/>
          <w:sz w:val="28"/>
          <w:szCs w:val="28"/>
          <w:lang w:val="en-US" w:eastAsia="zh-CN" w:bidi="ar"/>
        </w:rPr>
        <w:t>本项目完全按照可研批复金额及批复实施城东片区范围进行设计。</w:t>
      </w:r>
    </w:p>
    <w:p w14:paraId="4910D944">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9" w:name="_Toc13820"/>
      <w:r>
        <w:rPr>
          <w:rFonts w:hint="eastAsia" w:ascii="仿宋" w:hAnsi="仿宋" w:eastAsia="仿宋" w:cs="仿宋"/>
          <w:b/>
          <w:bCs/>
          <w:color w:val="auto"/>
          <w:sz w:val="28"/>
          <w:szCs w:val="28"/>
          <w:lang w:val="en-US" w:eastAsia="zh-CN"/>
        </w:rPr>
        <w:t>1.5.主要内容</w:t>
      </w:r>
      <w:bookmarkEnd w:id="9"/>
    </w:p>
    <w:p w14:paraId="6A2498F3">
      <w:pPr>
        <w:spacing w:line="360" w:lineRule="auto"/>
        <w:ind w:left="559" w:leftChars="266" w:firstLine="0" w:firstLineChars="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1、对范围内排水进行雨污分流管网改造。</w:t>
      </w:r>
      <w:r>
        <w:rPr>
          <w:rFonts w:hint="eastAsia" w:ascii="仿宋" w:hAnsi="仿宋" w:eastAsia="仿宋" w:cs="仿宋"/>
          <w:color w:val="auto"/>
          <w:w w:val="95"/>
          <w:sz w:val="28"/>
          <w:szCs w:val="28"/>
          <w:lang w:val="en-US" w:eastAsia="zh-CN"/>
        </w:rPr>
        <w:br w:type="textWrapping"/>
      </w:r>
      <w:r>
        <w:rPr>
          <w:rFonts w:hint="eastAsia" w:ascii="仿宋" w:hAnsi="仿宋" w:eastAsia="仿宋" w:cs="仿宋"/>
          <w:color w:val="auto"/>
          <w:w w:val="95"/>
          <w:sz w:val="28"/>
          <w:szCs w:val="28"/>
          <w:lang w:val="en-US" w:eastAsia="zh-CN"/>
        </w:rPr>
        <w:t>2、对范围内污水管进行清淤修复。</w:t>
      </w:r>
      <w:r>
        <w:rPr>
          <w:rFonts w:hint="eastAsia" w:ascii="仿宋" w:hAnsi="仿宋" w:eastAsia="仿宋" w:cs="仿宋"/>
          <w:color w:val="auto"/>
          <w:w w:val="95"/>
          <w:sz w:val="28"/>
          <w:szCs w:val="28"/>
          <w:lang w:val="en-US" w:eastAsia="zh-CN"/>
        </w:rPr>
        <w:br w:type="textWrapping"/>
      </w:r>
      <w:r>
        <w:rPr>
          <w:rFonts w:hint="eastAsia" w:ascii="仿宋" w:hAnsi="仿宋" w:eastAsia="仿宋" w:cs="仿宋"/>
          <w:color w:val="auto"/>
          <w:w w:val="95"/>
          <w:sz w:val="28"/>
          <w:szCs w:val="28"/>
          <w:lang w:val="en-US" w:eastAsia="zh-CN"/>
        </w:rPr>
        <w:t>3、对范围内破损道路、地坪进行翻新改造、加铺沥青。</w:t>
      </w:r>
    </w:p>
    <w:p w14:paraId="5BFBAA7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4、对范围内现状雨水管不满足规划要求，过流能力不够等情况进行改造建设，以及新建检查井、道路破除恢复等。</w:t>
      </w:r>
    </w:p>
    <w:tbl>
      <w:tblPr>
        <w:tblStyle w:val="19"/>
        <w:tblW w:w="946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75"/>
        <w:gridCol w:w="1875"/>
        <w:gridCol w:w="3675"/>
        <w:gridCol w:w="1080"/>
        <w:gridCol w:w="1080"/>
        <w:gridCol w:w="1080"/>
      </w:tblGrid>
      <w:tr w14:paraId="793655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465" w:type="dxa"/>
            <w:gridSpan w:val="6"/>
            <w:tcBorders>
              <w:top w:val="nil"/>
              <w:left w:val="nil"/>
              <w:bottom w:val="nil"/>
              <w:right w:val="nil"/>
            </w:tcBorders>
            <w:shd w:val="clear" w:color="auto" w:fill="auto"/>
            <w:vAlign w:val="center"/>
          </w:tcPr>
          <w:p w14:paraId="382042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雨水改造</w:t>
            </w:r>
          </w:p>
        </w:tc>
      </w:tr>
      <w:tr w14:paraId="0B6DEF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D90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2A2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区域</w:t>
            </w: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40E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管材</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D83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管径(mm)</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C11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管长(m)</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1F7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检查井（座）</w:t>
            </w:r>
          </w:p>
        </w:tc>
      </w:tr>
      <w:tr w14:paraId="5F1DC7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2AF5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8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9140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红盾新村</w:t>
            </w: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615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二级钢筋混凝土管</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074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C71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124</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E411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r>
      <w:tr w14:paraId="0DEE32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9FB384">
            <w:pPr>
              <w:jc w:val="center"/>
              <w:rPr>
                <w:rFonts w:hint="eastAsia" w:ascii="宋体" w:hAnsi="宋体" w:eastAsia="宋体" w:cs="宋体"/>
                <w:i w:val="0"/>
                <w:iCs w:val="0"/>
                <w:color w:val="000000"/>
                <w:sz w:val="22"/>
                <w:szCs w:val="22"/>
                <w:u w:val="none"/>
              </w:rPr>
            </w:pPr>
          </w:p>
        </w:tc>
        <w:tc>
          <w:tcPr>
            <w:tcW w:w="18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87E275">
            <w:pPr>
              <w:jc w:val="center"/>
              <w:rPr>
                <w:rFonts w:hint="eastAsia" w:ascii="宋体" w:hAnsi="宋体" w:eastAsia="宋体" w:cs="宋体"/>
                <w:i w:val="0"/>
                <w:iCs w:val="0"/>
                <w:color w:val="000000"/>
                <w:sz w:val="22"/>
                <w:szCs w:val="22"/>
                <w:u w:val="none"/>
              </w:rPr>
            </w:pP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FBF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UHMW-PTE方型增强排水管(SN10)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29D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DN400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F24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554</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1B6592">
            <w:pPr>
              <w:jc w:val="center"/>
              <w:rPr>
                <w:rFonts w:hint="eastAsia" w:ascii="宋体" w:hAnsi="宋体" w:eastAsia="宋体" w:cs="宋体"/>
                <w:i w:val="0"/>
                <w:iCs w:val="0"/>
                <w:color w:val="000000"/>
                <w:sz w:val="22"/>
                <w:szCs w:val="22"/>
                <w:u w:val="none"/>
              </w:rPr>
            </w:pPr>
          </w:p>
        </w:tc>
      </w:tr>
      <w:tr w14:paraId="1886DA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16439B">
            <w:pPr>
              <w:jc w:val="center"/>
              <w:rPr>
                <w:rFonts w:hint="eastAsia" w:ascii="宋体" w:hAnsi="宋体" w:eastAsia="宋体" w:cs="宋体"/>
                <w:i w:val="0"/>
                <w:iCs w:val="0"/>
                <w:color w:val="000000"/>
                <w:sz w:val="22"/>
                <w:szCs w:val="22"/>
                <w:u w:val="none"/>
              </w:rPr>
            </w:pPr>
          </w:p>
        </w:tc>
        <w:tc>
          <w:tcPr>
            <w:tcW w:w="18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356560">
            <w:pPr>
              <w:jc w:val="center"/>
              <w:rPr>
                <w:rFonts w:hint="eastAsia" w:ascii="宋体" w:hAnsi="宋体" w:eastAsia="宋体" w:cs="宋体"/>
                <w:i w:val="0"/>
                <w:iCs w:val="0"/>
                <w:color w:val="000000"/>
                <w:sz w:val="22"/>
                <w:szCs w:val="22"/>
                <w:u w:val="none"/>
              </w:rPr>
            </w:pP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4C0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UHMW-PTE方型增强排水管(SN10)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D63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DN300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937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224</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342369">
            <w:pPr>
              <w:jc w:val="center"/>
              <w:rPr>
                <w:rFonts w:hint="eastAsia" w:ascii="宋体" w:hAnsi="宋体" w:eastAsia="宋体" w:cs="宋体"/>
                <w:i w:val="0"/>
                <w:iCs w:val="0"/>
                <w:color w:val="000000"/>
                <w:sz w:val="22"/>
                <w:szCs w:val="22"/>
                <w:u w:val="none"/>
              </w:rPr>
            </w:pPr>
          </w:p>
        </w:tc>
      </w:tr>
      <w:tr w14:paraId="5A0C04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52DF1E">
            <w:pPr>
              <w:jc w:val="center"/>
              <w:rPr>
                <w:rFonts w:hint="eastAsia" w:ascii="宋体" w:hAnsi="宋体" w:eastAsia="宋体" w:cs="宋体"/>
                <w:i w:val="0"/>
                <w:iCs w:val="0"/>
                <w:color w:val="000000"/>
                <w:sz w:val="22"/>
                <w:szCs w:val="22"/>
                <w:u w:val="none"/>
              </w:rPr>
            </w:pPr>
          </w:p>
        </w:tc>
        <w:tc>
          <w:tcPr>
            <w:tcW w:w="18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02E4CF">
            <w:pPr>
              <w:jc w:val="center"/>
              <w:rPr>
                <w:rFonts w:hint="eastAsia" w:ascii="宋体" w:hAnsi="宋体" w:eastAsia="宋体" w:cs="宋体"/>
                <w:i w:val="0"/>
                <w:iCs w:val="0"/>
                <w:color w:val="000000"/>
                <w:sz w:val="22"/>
                <w:szCs w:val="22"/>
                <w:u w:val="none"/>
              </w:rPr>
            </w:pP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2EB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UHMW-PTE方型增强排水管(SN10)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CB2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DN400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FF6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DF479A">
            <w:pPr>
              <w:jc w:val="center"/>
              <w:rPr>
                <w:rFonts w:hint="eastAsia" w:ascii="宋体" w:hAnsi="宋体" w:eastAsia="宋体" w:cs="宋体"/>
                <w:i w:val="0"/>
                <w:iCs w:val="0"/>
                <w:color w:val="000000"/>
                <w:sz w:val="22"/>
                <w:szCs w:val="22"/>
                <w:u w:val="none"/>
              </w:rPr>
            </w:pPr>
          </w:p>
        </w:tc>
      </w:tr>
      <w:tr w14:paraId="56F3E7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6472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2</w:t>
            </w:r>
          </w:p>
        </w:tc>
        <w:tc>
          <w:tcPr>
            <w:tcW w:w="18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010EC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大桥新城</w:t>
            </w: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D6B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二级钢筋混凝土管</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BD3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A7A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190</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95B8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r>
      <w:tr w14:paraId="49D2D5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9A1720">
            <w:pPr>
              <w:jc w:val="center"/>
              <w:rPr>
                <w:rFonts w:hint="eastAsia" w:ascii="宋体" w:hAnsi="宋体" w:eastAsia="宋体" w:cs="宋体"/>
                <w:i w:val="0"/>
                <w:iCs w:val="0"/>
                <w:color w:val="000000"/>
                <w:sz w:val="22"/>
                <w:szCs w:val="22"/>
                <w:u w:val="none"/>
              </w:rPr>
            </w:pPr>
          </w:p>
        </w:tc>
        <w:tc>
          <w:tcPr>
            <w:tcW w:w="18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7DD10B">
            <w:pPr>
              <w:jc w:val="center"/>
              <w:rPr>
                <w:rFonts w:hint="eastAsia" w:ascii="宋体" w:hAnsi="宋体" w:eastAsia="宋体" w:cs="宋体"/>
                <w:i w:val="0"/>
                <w:iCs w:val="0"/>
                <w:color w:val="000000"/>
                <w:sz w:val="22"/>
                <w:szCs w:val="22"/>
                <w:u w:val="none"/>
              </w:rPr>
            </w:pP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A60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UHMW-PTE方型增强排水管(SN10)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2C2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DN400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055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49</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7832CC">
            <w:pPr>
              <w:jc w:val="center"/>
              <w:rPr>
                <w:rFonts w:hint="eastAsia" w:ascii="宋体" w:hAnsi="宋体" w:eastAsia="宋体" w:cs="宋体"/>
                <w:i w:val="0"/>
                <w:iCs w:val="0"/>
                <w:color w:val="000000"/>
                <w:sz w:val="22"/>
                <w:szCs w:val="22"/>
                <w:u w:val="none"/>
              </w:rPr>
            </w:pPr>
          </w:p>
        </w:tc>
      </w:tr>
      <w:tr w14:paraId="03FF78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5E2E17">
            <w:pPr>
              <w:jc w:val="center"/>
              <w:rPr>
                <w:rFonts w:hint="eastAsia" w:ascii="宋体" w:hAnsi="宋体" w:eastAsia="宋体" w:cs="宋体"/>
                <w:i w:val="0"/>
                <w:iCs w:val="0"/>
                <w:color w:val="000000"/>
                <w:sz w:val="22"/>
                <w:szCs w:val="22"/>
                <w:u w:val="none"/>
              </w:rPr>
            </w:pPr>
          </w:p>
        </w:tc>
        <w:tc>
          <w:tcPr>
            <w:tcW w:w="18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8B3EE9">
            <w:pPr>
              <w:jc w:val="center"/>
              <w:rPr>
                <w:rFonts w:hint="eastAsia" w:ascii="宋体" w:hAnsi="宋体" w:eastAsia="宋体" w:cs="宋体"/>
                <w:i w:val="0"/>
                <w:iCs w:val="0"/>
                <w:color w:val="000000"/>
                <w:sz w:val="22"/>
                <w:szCs w:val="22"/>
                <w:u w:val="none"/>
              </w:rPr>
            </w:pP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FDA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UHMW-PTE方型增强排水管(SN10)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49F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DN300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13D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06998E">
            <w:pPr>
              <w:jc w:val="center"/>
              <w:rPr>
                <w:rFonts w:hint="eastAsia" w:ascii="宋体" w:hAnsi="宋体" w:eastAsia="宋体" w:cs="宋体"/>
                <w:i w:val="0"/>
                <w:iCs w:val="0"/>
                <w:color w:val="000000"/>
                <w:sz w:val="22"/>
                <w:szCs w:val="22"/>
                <w:u w:val="none"/>
              </w:rPr>
            </w:pPr>
          </w:p>
        </w:tc>
      </w:tr>
      <w:tr w14:paraId="62C321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03AD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3</w:t>
            </w:r>
          </w:p>
        </w:tc>
        <w:tc>
          <w:tcPr>
            <w:tcW w:w="18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3D7D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廖家小区</w:t>
            </w: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803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二级钢筋混凝土管</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A59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6DACE">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546</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5A51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r>
              <w:rPr>
                <w:rFonts w:hint="eastAsia" w:ascii="宋体" w:hAnsi="宋体" w:cs="宋体"/>
                <w:i w:val="0"/>
                <w:iCs w:val="0"/>
                <w:color w:val="000000"/>
                <w:kern w:val="0"/>
                <w:sz w:val="22"/>
                <w:szCs w:val="22"/>
                <w:u w:val="none"/>
                <w:lang w:val="en-US" w:eastAsia="zh-CN" w:bidi="ar"/>
              </w:rPr>
              <w:t>1</w:t>
            </w:r>
          </w:p>
        </w:tc>
      </w:tr>
      <w:tr w14:paraId="2F13C6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E6E9C1">
            <w:pPr>
              <w:jc w:val="center"/>
              <w:rPr>
                <w:rFonts w:hint="eastAsia" w:ascii="宋体" w:hAnsi="宋体" w:eastAsia="宋体" w:cs="宋体"/>
                <w:i w:val="0"/>
                <w:iCs w:val="0"/>
                <w:color w:val="000000"/>
                <w:sz w:val="22"/>
                <w:szCs w:val="22"/>
                <w:u w:val="none"/>
              </w:rPr>
            </w:pPr>
          </w:p>
        </w:tc>
        <w:tc>
          <w:tcPr>
            <w:tcW w:w="18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FE7341">
            <w:pPr>
              <w:jc w:val="center"/>
              <w:rPr>
                <w:rFonts w:hint="eastAsia" w:ascii="宋体" w:hAnsi="宋体" w:eastAsia="宋体" w:cs="宋体"/>
                <w:i w:val="0"/>
                <w:iCs w:val="0"/>
                <w:color w:val="000000"/>
                <w:sz w:val="22"/>
                <w:szCs w:val="22"/>
                <w:u w:val="none"/>
              </w:rPr>
            </w:pP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67B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UHMW-PTE方型增强排水管(SN10)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9A0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DN300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1C607">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1277</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71D1DB">
            <w:pPr>
              <w:jc w:val="center"/>
              <w:rPr>
                <w:rFonts w:hint="eastAsia" w:ascii="宋体" w:hAnsi="宋体" w:eastAsia="宋体" w:cs="宋体"/>
                <w:i w:val="0"/>
                <w:iCs w:val="0"/>
                <w:color w:val="000000"/>
                <w:sz w:val="22"/>
                <w:szCs w:val="22"/>
                <w:u w:val="none"/>
              </w:rPr>
            </w:pPr>
          </w:p>
        </w:tc>
      </w:tr>
      <w:tr w14:paraId="439D1D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FC4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4</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F68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梅子柿社区</w:t>
            </w: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C060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94E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C40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6A7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1B3FD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359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5</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017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西塘社区</w:t>
            </w: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0AC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二级钢筋混凝土管</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9CA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FD6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637</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F53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r>
      <w:tr w14:paraId="2C99CA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4B19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6</w:t>
            </w:r>
          </w:p>
        </w:tc>
        <w:tc>
          <w:tcPr>
            <w:tcW w:w="18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072F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瓦子坡路临时道路</w:t>
            </w: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D55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二级钢筋混凝土管</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C46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DN800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F2B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188</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0D9BD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r>
      <w:tr w14:paraId="7C0E40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5308E4">
            <w:pPr>
              <w:jc w:val="center"/>
              <w:rPr>
                <w:rFonts w:hint="eastAsia" w:ascii="宋体" w:hAnsi="宋体" w:eastAsia="宋体" w:cs="宋体"/>
                <w:i w:val="0"/>
                <w:iCs w:val="0"/>
                <w:color w:val="000000"/>
                <w:sz w:val="22"/>
                <w:szCs w:val="22"/>
                <w:u w:val="none"/>
              </w:rPr>
            </w:pPr>
          </w:p>
        </w:tc>
        <w:tc>
          <w:tcPr>
            <w:tcW w:w="18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2AF3DF">
            <w:pPr>
              <w:jc w:val="center"/>
              <w:rPr>
                <w:rFonts w:hint="eastAsia" w:ascii="宋体" w:hAnsi="宋体" w:eastAsia="宋体" w:cs="宋体"/>
                <w:i w:val="0"/>
                <w:iCs w:val="0"/>
                <w:color w:val="000000"/>
                <w:sz w:val="22"/>
                <w:szCs w:val="22"/>
                <w:u w:val="none"/>
              </w:rPr>
            </w:pP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482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UHMW-PTE方型增强排水管(SN10)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B00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DN300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9CA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813FCB">
            <w:pPr>
              <w:jc w:val="center"/>
              <w:rPr>
                <w:rFonts w:hint="eastAsia" w:ascii="宋体" w:hAnsi="宋体" w:eastAsia="宋体" w:cs="宋体"/>
                <w:i w:val="0"/>
                <w:iCs w:val="0"/>
                <w:color w:val="000000"/>
                <w:sz w:val="22"/>
                <w:szCs w:val="22"/>
                <w:u w:val="none"/>
              </w:rPr>
            </w:pPr>
          </w:p>
        </w:tc>
      </w:tr>
      <w:tr w14:paraId="127C82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255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3573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合计</w:t>
            </w: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5D7F6">
            <w:pPr>
              <w:jc w:val="center"/>
              <w:rPr>
                <w:rFonts w:hint="eastAsia" w:ascii="宋体" w:hAnsi="宋体" w:eastAsia="宋体" w:cs="宋体"/>
                <w:i w:val="0"/>
                <w:iCs w:val="0"/>
                <w:color w:val="000000"/>
                <w:sz w:val="22"/>
                <w:szCs w:val="22"/>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12EE9">
            <w:pPr>
              <w:jc w:val="center"/>
              <w:rPr>
                <w:rFonts w:hint="eastAsia" w:ascii="宋体" w:hAnsi="宋体" w:eastAsia="宋体" w:cs="宋体"/>
                <w:i w:val="0"/>
                <w:iCs w:val="0"/>
                <w:color w:val="000000"/>
                <w:sz w:val="22"/>
                <w:szCs w:val="22"/>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79C11">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3901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4D29A">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74</w:t>
            </w:r>
          </w:p>
        </w:tc>
      </w:tr>
      <w:tr w14:paraId="211FE9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465" w:type="dxa"/>
            <w:gridSpan w:val="6"/>
            <w:tcBorders>
              <w:top w:val="nil"/>
              <w:left w:val="nil"/>
              <w:bottom w:val="nil"/>
              <w:right w:val="nil"/>
            </w:tcBorders>
            <w:shd w:val="clear" w:color="auto" w:fill="auto"/>
            <w:vAlign w:val="center"/>
          </w:tcPr>
          <w:p w14:paraId="3D2DC0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污水改造</w:t>
            </w:r>
          </w:p>
        </w:tc>
      </w:tr>
      <w:tr w14:paraId="51478C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1B1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DD0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区域</w:t>
            </w: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5C2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管材</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CA4D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管径</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142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管长</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9A6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检查井（座）</w:t>
            </w:r>
          </w:p>
        </w:tc>
      </w:tr>
      <w:tr w14:paraId="6BA39F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1A11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8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CF9F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红盾新村</w:t>
            </w: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531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UHMW-PTE方型增强排水管(SN10)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E0F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DN400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56A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155</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49AA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84</w:t>
            </w:r>
          </w:p>
        </w:tc>
      </w:tr>
      <w:tr w14:paraId="26A20E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315147">
            <w:pPr>
              <w:jc w:val="center"/>
              <w:rPr>
                <w:rFonts w:hint="eastAsia" w:ascii="宋体" w:hAnsi="宋体" w:eastAsia="宋体" w:cs="宋体"/>
                <w:i w:val="0"/>
                <w:iCs w:val="0"/>
                <w:color w:val="000000"/>
                <w:sz w:val="22"/>
                <w:szCs w:val="22"/>
                <w:u w:val="none"/>
              </w:rPr>
            </w:pPr>
          </w:p>
        </w:tc>
        <w:tc>
          <w:tcPr>
            <w:tcW w:w="18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1C614C">
            <w:pPr>
              <w:jc w:val="center"/>
              <w:rPr>
                <w:rFonts w:hint="eastAsia" w:ascii="宋体" w:hAnsi="宋体" w:eastAsia="宋体" w:cs="宋体"/>
                <w:i w:val="0"/>
                <w:iCs w:val="0"/>
                <w:color w:val="000000"/>
                <w:sz w:val="22"/>
                <w:szCs w:val="22"/>
                <w:u w:val="none"/>
              </w:rPr>
            </w:pP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3333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UHMW-PTE方型增强排水管(SN10)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B67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DN300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12E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1344</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E1ECAC">
            <w:pPr>
              <w:jc w:val="center"/>
              <w:rPr>
                <w:rFonts w:hint="eastAsia" w:ascii="宋体" w:hAnsi="宋体" w:eastAsia="宋体" w:cs="宋体"/>
                <w:i w:val="0"/>
                <w:iCs w:val="0"/>
                <w:color w:val="000000"/>
                <w:sz w:val="22"/>
                <w:szCs w:val="22"/>
                <w:u w:val="none"/>
              </w:rPr>
            </w:pPr>
          </w:p>
        </w:tc>
      </w:tr>
      <w:tr w14:paraId="671031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373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2</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921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大桥新城</w:t>
            </w:r>
          </w:p>
        </w:tc>
        <w:tc>
          <w:tcPr>
            <w:tcW w:w="3675" w:type="dxa"/>
            <w:tcBorders>
              <w:top w:val="single" w:color="000000" w:sz="4" w:space="0"/>
              <w:left w:val="single" w:color="000000" w:sz="4" w:space="0"/>
              <w:right w:val="single" w:color="000000" w:sz="4" w:space="0"/>
            </w:tcBorders>
            <w:shd w:val="clear" w:color="auto" w:fill="auto"/>
            <w:vAlign w:val="center"/>
          </w:tcPr>
          <w:p w14:paraId="7A7157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UHMW-PTE方型增强排水管(SN10)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7FE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w:t>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17DAC">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608</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C4D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65</w:t>
            </w:r>
          </w:p>
        </w:tc>
      </w:tr>
      <w:tr w14:paraId="69DA12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811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3</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473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廖家小区</w:t>
            </w: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FDA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HDPE聚乙烯缠绕结构壁管(B型)SN10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FC7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w:t>
            </w: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A24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847</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7E6A4">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23</w:t>
            </w:r>
          </w:p>
        </w:tc>
      </w:tr>
      <w:tr w14:paraId="69F82B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7C9A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4</w:t>
            </w:r>
          </w:p>
        </w:tc>
        <w:tc>
          <w:tcPr>
            <w:tcW w:w="18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2D49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梅子柿社区</w:t>
            </w: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F97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UHMW-PTE方型增强排水管(SN10)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527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DN400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F24DA">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1414</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8AB467">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42</w:t>
            </w:r>
          </w:p>
        </w:tc>
      </w:tr>
      <w:tr w14:paraId="2E77B1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4F4FC1">
            <w:pPr>
              <w:jc w:val="center"/>
              <w:rPr>
                <w:rFonts w:hint="eastAsia" w:ascii="宋体" w:hAnsi="宋体" w:eastAsia="宋体" w:cs="宋体"/>
                <w:i w:val="0"/>
                <w:iCs w:val="0"/>
                <w:color w:val="000000"/>
                <w:sz w:val="22"/>
                <w:szCs w:val="22"/>
                <w:u w:val="none"/>
              </w:rPr>
            </w:pPr>
          </w:p>
        </w:tc>
        <w:tc>
          <w:tcPr>
            <w:tcW w:w="18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4D8564">
            <w:pPr>
              <w:jc w:val="center"/>
              <w:rPr>
                <w:rFonts w:hint="eastAsia" w:ascii="宋体" w:hAnsi="宋体" w:eastAsia="宋体" w:cs="宋体"/>
                <w:i w:val="0"/>
                <w:iCs w:val="0"/>
                <w:color w:val="000000"/>
                <w:sz w:val="22"/>
                <w:szCs w:val="22"/>
                <w:u w:val="none"/>
              </w:rPr>
            </w:pP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91A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UHMW-PTE方型增强排水管(SN10)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A48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DN300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9DE46">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130</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1C493C">
            <w:pPr>
              <w:jc w:val="center"/>
              <w:rPr>
                <w:rFonts w:hint="eastAsia" w:ascii="宋体" w:hAnsi="宋体" w:eastAsia="宋体" w:cs="宋体"/>
                <w:i w:val="0"/>
                <w:iCs w:val="0"/>
                <w:color w:val="000000"/>
                <w:sz w:val="22"/>
                <w:szCs w:val="22"/>
                <w:u w:val="none"/>
              </w:rPr>
            </w:pPr>
          </w:p>
        </w:tc>
      </w:tr>
      <w:tr w14:paraId="17C735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5991C3">
            <w:pPr>
              <w:jc w:val="center"/>
              <w:rPr>
                <w:rFonts w:hint="eastAsia" w:ascii="宋体" w:hAnsi="宋体" w:eastAsia="宋体" w:cs="宋体"/>
                <w:i w:val="0"/>
                <w:iCs w:val="0"/>
                <w:color w:val="000000"/>
                <w:sz w:val="22"/>
                <w:szCs w:val="22"/>
                <w:u w:val="none"/>
              </w:rPr>
            </w:pPr>
          </w:p>
        </w:tc>
        <w:tc>
          <w:tcPr>
            <w:tcW w:w="18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4A72BA">
            <w:pPr>
              <w:jc w:val="center"/>
              <w:rPr>
                <w:rFonts w:hint="eastAsia" w:ascii="宋体" w:hAnsi="宋体" w:eastAsia="宋体" w:cs="宋体"/>
                <w:i w:val="0"/>
                <w:iCs w:val="0"/>
                <w:color w:val="000000"/>
                <w:sz w:val="22"/>
                <w:szCs w:val="22"/>
                <w:u w:val="none"/>
              </w:rPr>
            </w:pP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9EA12">
            <w:pPr>
              <w:keepNext w:val="0"/>
              <w:keepLines w:val="0"/>
              <w:widowControl/>
              <w:suppressLineNumbers w:val="0"/>
              <w:jc w:val="center"/>
              <w:textAlignment w:val="center"/>
              <w:rPr>
                <w:rFonts w:hint="eastAsia" w:ascii="宋体" w:hAnsi="宋体" w:eastAsia="宋体" w:cs="宋体"/>
                <w:i w:val="0"/>
                <w:iCs w:val="0"/>
                <w:color w:val="000000"/>
                <w:kern w:val="2"/>
                <w:sz w:val="22"/>
                <w:szCs w:val="22"/>
                <w:u w:val="none"/>
                <w:lang w:val="en-US" w:eastAsia="zh-CN" w:bidi="ar-SA"/>
              </w:rPr>
            </w:pPr>
            <w:r>
              <w:rPr>
                <w:rFonts w:hint="eastAsia" w:ascii="宋体" w:hAnsi="宋体" w:eastAsia="宋体" w:cs="宋体"/>
                <w:i w:val="0"/>
                <w:iCs w:val="0"/>
                <w:color w:val="000000"/>
                <w:kern w:val="0"/>
                <w:sz w:val="22"/>
                <w:szCs w:val="22"/>
                <w:u w:val="none"/>
                <w:lang w:val="en-US" w:eastAsia="zh-CN" w:bidi="ar"/>
              </w:rPr>
              <w:t>UHMW-PTE方型增强排水管(SN10)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78672">
            <w:pPr>
              <w:keepNext w:val="0"/>
              <w:keepLines w:val="0"/>
              <w:widowControl/>
              <w:suppressLineNumbers w:val="0"/>
              <w:jc w:val="center"/>
              <w:textAlignment w:val="center"/>
              <w:rPr>
                <w:rFonts w:hint="eastAsia" w:ascii="宋体" w:hAnsi="宋体" w:eastAsia="宋体" w:cs="宋体"/>
                <w:i w:val="0"/>
                <w:iCs w:val="0"/>
                <w:color w:val="000000"/>
                <w:kern w:val="2"/>
                <w:sz w:val="22"/>
                <w:szCs w:val="22"/>
                <w:u w:val="none"/>
                <w:lang w:val="en-US" w:eastAsia="zh-CN" w:bidi="ar-SA"/>
              </w:rPr>
            </w:pPr>
            <w:r>
              <w:rPr>
                <w:rFonts w:hint="eastAsia" w:ascii="宋体" w:hAnsi="宋体" w:eastAsia="宋体" w:cs="宋体"/>
                <w:i w:val="0"/>
                <w:iCs w:val="0"/>
                <w:color w:val="000000"/>
                <w:kern w:val="0"/>
                <w:sz w:val="22"/>
                <w:szCs w:val="22"/>
                <w:u w:val="none"/>
                <w:lang w:val="en-US" w:eastAsia="zh-CN" w:bidi="ar"/>
              </w:rPr>
              <w:t>DN</w:t>
            </w:r>
            <w:r>
              <w:rPr>
                <w:rFonts w:hint="eastAsia" w:ascii="宋体" w:hAnsi="宋体" w:cs="宋体"/>
                <w:i w:val="0"/>
                <w:iCs w:val="0"/>
                <w:color w:val="000000"/>
                <w:kern w:val="0"/>
                <w:sz w:val="22"/>
                <w:szCs w:val="22"/>
                <w:u w:val="none"/>
                <w:lang w:val="en-US" w:eastAsia="zh-CN" w:bidi="ar"/>
              </w:rPr>
              <w:t>2</w:t>
            </w:r>
            <w:r>
              <w:rPr>
                <w:rFonts w:hint="eastAsia" w:ascii="宋体" w:hAnsi="宋体" w:eastAsia="宋体" w:cs="宋体"/>
                <w:i w:val="0"/>
                <w:iCs w:val="0"/>
                <w:color w:val="000000"/>
                <w:kern w:val="0"/>
                <w:sz w:val="22"/>
                <w:szCs w:val="22"/>
                <w:u w:val="none"/>
                <w:lang w:val="en-US" w:eastAsia="zh-CN" w:bidi="ar"/>
              </w:rPr>
              <w:t>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1FBBE">
            <w:pPr>
              <w:keepNext w:val="0"/>
              <w:keepLines w:val="0"/>
              <w:widowControl/>
              <w:suppressLineNumbers w:val="0"/>
              <w:jc w:val="center"/>
              <w:textAlignment w:val="center"/>
              <w:rPr>
                <w:rFonts w:hint="default" w:ascii="宋体" w:hAnsi="宋体" w:eastAsia="宋体" w:cs="宋体"/>
                <w:i w:val="0"/>
                <w:iCs w:val="0"/>
                <w:color w:val="000000"/>
                <w:kern w:val="2"/>
                <w:sz w:val="22"/>
                <w:szCs w:val="22"/>
                <w:u w:val="none"/>
                <w:lang w:val="en-US" w:eastAsia="zh-CN" w:bidi="ar-SA"/>
              </w:rPr>
            </w:pPr>
            <w:r>
              <w:rPr>
                <w:rFonts w:hint="eastAsia" w:ascii="宋体" w:hAnsi="宋体" w:cs="宋体"/>
                <w:i w:val="0"/>
                <w:iCs w:val="0"/>
                <w:color w:val="000000"/>
                <w:kern w:val="0"/>
                <w:sz w:val="22"/>
                <w:szCs w:val="22"/>
                <w:u w:val="none"/>
                <w:lang w:val="en-US" w:eastAsia="zh-CN" w:bidi="ar"/>
              </w:rPr>
              <w:t>2500</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39EFAA">
            <w:pPr>
              <w:jc w:val="center"/>
              <w:rPr>
                <w:rFonts w:hint="eastAsia" w:ascii="宋体" w:hAnsi="宋体" w:eastAsia="宋体" w:cs="宋体"/>
                <w:i w:val="0"/>
                <w:iCs w:val="0"/>
                <w:color w:val="000000"/>
                <w:sz w:val="22"/>
                <w:szCs w:val="22"/>
                <w:u w:val="none"/>
              </w:rPr>
            </w:pPr>
          </w:p>
        </w:tc>
      </w:tr>
      <w:tr w14:paraId="1F4C1D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B81A77">
            <w:pPr>
              <w:jc w:val="center"/>
              <w:rPr>
                <w:rFonts w:hint="eastAsia" w:ascii="宋体" w:hAnsi="宋体" w:eastAsia="宋体" w:cs="宋体"/>
                <w:i w:val="0"/>
                <w:iCs w:val="0"/>
                <w:color w:val="000000"/>
                <w:sz w:val="22"/>
                <w:szCs w:val="22"/>
                <w:u w:val="none"/>
              </w:rPr>
            </w:pPr>
          </w:p>
        </w:tc>
        <w:tc>
          <w:tcPr>
            <w:tcW w:w="18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E236EC">
            <w:pPr>
              <w:jc w:val="center"/>
              <w:rPr>
                <w:rFonts w:hint="eastAsia" w:ascii="宋体" w:hAnsi="宋体" w:eastAsia="宋体" w:cs="宋体"/>
                <w:i w:val="0"/>
                <w:iCs w:val="0"/>
                <w:color w:val="000000"/>
                <w:sz w:val="22"/>
                <w:szCs w:val="22"/>
                <w:u w:val="none"/>
              </w:rPr>
            </w:pP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A68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球墨铸铁管</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9C9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w:t>
            </w:r>
            <w:r>
              <w:rPr>
                <w:rFonts w:hint="eastAsia" w:ascii="宋体" w:hAnsi="宋体" w:cs="宋体"/>
                <w:i w:val="0"/>
                <w:iCs w:val="0"/>
                <w:color w:val="000000"/>
                <w:kern w:val="0"/>
                <w:sz w:val="22"/>
                <w:szCs w:val="22"/>
                <w:u w:val="none"/>
                <w:lang w:val="en-US" w:eastAsia="zh-CN" w:bidi="ar"/>
              </w:rPr>
              <w:t>0</w:t>
            </w:r>
            <w:r>
              <w:rPr>
                <w:rFonts w:hint="eastAsia" w:ascii="宋体" w:hAnsi="宋体" w:eastAsia="宋体" w:cs="宋体"/>
                <w:i w:val="0"/>
                <w:iCs w:val="0"/>
                <w:color w:val="000000"/>
                <w:kern w:val="0"/>
                <w:sz w:val="22"/>
                <w:szCs w:val="22"/>
                <w:u w:val="none"/>
                <w:lang w:val="en-US" w:eastAsia="zh-CN" w:bidi="ar"/>
              </w:rPr>
              <w:t>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BBC03">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812</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78B584">
            <w:pPr>
              <w:jc w:val="center"/>
              <w:rPr>
                <w:rFonts w:hint="eastAsia" w:ascii="宋体" w:hAnsi="宋体" w:eastAsia="宋体" w:cs="宋体"/>
                <w:i w:val="0"/>
                <w:iCs w:val="0"/>
                <w:color w:val="000000"/>
                <w:sz w:val="22"/>
                <w:szCs w:val="22"/>
                <w:u w:val="none"/>
              </w:rPr>
            </w:pPr>
          </w:p>
        </w:tc>
      </w:tr>
      <w:tr w14:paraId="2FDF99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6C5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5</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942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西塘社区</w:t>
            </w: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138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HDPE聚乙烯缠绕结构壁管(B型)SN10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63A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DN600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79B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580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6F5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r>
      <w:tr w14:paraId="240E27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CB5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6</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D52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瓦子坡路临时道路</w:t>
            </w: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F1C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A9F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1C8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1D3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22613F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255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D04A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合计</w:t>
            </w: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5C03B">
            <w:pPr>
              <w:jc w:val="center"/>
              <w:rPr>
                <w:rFonts w:hint="eastAsia" w:ascii="宋体" w:hAnsi="宋体" w:eastAsia="宋体" w:cs="宋体"/>
                <w:i w:val="0"/>
                <w:iCs w:val="0"/>
                <w:color w:val="000000"/>
                <w:sz w:val="22"/>
                <w:szCs w:val="22"/>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53C96">
            <w:pPr>
              <w:jc w:val="center"/>
              <w:rPr>
                <w:rFonts w:hint="eastAsia" w:ascii="宋体" w:hAnsi="宋体" w:eastAsia="宋体" w:cs="宋体"/>
                <w:i w:val="0"/>
                <w:iCs w:val="0"/>
                <w:color w:val="000000"/>
                <w:sz w:val="22"/>
                <w:szCs w:val="22"/>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4DF20">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8390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21E9B">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2</w:t>
            </w:r>
            <w:r>
              <w:rPr>
                <w:rFonts w:hint="eastAsia" w:ascii="宋体" w:hAnsi="宋体" w:cs="宋体"/>
                <w:i w:val="0"/>
                <w:iCs w:val="0"/>
                <w:color w:val="000000"/>
                <w:kern w:val="0"/>
                <w:sz w:val="22"/>
                <w:szCs w:val="22"/>
                <w:u w:val="none"/>
                <w:lang w:val="en-US" w:eastAsia="zh-CN" w:bidi="ar"/>
              </w:rPr>
              <w:t>33</w:t>
            </w:r>
          </w:p>
        </w:tc>
      </w:tr>
    </w:tbl>
    <w:p w14:paraId="37732B08">
      <w:pPr>
        <w:pStyle w:val="12"/>
        <w:rPr>
          <w:rFonts w:hint="default"/>
          <w:lang w:val="en-US" w:eastAsia="zh-CN"/>
        </w:rPr>
      </w:pPr>
    </w:p>
    <w:p w14:paraId="0A60CA34">
      <w:pPr>
        <w:rPr>
          <w:rFonts w:hint="eastAsia"/>
          <w:lang w:val="en-US" w:eastAsia="zh-CN"/>
        </w:rPr>
      </w:pPr>
      <w:r>
        <w:rPr>
          <w:rFonts w:hint="eastAsia"/>
          <w:lang w:val="en-US" w:eastAsia="zh-CN"/>
        </w:rPr>
        <w:br w:type="page"/>
      </w:r>
    </w:p>
    <w:p w14:paraId="15E6AAB2">
      <w:pPr>
        <w:pStyle w:val="2"/>
        <w:keepNext w:val="0"/>
        <w:keepLines w:val="0"/>
        <w:pageBreakBefore w:val="0"/>
        <w:widowControl/>
        <w:kinsoku/>
        <w:wordWrap/>
        <w:overflowPunct/>
        <w:topLinePunct w:val="0"/>
        <w:autoSpaceDE/>
        <w:autoSpaceDN/>
        <w:bidi w:val="0"/>
        <w:adjustRightInd/>
        <w:snapToGrid/>
        <w:spacing w:before="147" w:beforeLines="50" w:beforeAutospacing="0" w:after="147" w:afterLines="50" w:afterAutospacing="0" w:line="360" w:lineRule="auto"/>
        <w:jc w:val="center"/>
        <w:textAlignment w:val="auto"/>
        <w:rPr>
          <w:rFonts w:hint="eastAsia" w:ascii="仿宋" w:hAnsi="仿宋" w:eastAsia="仿宋" w:cs="仿宋"/>
          <w:color w:val="auto"/>
          <w:sz w:val="28"/>
          <w:szCs w:val="28"/>
          <w:lang w:val="en-US" w:eastAsia="zh-CN"/>
        </w:rPr>
      </w:pPr>
      <w:bookmarkStart w:id="10" w:name="_Toc29331"/>
      <w:r>
        <w:rPr>
          <w:rFonts w:hint="eastAsia" w:ascii="仿宋" w:hAnsi="仿宋" w:eastAsia="仿宋" w:cs="仿宋"/>
          <w:color w:val="auto"/>
          <w:sz w:val="28"/>
          <w:szCs w:val="28"/>
          <w:lang w:val="en-US" w:eastAsia="zh-CN"/>
        </w:rPr>
        <w:t>二</w:t>
      </w:r>
      <w:r>
        <w:rPr>
          <w:rFonts w:hint="eastAsia" w:ascii="仿宋" w:hAnsi="仿宋" w:eastAsia="仿宋" w:cs="仿宋"/>
          <w:color w:val="auto"/>
          <w:sz w:val="28"/>
          <w:szCs w:val="28"/>
          <w:lang w:eastAsia="zh-CN"/>
        </w:rPr>
        <w:t>.城市概况</w:t>
      </w:r>
      <w:bookmarkEnd w:id="10"/>
    </w:p>
    <w:p w14:paraId="1AE6E89A">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1" w:name="_Toc17256"/>
      <w:r>
        <w:rPr>
          <w:rFonts w:hint="eastAsia" w:ascii="仿宋" w:hAnsi="仿宋" w:eastAsia="仿宋" w:cs="仿宋"/>
          <w:b/>
          <w:bCs/>
          <w:color w:val="auto"/>
          <w:sz w:val="28"/>
          <w:szCs w:val="28"/>
          <w:lang w:val="en-US" w:eastAsia="zh-CN"/>
        </w:rPr>
        <w:t>2.1.城市自然条件</w:t>
      </w:r>
      <w:bookmarkEnd w:id="11"/>
    </w:p>
    <w:p w14:paraId="729C68FB">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2" w:name="bookmark231"/>
      <w:bookmarkEnd w:id="12"/>
      <w:bookmarkStart w:id="13" w:name="_Toc7084"/>
      <w:bookmarkStart w:id="14" w:name="_Toc140"/>
      <w:r>
        <w:rPr>
          <w:rFonts w:hint="eastAsia" w:ascii="仿宋" w:hAnsi="仿宋" w:eastAsia="仿宋" w:cs="仿宋"/>
          <w:b/>
          <w:bCs/>
          <w:color w:val="auto"/>
          <w:sz w:val="28"/>
          <w:szCs w:val="28"/>
          <w:lang w:val="en-US" w:eastAsia="zh-CN"/>
        </w:rPr>
        <w:t>2.1.1.地理位置</w:t>
      </w:r>
      <w:bookmarkEnd w:id="13"/>
      <w:bookmarkEnd w:id="14"/>
    </w:p>
    <w:p w14:paraId="65B0D860">
      <w:pPr>
        <w:spacing w:line="360" w:lineRule="auto"/>
        <w:ind w:firstLine="532" w:firstLineChars="200"/>
      </w:pPr>
      <w:r>
        <w:rPr>
          <w:rFonts w:hint="eastAsia" w:ascii="仿宋" w:hAnsi="仿宋" w:eastAsia="仿宋" w:cs="仿宋"/>
          <w:color w:val="auto"/>
          <w:w w:val="95"/>
          <w:sz w:val="28"/>
          <w:szCs w:val="28"/>
          <w:lang w:val="en-US" w:eastAsia="zh-CN"/>
        </w:rPr>
        <w:t>岳阳市位于湖南东北部，素称“湘北门户”。地处北纬 28°25′33″～29°51′00″，东经 112° 18′31″ ~ 114°09′06″之间。东邻江西省铜鼓、修水县和湖北省通城县；南抵湖南省浏阳市、长沙市、望城县；西接湖南省沅江县、南县、安乡县；北接湖北省赤壁、洪湖、监利、石首县（市）。市东西横跨177.84km ，南北纵长 157.87km 。土地总面积 15087km2 ，占全省总面积的 7.05% 。城市规划区面积845km2 ，其中市区建成区面积 78km2。</w:t>
      </w:r>
    </w:p>
    <w:p w14:paraId="104DA608">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5" w:name="bookmark26"/>
      <w:bookmarkEnd w:id="15"/>
      <w:bookmarkStart w:id="16" w:name="bookmark27"/>
      <w:bookmarkEnd w:id="16"/>
      <w:bookmarkStart w:id="17" w:name="_Toc12052"/>
      <w:bookmarkStart w:id="18" w:name="_Toc12265"/>
      <w:r>
        <w:rPr>
          <w:rFonts w:hint="eastAsia" w:ascii="仿宋" w:hAnsi="仿宋" w:eastAsia="仿宋" w:cs="仿宋"/>
          <w:b/>
          <w:bCs/>
          <w:color w:val="auto"/>
          <w:sz w:val="28"/>
          <w:szCs w:val="28"/>
          <w:lang w:val="en-US" w:eastAsia="zh-CN"/>
        </w:rPr>
        <w:t>2.1.2.地形地貌</w:t>
      </w:r>
      <w:bookmarkEnd w:id="17"/>
      <w:bookmarkEnd w:id="18"/>
    </w:p>
    <w:p w14:paraId="24BBD6D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岳阳市地处富饶的洞庭湖平原和雄浑的幕阜山区，地貌组织以丘陵、平原为主，山地、丘陵、岗地、平原、水面的比例大致为：16：24:18:26:16.整个地势东高西低，山、丘、岗、平大致东西排列，南北延伸，呈阶梯状向洞庭湖倾斜，形似围椅状。东部山丘地带，约占全市面积的30%；西部平原地带，约占全市总面积的 40% ，由河床冲积物堆积而成，地势平坦开阔，地面坡度一般小于 5度。</w:t>
      </w:r>
    </w:p>
    <w:p w14:paraId="1A387FD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本项目用地区域为丘陵地带，地势起伏较大，场地较为规整，项目区均为城市建成区。</w:t>
      </w:r>
    </w:p>
    <w:p w14:paraId="6CBD0853">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9" w:name="bookmark28"/>
      <w:bookmarkEnd w:id="19"/>
      <w:bookmarkStart w:id="20" w:name="bookmark29"/>
      <w:bookmarkEnd w:id="20"/>
      <w:bookmarkStart w:id="21" w:name="_Toc3334"/>
      <w:bookmarkStart w:id="22" w:name="_Toc19555"/>
      <w:r>
        <w:rPr>
          <w:rFonts w:hint="eastAsia" w:ascii="仿宋" w:hAnsi="仿宋" w:eastAsia="仿宋" w:cs="仿宋"/>
          <w:b/>
          <w:bCs/>
          <w:color w:val="auto"/>
          <w:sz w:val="28"/>
          <w:szCs w:val="28"/>
          <w:lang w:val="en-US" w:eastAsia="zh-CN"/>
        </w:rPr>
        <w:t>2.1.3.工程地质</w:t>
      </w:r>
      <w:bookmarkEnd w:id="21"/>
      <w:bookmarkEnd w:id="22"/>
    </w:p>
    <w:p w14:paraId="1FA018E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 、工程地质</w:t>
      </w:r>
    </w:p>
    <w:p w14:paraId="485F3156">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根据本次勘察结果，场地内埋藏的地层主要有：第四系人工堆积素填土、第四系残坡积硬塑粉质黏土、元古界板岩。各地层的野外特征从新到老依次描述如下：</w:t>
      </w:r>
    </w:p>
    <w:p w14:paraId="7CD0DE2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素填土（Q4ml）①：黄褐色，灰褐色，主要由粉质黏土和风化板岩岩块、岩屑混填而成，粒径一般为3~10cm不等，硬质物含量大于30%，结构不均匀，具孔隙，稍密，局部松散，稍湿，回填时间约为10年，为多年填土，已完成自重固结。采取率约为90%，工程性状差，为施工回填。无湿陷性。该层沿线46个钻孔均揭露，揭露层厚为0.60~9.40m。</w:t>
      </w:r>
    </w:p>
    <w:p w14:paraId="06E102D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粉质黏土（Q3del）②：黄褐色、砖红色，硬塑，主要成分为粉质黏土，局部受铁锰质侵染呈灰褐色，土质较均匀，底部夹杂少量板岩碎屑，干强度韧性中等，无摇震反应，切面稍具光泽，残坡积成因。该层在场区大部分地段分布，共有40个钻孔揭露该层，揭露层厚为0.50~3.60m。</w:t>
      </w:r>
    </w:p>
    <w:p w14:paraId="0EFE0FA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强风化板岩（Pt）③：灰黄色，泥质、砂质成份，变余泥质、砂质结构，板状构造，岩体极破碎，节理裂隙特发育，节理面被铁锰质氧化物侵染，岩芯多呈块状、短柱状，局部风化呈土状，锤击声哑，岩块用手易折断，遇水易软化，属于极软岩，岩石质量指标为极差的（RQD=0-10），岩体基本质量等级为Ⅴ类。岩芯采取率80%～90%。该层沿线46个钻孔均揭露，揭露层厚为1.60~9.30m。</w:t>
      </w:r>
    </w:p>
    <w:p w14:paraId="5612911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中风化板岩（Pt）④：灰黄色、灰绿色，泥质、砂质成份，变余泥质、砂质结构，板状构造，节理裂隙较发育，节理面被铁锰质氧化物侵染，岩体较完整，岩芯多呈柱状、短柱状，少量呈饼状、块状，属软岩，岩石质量为差的(RQD=25-50)，岩体基本质量等级为Ⅳ类。岩芯采取率80%～90%。该层沿线有34个钻孔揭露，未揭穿该层，揭露层厚为1.10~5.20m。</w:t>
      </w:r>
    </w:p>
    <w:p w14:paraId="1D34D4D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 、地震</w:t>
      </w:r>
    </w:p>
    <w:p w14:paraId="1988FE8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根据中华人民共和国国家标准《建筑抗震设计规范》（GB50011-2010）（2016 年版）和《中国地震动参数区划图》（GB18306-2015），查得该地区地震动峰值加速度为 0. 10g ，地震动反应谱特性周期为 0.35s ，对应地震烈度为 7 度。本项目抗震设防烈度按 7 度设防。</w:t>
      </w:r>
    </w:p>
    <w:p w14:paraId="67B47937">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23" w:name="bookmark30"/>
      <w:bookmarkEnd w:id="23"/>
      <w:bookmarkStart w:id="24" w:name="bookmark31"/>
      <w:bookmarkEnd w:id="24"/>
      <w:bookmarkStart w:id="25" w:name="_Toc3807"/>
      <w:bookmarkStart w:id="26" w:name="_Toc6776"/>
      <w:r>
        <w:rPr>
          <w:rFonts w:hint="eastAsia" w:ascii="仿宋" w:hAnsi="仿宋" w:eastAsia="仿宋" w:cs="仿宋"/>
          <w:b/>
          <w:bCs/>
          <w:color w:val="auto"/>
          <w:sz w:val="28"/>
          <w:szCs w:val="28"/>
          <w:lang w:val="en-US" w:eastAsia="zh-CN"/>
        </w:rPr>
        <w:t>2.1.4.气象</w:t>
      </w:r>
      <w:bookmarkEnd w:id="25"/>
      <w:bookmarkEnd w:id="26"/>
    </w:p>
    <w:p w14:paraId="3C0F2E6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岳阳市属从中亚热带向北亚热带过渡的湿润的大陆性季风气候，其主要特征：温暖湿润，四季分明，季节性强；热量丰富，严寒期短、无霜期长，春温多变，盛夏酷热；雨水充沛，雨季明显，降水集中；湖区气候均一，山地气候悬殊。多年平均降水量为 1439.1 毫米，呈春夏多、秋冬少，东部多、西部少的格局，春夏雨量约占全年的70％，降雨年际分布不均，面上年平均降雨最多达2191.4 毫米（1954 年），降雨最少的年份只有 945.7 毫米（2011 年）。年平均气温在 16.5～17.2℃之间，极端最高气温为 39.3～40.8℃ , 极端最低气温为-18. 1～-11.4℃ 。城区年平均气温偏高，为17.0℃。年日照时数为 1590.2～1722.3 小时，呈北部比南部多、西部比东部多的格局。年无霜期 256~ 285 天。市境主导风向为北风和东北偏北风，年平均风速为 2.0～2.7m/s。</w:t>
      </w:r>
    </w:p>
    <w:p w14:paraId="327FBCDA">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27" w:name="bookmark32"/>
      <w:bookmarkEnd w:id="27"/>
      <w:bookmarkStart w:id="28" w:name="bookmark33"/>
      <w:bookmarkEnd w:id="28"/>
      <w:bookmarkStart w:id="29" w:name="_Toc18872"/>
      <w:bookmarkStart w:id="30" w:name="_Toc7200"/>
      <w:r>
        <w:rPr>
          <w:rFonts w:hint="eastAsia" w:ascii="仿宋" w:hAnsi="仿宋" w:eastAsia="仿宋" w:cs="仿宋"/>
          <w:b/>
          <w:bCs/>
          <w:color w:val="auto"/>
          <w:sz w:val="28"/>
          <w:szCs w:val="28"/>
          <w:lang w:val="en-US" w:eastAsia="zh-CN"/>
        </w:rPr>
        <w:t>2.1.5.水文</w:t>
      </w:r>
      <w:bookmarkEnd w:id="29"/>
      <w:bookmarkEnd w:id="30"/>
    </w:p>
    <w:p w14:paraId="2B317A8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境内水系复杂，江河纵横，湖泊密布，共有大小湖泊 165 处，280  多条大小河流流入长江和洞庭湖。其中长度在 5km  以上河流 273 条，流域面积 100 km2  以上的河流 27 条。境内有两大河流：</w:t>
      </w:r>
    </w:p>
    <w:p w14:paraId="76CFBD1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①汨罗江 253km，流域面积 5543km2，年径流量 37  亿 m3；②新墙河 108 km，流域面积 2370 km2，年径流量 16 亿 m3。长江：流经湖南 163 km  均在岳阳境内，上段自华容五马口至君山穆湖铺 99.5 km，其中华容段 37 km、岳阳监狱段 2.8 km、君山段 59.7 km；下段自城陵矶至临湘铁山嘴 63.5 km，其中楼区云溪段 28 km 、临湘段 35.5 km。湘江：流经岳阳市 117.7 km ，上起湘阴岭北乔口，下至城陵矶，流经湘阴、屈原、汨罗、岳阳县和岳阳楼区。</w:t>
      </w:r>
    </w:p>
    <w:p w14:paraId="57DDF27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洞庭湖：地处长江中游，是我国吞吐水量最大的淡水湖泊，是长江中游最重要的集水湖盆与调洪湖泊。城陵矶站水位 33.5m  时，洞庭湖面积 2625km2 ，总容积 167 亿 m3。根据自然形态，洞庭湖分成东洞庭湖、南洞庭湖、西洞庭湖（由目平湖、七里湖组成），对应面积分别为 1313 km2 、 905 km2、407 km2 。东洞庭湖是洞庭湖湖泊群落中最大、保存最完好的天然季节性湖泊，冬夏水位落差达 13m，现有水面 1313km2 ，占洞庭湖总水面的 50%；现有容量 118.98  亿 m3 ，占洞庭湖总容量的 71% 。我市境内洞庭湖面积 1312 km2 ，其中东洞庭湖 920 km2 、南洞庭湖 392km2 。在洞庭湖周边，沿东、南、西、北个方向，分别有新墙河、汨罗江、湘江、资江、沅江、灃水、松滋河、虎渡河、藕池河等九条大中江河入湖，形成以洞庭湖为中心的辐射状水系，亦被称“九龙闹洞庭” 。其中前六条统称为“南水”，后三条统称为“北水”,南、北两水在洞庭湖“九九归一”于城陵矶汇入长江。</w:t>
      </w:r>
    </w:p>
    <w:p w14:paraId="74C76C2E">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31" w:name="bookmark35"/>
      <w:bookmarkEnd w:id="31"/>
      <w:bookmarkStart w:id="32" w:name="bookmark34"/>
      <w:bookmarkEnd w:id="32"/>
      <w:bookmarkStart w:id="33" w:name="_Toc23981"/>
      <w:bookmarkStart w:id="34" w:name="_Toc4129"/>
      <w:r>
        <w:rPr>
          <w:rFonts w:hint="eastAsia" w:ascii="仿宋" w:hAnsi="仿宋" w:eastAsia="仿宋" w:cs="仿宋"/>
          <w:b/>
          <w:bCs/>
          <w:color w:val="auto"/>
          <w:sz w:val="28"/>
          <w:szCs w:val="28"/>
          <w:lang w:val="en-US" w:eastAsia="zh-CN"/>
        </w:rPr>
        <w:t>2.1.6.地震烈度</w:t>
      </w:r>
      <w:bookmarkEnd w:id="33"/>
      <w:bookmarkEnd w:id="34"/>
    </w:p>
    <w:p w14:paraId="770F64D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本区位于低山丘陵与洞庭湖平原过渡地带，属扬子准地台江南地轴北缘，以 NWM 向小型紧闭褶皱为主，区内存在岳阳～湘阴 NE  向断裂带，属挽近活动断裂。根据《中国地震动参数区划图》 （GB18306-2015），本区地震动峰值加速度为 0. 1g ，地震动反应谱特征周期为 0.35s ，相对应的地震基本烈度为Ⅶ度。</w:t>
      </w:r>
    </w:p>
    <w:p w14:paraId="37D0FE9C">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35" w:name="bookmark36"/>
      <w:bookmarkEnd w:id="35"/>
      <w:bookmarkStart w:id="36" w:name="bookmark38"/>
      <w:bookmarkEnd w:id="36"/>
      <w:bookmarkStart w:id="37" w:name="bookmark39"/>
      <w:bookmarkEnd w:id="37"/>
      <w:bookmarkStart w:id="38" w:name="bookmark37"/>
      <w:bookmarkEnd w:id="38"/>
      <w:bookmarkStart w:id="39" w:name="_Toc21280"/>
      <w:r>
        <w:rPr>
          <w:rFonts w:hint="eastAsia" w:ascii="仿宋" w:hAnsi="仿宋" w:eastAsia="仿宋" w:cs="仿宋"/>
          <w:b/>
          <w:bCs/>
          <w:color w:val="auto"/>
          <w:sz w:val="28"/>
          <w:szCs w:val="28"/>
          <w:lang w:val="en-US" w:eastAsia="zh-CN"/>
        </w:rPr>
        <w:t>2.2.城市性质及规模</w:t>
      </w:r>
      <w:bookmarkEnd w:id="39"/>
    </w:p>
    <w:p w14:paraId="156DE800">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40" w:name="bookmark232"/>
      <w:bookmarkEnd w:id="40"/>
      <w:bookmarkStart w:id="41" w:name="_Toc8538"/>
      <w:bookmarkStart w:id="42" w:name="_Toc20300"/>
      <w:r>
        <w:rPr>
          <w:rFonts w:hint="eastAsia" w:ascii="仿宋" w:hAnsi="仿宋" w:eastAsia="仿宋" w:cs="仿宋"/>
          <w:b/>
          <w:bCs/>
          <w:color w:val="auto"/>
          <w:sz w:val="28"/>
          <w:szCs w:val="28"/>
          <w:lang w:val="en-US" w:eastAsia="zh-CN"/>
        </w:rPr>
        <w:t>2.2.1.城市性质</w:t>
      </w:r>
      <w:bookmarkEnd w:id="41"/>
      <w:bookmarkEnd w:id="42"/>
    </w:p>
    <w:p w14:paraId="0DB795A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国家历史文化名城和风景旅游城市，中部地区石化工业基地和现代物流中心，湖南省唯一通江达海口岸。</w:t>
      </w:r>
    </w:p>
    <w:p w14:paraId="76A12101">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43" w:name="_Toc16635"/>
      <w:bookmarkStart w:id="44" w:name="_Toc25793"/>
      <w:r>
        <w:rPr>
          <w:rFonts w:hint="eastAsia" w:ascii="仿宋" w:hAnsi="仿宋" w:eastAsia="仿宋" w:cs="仿宋"/>
          <w:b/>
          <w:bCs/>
          <w:color w:val="auto"/>
          <w:sz w:val="28"/>
          <w:szCs w:val="28"/>
          <w:lang w:val="en-US" w:eastAsia="zh-CN"/>
        </w:rPr>
        <w:t>2.2.2.行政区划及人口</w:t>
      </w:r>
      <w:bookmarkEnd w:id="43"/>
      <w:bookmarkEnd w:id="44"/>
    </w:p>
    <w:p w14:paraId="634558F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2023 年，岳阳市辖 4 县 3 区：平江县、岳阳县、华容县、湘阴县、岳阳楼区、云溪区、君山区，代管 2 个县级市：汨罗市、临湘市，设有屈原管理区、岳阳经开区、城陵矶新港区、南湖新区，有乡镇（街道）130  个、村 1375 个、社区 461  个。2023 年末，全市常住人口 499. 14 万人。其中，城镇人口 311.42 万人，城镇化率 62.39%。男性人口 254.71 万人，占 51.0%；女性人口 244.43 万人，占 49.0% ，总人口性别比（以女性为 100 ，男性对女性的比例）为 104.21。</w:t>
      </w:r>
    </w:p>
    <w:p w14:paraId="45377D14">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45" w:name="bookmark43"/>
      <w:bookmarkEnd w:id="45"/>
      <w:bookmarkStart w:id="46" w:name="bookmark42"/>
      <w:bookmarkEnd w:id="46"/>
      <w:bookmarkStart w:id="47" w:name="_Toc16646"/>
      <w:bookmarkStart w:id="48" w:name="_Toc14886"/>
      <w:r>
        <w:rPr>
          <w:rFonts w:hint="eastAsia" w:ascii="仿宋" w:hAnsi="仿宋" w:eastAsia="仿宋" w:cs="仿宋"/>
          <w:b/>
          <w:bCs/>
          <w:color w:val="auto"/>
          <w:sz w:val="28"/>
          <w:szCs w:val="28"/>
          <w:lang w:val="en-US" w:eastAsia="zh-CN"/>
        </w:rPr>
        <w:t>2.2.3.社会经济概况</w:t>
      </w:r>
      <w:bookmarkEnd w:id="47"/>
      <w:bookmarkEnd w:id="48"/>
    </w:p>
    <w:p w14:paraId="3272D87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2023 年，根据地区生产总值统一核算结果，全年地区生产总值 4841.78 亿元，比上年增长 4.6%。其中：第一产业增加值 482.05 亿元，增长 3.4%；第二产业增加值 1907.40 亿元，增长 3.8%；第三产业增加值 2452.32 亿元，增长 5.5% 。按常住人口计算，人均地区生产总值 96749 元，增长 5. 1%。三次产业结构为 10.0:39.4:50.6。第一、二、三产业对经济增长的贡献率分别为 8.3%、34.3%和 57.4%。其中，工业对经济增长的贡献率为 35.2% 。民营经济增加值 3532.75 亿元，增长 4.5%。</w:t>
      </w:r>
    </w:p>
    <w:p w14:paraId="5A2FA1C6">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全年居民人均可支配收入 35202 元，比上年增长 5.8% 。其中城镇居民人均可支配收入 44045元，增长 4.7%；农村居民人均可支配收入 23178 元，增长 7.0%。全市居民人均消费支出25657 元，比上年增长 5.8%。其中城镇居民人均消费支出 29451 元，增长 5.2%；农村居民人均消费支出 20498元，增长 6.3%。</w:t>
      </w:r>
    </w:p>
    <w:p w14:paraId="61176CB1">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49" w:name="_Toc7579"/>
      <w:r>
        <w:rPr>
          <w:rFonts w:hint="eastAsia" w:ascii="仿宋" w:hAnsi="仿宋" w:eastAsia="仿宋" w:cs="仿宋"/>
          <w:b/>
          <w:bCs/>
          <w:color w:val="auto"/>
          <w:sz w:val="28"/>
          <w:szCs w:val="28"/>
          <w:lang w:val="en-US" w:eastAsia="zh-CN"/>
        </w:rPr>
        <w:t>2.3.城市相关规划解读</w:t>
      </w:r>
      <w:bookmarkEnd w:id="49"/>
    </w:p>
    <w:p w14:paraId="57754B27">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50" w:name="bookmark233"/>
      <w:bookmarkEnd w:id="50"/>
      <w:bookmarkStart w:id="51" w:name="_Toc16820"/>
      <w:bookmarkStart w:id="52" w:name="_Toc6532"/>
      <w:r>
        <w:rPr>
          <w:rFonts w:hint="eastAsia" w:ascii="仿宋" w:hAnsi="仿宋" w:eastAsia="仿宋" w:cs="仿宋"/>
          <w:b/>
          <w:bCs/>
          <w:color w:val="auto"/>
          <w:sz w:val="28"/>
          <w:szCs w:val="28"/>
          <w:lang w:val="en-US" w:eastAsia="zh-CN"/>
        </w:rPr>
        <w:t>2.3.1.《岳阳市水资源保护规划》</w:t>
      </w:r>
      <w:bookmarkEnd w:id="51"/>
      <w:bookmarkEnd w:id="52"/>
    </w:p>
    <w:p w14:paraId="568B913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现状基准年</w:t>
      </w:r>
    </w:p>
    <w:p w14:paraId="2BAF7C36">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本次规划现状调查评价阶段各项基础数据，要求采用 2012    年基准年数据进行现状</w:t>
      </w:r>
    </w:p>
    <w:p w14:paraId="2606538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调查评价；对于缺少2012 年基准年数据的地区，采用近三年调查资料；对资料缺乏的地区进行必要的补充调查或监测。</w:t>
      </w:r>
    </w:p>
    <w:p w14:paraId="040F4FC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规划水平年</w:t>
      </w:r>
    </w:p>
    <w:p w14:paraId="7E11F3C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规划近期水平年为 2020 年；规划远期水平年为 2030 年。</w:t>
      </w:r>
    </w:p>
    <w:p w14:paraId="4F44CAD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规划目标</w:t>
      </w:r>
    </w:p>
    <w:p w14:paraId="64A09A1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规划近期（2020  年）目标：到 2020 年，主要江河湖库水功能区水质明显改善，重要江河湖泊水功能区水质达标率提高到 80%以上；城镇供水水源地水质全面达标；地下水资源储备能力显著提高；主要江河湖泊水生态系统得到基本保护，河湖生态水量得到基本保证；重要生态保护区、水源涵养区、江河源头区和湿地得到有效保护；受损的重要地表水和地下水生态系统得到初步修复，水生态恶化的趋势得到遏制；基本建成水资源保护和河湖健康保障体系。</w:t>
      </w:r>
    </w:p>
    <w:p w14:paraId="5B7809B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规划远期（2030  年）目标：到 2030 年，江河湖库水功能区基本实现达标，水功能区水质达标率提高到 95%以上，主要污染物入河湖总量控制在水功能区纳污能力的范围之内，重点地区地下水水质显著改善；主要江河湖泊水生态系统得到全面保护，河湖生态水量得到全面保证；受损的重要地表水和地下水生态系统基本得到修复；建立完善的水资源保护和河湖健康保障体系。</w:t>
      </w:r>
    </w:p>
    <w:p w14:paraId="45530E4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水功能区划</w:t>
      </w:r>
    </w:p>
    <w:p w14:paraId="5562075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根据最新编制的《湖南省水功能区划》，建议岳阳市增加的市级一级水功能区划包括：汨罗江平江开发利用区、汨罗江平江～汨罗保留区、新墙河岳阳保留区、湘江洪道东支湘阴保留区、长江华容开发利用区、长江君山开发利用区；建议增加的市级二级水功能区划包括：汨罗江汨罗工业农业用水区、新墙河岳阳饮用水源区、湘江洪道东支湘阴饮用水源区、湘江洪道东支湘阴工业用水区、长江华容饮用水源区、长江君山区饮用水源区。</w:t>
      </w:r>
    </w:p>
    <w:p w14:paraId="06D0C7D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由于自然环境、开发利用状况发生变化，由于有些水功能区由一个区划划分成两个不同类型区划等原因，长度发生调整的一级区划包括：湘江望城～湘阴保留区的长度由 28.7km 调整到 22.9km、汨罗江平江保留区的长度由 128.2km 调整到 109.9km 、湘江洪道东支湘阴开发利用区的长度由35.6km 调整到 16.4km；长度发生调整的二级区划包括：汨罗江汨罗饮用水源区的长度由 12.4km调整到 7.0km 、新墙河岳阳工业农业用水区的长度由 26.8km 调整到 9.5km。</w:t>
      </w:r>
    </w:p>
    <w:p w14:paraId="5516A8EC">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53" w:name="bookmark49"/>
      <w:bookmarkEnd w:id="53"/>
      <w:bookmarkStart w:id="54" w:name="bookmark48"/>
      <w:bookmarkEnd w:id="54"/>
      <w:bookmarkStart w:id="55" w:name="_Toc12284"/>
      <w:bookmarkStart w:id="56" w:name="_Toc32606"/>
      <w:r>
        <w:rPr>
          <w:rFonts w:hint="eastAsia" w:ascii="仿宋" w:hAnsi="仿宋" w:eastAsia="仿宋" w:cs="仿宋"/>
          <w:b/>
          <w:bCs/>
          <w:color w:val="auto"/>
          <w:sz w:val="28"/>
          <w:szCs w:val="28"/>
          <w:lang w:val="en-US" w:eastAsia="zh-CN"/>
        </w:rPr>
        <w:t>2.3.2.《岳阳市中心城区给水专项规划（2011~2030）》</w:t>
      </w:r>
      <w:bookmarkEnd w:id="55"/>
      <w:bookmarkEnd w:id="56"/>
    </w:p>
    <w:p w14:paraId="06DCBFF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规划范围</w:t>
      </w:r>
    </w:p>
    <w:p w14:paraId="2D92AD2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本次规划范围为《岳阳市城市总体规划》（2008~2030）所确定的岳阳市中心城区， 城市建设用地规模为 155km2 。规划人口 160  万人。</w:t>
      </w:r>
    </w:p>
    <w:p w14:paraId="41ABEFE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规划期限</w:t>
      </w:r>
    </w:p>
    <w:p w14:paraId="1EF6EFB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近期：2011~2015  年； 中期：2015~2020  年； 远期：2021~2030  年。</w:t>
      </w:r>
    </w:p>
    <w:p w14:paraId="3A2EE356">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规划目标</w:t>
      </w:r>
    </w:p>
    <w:p w14:paraId="568BF33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经济、安全可靠地供给城市居民生活用水和工业企业生产用水，保证保障人民生命财产的消防</w:t>
      </w:r>
    </w:p>
    <w:p w14:paraId="3FA212D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用水，并保证水量、水质、水压。近期实现规划区公共供水普及率达到 95%以上，中期达到 98% ，远期达到 100%。</w:t>
      </w:r>
    </w:p>
    <w:p w14:paraId="3CB82FB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用水量指标</w:t>
      </w:r>
    </w:p>
    <w:p w14:paraId="3B5A929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最高日人均综合用水量指标为 450L/人.d。</w:t>
      </w:r>
    </w:p>
    <w:p w14:paraId="05CCF47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供水规模</w:t>
      </w:r>
    </w:p>
    <w:p w14:paraId="55638BA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近期 45  万 m3/d；中期 55  万 m3/d；远期 65  万 m3/d。</w:t>
      </w:r>
    </w:p>
    <w:p w14:paraId="53D2BBB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供水水源</w:t>
      </w:r>
    </w:p>
    <w:p w14:paraId="50C58DF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岳阳市一水厂以铁山水库为取水水源，洞庭湖为备用水源；岳阳市二水厂以铁山水库为取水水源，湖滨水厂以洞庭湖为取水水源；云溪水厂以双花水库为取水水源，岳化生活厂以铁山水库为取水水源。</w:t>
      </w:r>
    </w:p>
    <w:p w14:paraId="4BC0AC8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水厂规划</w:t>
      </w:r>
    </w:p>
    <w:p w14:paraId="2E19286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岳阳市中心区域规划设有 5 座水厂。</w:t>
      </w:r>
    </w:p>
    <w:p w14:paraId="5EE2E59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岳阳市一水厂保持现有 20.0  万 m3/d  的供水规模不变；岳阳市二水厂规模为 20.0  万 m3/d，远期扩建至规模 40.0  万 m3/d；湖滨水厂选址于湖滨镇，规划规模为 10  万 m3/d； 云溪水厂规模为 2.0  万 m3/d；岳化生活水厂规模为 2.0  万 m3/d。</w:t>
      </w:r>
    </w:p>
    <w:p w14:paraId="062EF6D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加压泵站</w:t>
      </w:r>
    </w:p>
    <w:p w14:paraId="430E01D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岳阳市中心城区设有 3  座加压泵站。</w:t>
      </w:r>
    </w:p>
    <w:p w14:paraId="48140E4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经开区加压站：对经开区地形标高 50m 以上区域进行二次加压供水，服务范围 18.5km2，远期供水规模 7.0 万 m3/d。</w:t>
      </w:r>
    </w:p>
    <w:p w14:paraId="0FE3814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云溪加压泵站：对云溪区地形标高 50m  以上区域进行二次加压供水，服务范围 8.6km2，远期供水规模 3.0 万 m3/d。</w:t>
      </w:r>
    </w:p>
    <w:p w14:paraId="7A2FE53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新开加压泵站：对地形标高 50m  以上区域进行二次加压供水，服务范围约 5.7km2 ， 远期供水规模 2.0 万 m3/d。</w:t>
      </w:r>
    </w:p>
    <w:p w14:paraId="0558DF78">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57" w:name="bookmark51"/>
      <w:bookmarkEnd w:id="57"/>
      <w:bookmarkStart w:id="58" w:name="bookmark50"/>
      <w:bookmarkEnd w:id="58"/>
      <w:bookmarkStart w:id="59" w:name="_Toc32028"/>
      <w:bookmarkStart w:id="60" w:name="_Toc7100"/>
      <w:r>
        <w:rPr>
          <w:rFonts w:hint="eastAsia" w:ascii="仿宋" w:hAnsi="仿宋" w:eastAsia="仿宋" w:cs="仿宋"/>
          <w:b/>
          <w:bCs/>
          <w:color w:val="auto"/>
          <w:sz w:val="28"/>
          <w:szCs w:val="28"/>
          <w:lang w:val="en-US" w:eastAsia="zh-CN"/>
        </w:rPr>
        <w:t>2.3.3.《岳阳市中心城区排水专项规划》（修编）（2016-2030）</w:t>
      </w:r>
      <w:bookmarkEnd w:id="59"/>
      <w:bookmarkEnd w:id="60"/>
    </w:p>
    <w:p w14:paraId="14B1ECA0">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污水工程总体布局总体布局</w:t>
      </w:r>
    </w:p>
    <w:p w14:paraId="5729194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根据本次排水专项规划推荐实施的相对集中建三厂规划布局方案，岳阳市中心城区污水系统重新组合后由湖滨、马壕、临港新区三个污水系统组成，三个系统中各自规划有一座污水处理厂，污水收集处理后排入洞庭湖或长江。</w:t>
      </w:r>
    </w:p>
    <w:p w14:paraId="549C498E">
      <w:pPr>
        <w:pStyle w:val="9"/>
        <w:spacing w:before="1" w:line="218" w:lineRule="auto"/>
        <w:ind w:left="3831"/>
        <w:rPr>
          <w:rFonts w:hint="eastAsia" w:ascii="仿宋" w:hAnsi="仿宋" w:eastAsia="仿宋" w:cs="仿宋"/>
          <w:sz w:val="24"/>
          <w:szCs w:val="24"/>
        </w:rPr>
      </w:pPr>
      <w:r>
        <w:rPr>
          <w:rFonts w:hint="eastAsia" w:ascii="仿宋" w:hAnsi="仿宋" w:eastAsia="仿宋" w:cs="仿宋"/>
          <w:spacing w:val="-3"/>
          <w:sz w:val="24"/>
          <w:szCs w:val="24"/>
        </w:rPr>
        <w:t>中心城区污水系统总体布局表</w:t>
      </w:r>
    </w:p>
    <w:tbl>
      <w:tblPr>
        <w:tblStyle w:val="51"/>
        <w:tblpPr w:leftFromText="180" w:rightFromText="180" w:vertAnchor="text" w:horzAnchor="page" w:tblpX="12890" w:tblpY="44"/>
        <w:tblOverlap w:val="never"/>
        <w:tblW w:w="986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74"/>
        <w:gridCol w:w="1456"/>
        <w:gridCol w:w="1297"/>
        <w:gridCol w:w="1436"/>
        <w:gridCol w:w="1845"/>
        <w:gridCol w:w="1337"/>
        <w:gridCol w:w="1720"/>
      </w:tblGrid>
      <w:tr w14:paraId="27D104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56" w:hRule="atLeast"/>
        </w:trPr>
        <w:tc>
          <w:tcPr>
            <w:tcW w:w="774" w:type="dxa"/>
            <w:tcBorders>
              <w:top w:val="single" w:color="000000" w:sz="10" w:space="0"/>
              <w:left w:val="single" w:color="000000" w:sz="10" w:space="0"/>
            </w:tcBorders>
            <w:vAlign w:val="top"/>
          </w:tcPr>
          <w:p w14:paraId="6495A067">
            <w:pPr>
              <w:spacing w:before="265" w:line="221" w:lineRule="auto"/>
              <w:ind w:left="161"/>
              <w:rPr>
                <w:rFonts w:hint="eastAsia" w:ascii="仿宋" w:hAnsi="仿宋" w:eastAsia="仿宋" w:cs="仿宋"/>
                <w:sz w:val="24"/>
                <w:szCs w:val="24"/>
              </w:rPr>
            </w:pPr>
            <w:r>
              <w:rPr>
                <w:rFonts w:hint="eastAsia" w:ascii="仿宋" w:hAnsi="仿宋" w:eastAsia="仿宋" w:cs="仿宋"/>
                <w:spacing w:val="-4"/>
                <w:sz w:val="24"/>
                <w:szCs w:val="24"/>
              </w:rPr>
              <w:t>序号</w:t>
            </w:r>
          </w:p>
        </w:tc>
        <w:tc>
          <w:tcPr>
            <w:tcW w:w="1456" w:type="dxa"/>
            <w:tcBorders>
              <w:top w:val="single" w:color="000000" w:sz="10" w:space="0"/>
            </w:tcBorders>
            <w:vAlign w:val="top"/>
          </w:tcPr>
          <w:p w14:paraId="0D6F10C7">
            <w:pPr>
              <w:spacing w:before="152" w:line="458" w:lineRule="auto"/>
              <w:ind w:left="199" w:right="271" w:hanging="88"/>
              <w:rPr>
                <w:rFonts w:hint="eastAsia" w:ascii="仿宋" w:hAnsi="仿宋" w:eastAsia="仿宋" w:cs="仿宋"/>
                <w:sz w:val="24"/>
                <w:szCs w:val="24"/>
              </w:rPr>
            </w:pPr>
            <w:r>
              <w:rPr>
                <w:rFonts w:hint="eastAsia" w:ascii="仿宋" w:hAnsi="仿宋" w:eastAsia="仿宋" w:cs="仿宋"/>
                <w:spacing w:val="-3"/>
                <w:sz w:val="24"/>
                <w:szCs w:val="24"/>
              </w:rPr>
              <w:t>排水区域及污水系统名称</w:t>
            </w:r>
          </w:p>
        </w:tc>
        <w:tc>
          <w:tcPr>
            <w:tcW w:w="1297" w:type="dxa"/>
            <w:tcBorders>
              <w:top w:val="single" w:color="000000" w:sz="10" w:space="0"/>
            </w:tcBorders>
            <w:vAlign w:val="top"/>
          </w:tcPr>
          <w:p w14:paraId="08291C23">
            <w:pPr>
              <w:spacing w:before="152" w:line="458" w:lineRule="auto"/>
              <w:ind w:left="157" w:right="281" w:hanging="37"/>
              <w:rPr>
                <w:rFonts w:hint="eastAsia" w:ascii="仿宋" w:hAnsi="仿宋" w:eastAsia="仿宋" w:cs="仿宋"/>
                <w:sz w:val="24"/>
                <w:szCs w:val="24"/>
              </w:rPr>
            </w:pPr>
            <w:r>
              <w:rPr>
                <w:rFonts w:hint="eastAsia" w:ascii="仿宋" w:hAnsi="仿宋" w:eastAsia="仿宋" w:cs="仿宋"/>
                <w:spacing w:val="-3"/>
                <w:sz w:val="24"/>
                <w:szCs w:val="24"/>
              </w:rPr>
              <w:t>规划服务面</w:t>
            </w:r>
            <w:r>
              <w:rPr>
                <w:rFonts w:hint="eastAsia" w:ascii="仿宋" w:hAnsi="仿宋" w:eastAsia="仿宋" w:cs="仿宋"/>
                <w:spacing w:val="-1"/>
                <w:sz w:val="24"/>
                <w:szCs w:val="24"/>
              </w:rPr>
              <w:t>积（hm</w:t>
            </w:r>
            <w:r>
              <w:rPr>
                <w:rFonts w:hint="eastAsia" w:ascii="仿宋" w:hAnsi="仿宋" w:eastAsia="仿宋" w:cs="仿宋"/>
                <w:spacing w:val="-1"/>
                <w:position w:val="8"/>
                <w:sz w:val="24"/>
                <w:szCs w:val="24"/>
              </w:rPr>
              <w:t>2</w:t>
            </w:r>
            <w:r>
              <w:rPr>
                <w:rFonts w:hint="eastAsia" w:ascii="仿宋" w:hAnsi="仿宋" w:eastAsia="仿宋" w:cs="仿宋"/>
                <w:spacing w:val="-1"/>
                <w:sz w:val="24"/>
                <w:szCs w:val="24"/>
              </w:rPr>
              <w:t>）</w:t>
            </w:r>
          </w:p>
        </w:tc>
        <w:tc>
          <w:tcPr>
            <w:tcW w:w="1436" w:type="dxa"/>
            <w:tcBorders>
              <w:top w:val="single" w:color="000000" w:sz="10" w:space="0"/>
            </w:tcBorders>
            <w:vAlign w:val="top"/>
          </w:tcPr>
          <w:p w14:paraId="0A449676">
            <w:pPr>
              <w:spacing w:before="150" w:line="459" w:lineRule="auto"/>
              <w:ind w:left="208" w:right="361" w:hanging="17"/>
              <w:rPr>
                <w:rFonts w:hint="eastAsia" w:ascii="仿宋" w:hAnsi="仿宋" w:eastAsia="仿宋" w:cs="仿宋"/>
                <w:sz w:val="24"/>
                <w:szCs w:val="24"/>
              </w:rPr>
            </w:pPr>
            <w:r>
              <w:rPr>
                <w:rFonts w:hint="eastAsia" w:ascii="仿宋" w:hAnsi="仿宋" w:eastAsia="仿宋" w:cs="仿宋"/>
                <w:spacing w:val="-6"/>
                <w:sz w:val="24"/>
                <w:szCs w:val="24"/>
              </w:rPr>
              <w:t>规划服务人</w:t>
            </w:r>
            <w:r>
              <w:rPr>
                <w:rFonts w:hint="eastAsia" w:ascii="仿宋" w:hAnsi="仿宋" w:eastAsia="仿宋" w:cs="仿宋"/>
                <w:spacing w:val="-9"/>
                <w:sz w:val="24"/>
                <w:szCs w:val="24"/>
              </w:rPr>
              <w:t>口（万人）</w:t>
            </w:r>
          </w:p>
        </w:tc>
        <w:tc>
          <w:tcPr>
            <w:tcW w:w="1845" w:type="dxa"/>
            <w:tcBorders>
              <w:top w:val="single" w:color="000000" w:sz="10" w:space="0"/>
            </w:tcBorders>
            <w:vAlign w:val="top"/>
          </w:tcPr>
          <w:p w14:paraId="582B0013">
            <w:pPr>
              <w:spacing w:before="150" w:line="219" w:lineRule="auto"/>
              <w:ind w:left="129"/>
              <w:rPr>
                <w:rFonts w:hint="eastAsia" w:ascii="仿宋" w:hAnsi="仿宋" w:eastAsia="仿宋" w:cs="仿宋"/>
                <w:sz w:val="24"/>
                <w:szCs w:val="24"/>
              </w:rPr>
            </w:pPr>
            <w:r>
              <w:rPr>
                <w:rFonts w:hint="eastAsia" w:ascii="仿宋" w:hAnsi="仿宋" w:eastAsia="仿宋" w:cs="仿宋"/>
                <w:spacing w:val="-5"/>
                <w:sz w:val="24"/>
                <w:szCs w:val="24"/>
              </w:rPr>
              <w:t>旱季污水量预测</w:t>
            </w:r>
          </w:p>
          <w:p w14:paraId="4AC9F1EF">
            <w:pPr>
              <w:spacing w:before="256" w:line="220" w:lineRule="auto"/>
              <w:ind w:left="360"/>
              <w:rPr>
                <w:rFonts w:hint="eastAsia" w:ascii="仿宋" w:hAnsi="仿宋" w:eastAsia="仿宋" w:cs="仿宋"/>
                <w:sz w:val="24"/>
                <w:szCs w:val="24"/>
              </w:rPr>
            </w:pPr>
            <w:r>
              <w:rPr>
                <w:rFonts w:hint="eastAsia" w:ascii="仿宋" w:hAnsi="仿宋" w:eastAsia="仿宋" w:cs="仿宋"/>
                <w:spacing w:val="-2"/>
                <w:sz w:val="24"/>
                <w:szCs w:val="24"/>
              </w:rPr>
              <w:t>（万m</w:t>
            </w:r>
            <w:r>
              <w:rPr>
                <w:rFonts w:hint="eastAsia" w:ascii="仿宋" w:hAnsi="仿宋" w:eastAsia="仿宋" w:cs="仿宋"/>
                <w:spacing w:val="-2"/>
                <w:position w:val="8"/>
                <w:sz w:val="24"/>
                <w:szCs w:val="24"/>
              </w:rPr>
              <w:t>3</w:t>
            </w:r>
            <w:r>
              <w:rPr>
                <w:rFonts w:hint="eastAsia" w:ascii="仿宋" w:hAnsi="仿宋" w:eastAsia="仿宋" w:cs="仿宋"/>
                <w:spacing w:val="-2"/>
                <w:sz w:val="24"/>
                <w:szCs w:val="24"/>
              </w:rPr>
              <w:t>/）</w:t>
            </w:r>
          </w:p>
        </w:tc>
        <w:tc>
          <w:tcPr>
            <w:tcW w:w="1337" w:type="dxa"/>
            <w:tcBorders>
              <w:top w:val="single" w:color="000000" w:sz="10" w:space="0"/>
            </w:tcBorders>
            <w:vAlign w:val="top"/>
          </w:tcPr>
          <w:p w14:paraId="7AC6CE0B">
            <w:pPr>
              <w:spacing w:before="264" w:line="239" w:lineRule="auto"/>
              <w:ind w:left="116" w:right="171" w:firstLine="37"/>
              <w:rPr>
                <w:rFonts w:hint="eastAsia" w:ascii="仿宋" w:hAnsi="仿宋" w:eastAsia="仿宋" w:cs="仿宋"/>
                <w:sz w:val="24"/>
                <w:szCs w:val="24"/>
              </w:rPr>
            </w:pPr>
            <w:r>
              <w:rPr>
                <w:rFonts w:hint="eastAsia" w:ascii="仿宋" w:hAnsi="仿宋" w:eastAsia="仿宋" w:cs="仿宋"/>
                <w:spacing w:val="-16"/>
                <w:sz w:val="24"/>
                <w:szCs w:val="24"/>
              </w:rPr>
              <w:t>雨季污水量预</w:t>
            </w:r>
            <w:r>
              <w:rPr>
                <w:rFonts w:hint="eastAsia" w:ascii="仿宋" w:hAnsi="仿宋" w:eastAsia="仿宋" w:cs="仿宋"/>
                <w:spacing w:val="-7"/>
                <w:sz w:val="24"/>
                <w:szCs w:val="24"/>
              </w:rPr>
              <w:t>测（万</w:t>
            </w:r>
            <w:r>
              <w:rPr>
                <w:rFonts w:hint="eastAsia" w:ascii="仿宋" w:hAnsi="仿宋" w:eastAsia="仿宋" w:cs="仿宋"/>
                <w:spacing w:val="-37"/>
                <w:sz w:val="24"/>
                <w:szCs w:val="24"/>
              </w:rPr>
              <w:t xml:space="preserve"> </w:t>
            </w:r>
            <w:r>
              <w:rPr>
                <w:rFonts w:hint="eastAsia" w:ascii="仿宋" w:hAnsi="仿宋" w:eastAsia="仿宋" w:cs="仿宋"/>
                <w:spacing w:val="-7"/>
                <w:sz w:val="24"/>
                <w:szCs w:val="24"/>
              </w:rPr>
              <w:t>m</w:t>
            </w:r>
            <w:r>
              <w:rPr>
                <w:rFonts w:hint="eastAsia" w:ascii="仿宋" w:hAnsi="仿宋" w:eastAsia="仿宋" w:cs="仿宋"/>
                <w:spacing w:val="-7"/>
                <w:position w:val="8"/>
                <w:sz w:val="24"/>
                <w:szCs w:val="24"/>
              </w:rPr>
              <w:t>3</w:t>
            </w:r>
            <w:r>
              <w:rPr>
                <w:rFonts w:hint="eastAsia" w:ascii="仿宋" w:hAnsi="仿宋" w:eastAsia="仿宋" w:cs="仿宋"/>
                <w:spacing w:val="-7"/>
                <w:sz w:val="24"/>
                <w:szCs w:val="24"/>
              </w:rPr>
              <w:t>/d）</w:t>
            </w:r>
          </w:p>
        </w:tc>
        <w:tc>
          <w:tcPr>
            <w:tcW w:w="1720" w:type="dxa"/>
            <w:tcBorders>
              <w:top w:val="single" w:color="000000" w:sz="10" w:space="0"/>
              <w:right w:val="single" w:color="000000" w:sz="10" w:space="0"/>
            </w:tcBorders>
            <w:vAlign w:val="top"/>
          </w:tcPr>
          <w:p w14:paraId="05BED035">
            <w:pPr>
              <w:spacing w:before="150" w:line="219" w:lineRule="auto"/>
              <w:ind w:left="256"/>
              <w:rPr>
                <w:rFonts w:hint="eastAsia" w:ascii="仿宋" w:hAnsi="仿宋" w:eastAsia="仿宋" w:cs="仿宋"/>
                <w:sz w:val="24"/>
                <w:szCs w:val="24"/>
              </w:rPr>
            </w:pPr>
            <w:r>
              <w:rPr>
                <w:rFonts w:hint="eastAsia" w:ascii="仿宋" w:hAnsi="仿宋" w:eastAsia="仿宋" w:cs="仿宋"/>
                <w:spacing w:val="-2"/>
                <w:sz w:val="24"/>
                <w:szCs w:val="24"/>
              </w:rPr>
              <w:t>初期雨水量（万</w:t>
            </w:r>
          </w:p>
          <w:p w14:paraId="7693D899">
            <w:pPr>
              <w:spacing w:before="253" w:line="232" w:lineRule="auto"/>
              <w:ind w:left="609"/>
              <w:rPr>
                <w:rFonts w:hint="eastAsia" w:ascii="仿宋" w:hAnsi="仿宋" w:eastAsia="仿宋" w:cs="仿宋"/>
                <w:sz w:val="24"/>
                <w:szCs w:val="24"/>
              </w:rPr>
            </w:pPr>
            <w:r>
              <w:rPr>
                <w:rFonts w:hint="eastAsia" w:ascii="仿宋" w:hAnsi="仿宋" w:eastAsia="仿宋" w:cs="仿宋"/>
                <w:sz w:val="24"/>
                <w:szCs w:val="24"/>
              </w:rPr>
              <w:t>m</w:t>
            </w:r>
            <w:r>
              <w:rPr>
                <w:rFonts w:hint="eastAsia" w:ascii="仿宋" w:hAnsi="仿宋" w:eastAsia="仿宋" w:cs="仿宋"/>
                <w:position w:val="8"/>
                <w:sz w:val="24"/>
                <w:szCs w:val="24"/>
              </w:rPr>
              <w:t>3</w:t>
            </w:r>
            <w:r>
              <w:rPr>
                <w:rFonts w:hint="eastAsia" w:ascii="仿宋" w:hAnsi="仿宋" w:eastAsia="仿宋" w:cs="仿宋"/>
                <w:sz w:val="24"/>
                <w:szCs w:val="24"/>
              </w:rPr>
              <w:t>/d）</w:t>
            </w:r>
          </w:p>
        </w:tc>
      </w:tr>
      <w:tr w14:paraId="520397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6" w:hRule="atLeast"/>
        </w:trPr>
        <w:tc>
          <w:tcPr>
            <w:tcW w:w="774" w:type="dxa"/>
            <w:tcBorders>
              <w:left w:val="single" w:color="000000" w:sz="10" w:space="0"/>
            </w:tcBorders>
            <w:vAlign w:val="top"/>
          </w:tcPr>
          <w:p w14:paraId="353D19A9">
            <w:pPr>
              <w:spacing w:before="200" w:line="188" w:lineRule="auto"/>
              <w:ind w:left="347"/>
              <w:rPr>
                <w:rFonts w:hint="eastAsia" w:ascii="仿宋" w:hAnsi="仿宋" w:eastAsia="仿宋" w:cs="仿宋"/>
                <w:sz w:val="24"/>
                <w:szCs w:val="24"/>
              </w:rPr>
            </w:pPr>
            <w:r>
              <w:rPr>
                <w:rFonts w:hint="eastAsia" w:ascii="仿宋" w:hAnsi="仿宋" w:eastAsia="仿宋" w:cs="仿宋"/>
                <w:sz w:val="24"/>
                <w:szCs w:val="24"/>
              </w:rPr>
              <w:t>1</w:t>
            </w:r>
          </w:p>
        </w:tc>
        <w:tc>
          <w:tcPr>
            <w:tcW w:w="1456" w:type="dxa"/>
            <w:vAlign w:val="top"/>
          </w:tcPr>
          <w:p w14:paraId="7F637700">
            <w:pPr>
              <w:spacing w:before="169" w:line="398" w:lineRule="auto"/>
              <w:ind w:left="477" w:right="319" w:hanging="306"/>
              <w:rPr>
                <w:rFonts w:hint="eastAsia" w:ascii="仿宋" w:hAnsi="仿宋" w:eastAsia="仿宋" w:cs="仿宋"/>
                <w:sz w:val="24"/>
                <w:szCs w:val="24"/>
              </w:rPr>
            </w:pPr>
            <w:r>
              <w:rPr>
                <w:rFonts w:hint="eastAsia" w:ascii="仿宋" w:hAnsi="仿宋" w:eastAsia="仿宋" w:cs="仿宋"/>
                <w:spacing w:val="-1"/>
                <w:sz w:val="24"/>
                <w:szCs w:val="24"/>
              </w:rPr>
              <w:t>Ⅰ区湖滨污水</w:t>
            </w:r>
            <w:r>
              <w:rPr>
                <w:rFonts w:hint="eastAsia" w:ascii="仿宋" w:hAnsi="仿宋" w:eastAsia="仿宋" w:cs="仿宋"/>
                <w:spacing w:val="-6"/>
                <w:sz w:val="24"/>
                <w:szCs w:val="24"/>
              </w:rPr>
              <w:t>系统</w:t>
            </w:r>
          </w:p>
        </w:tc>
        <w:tc>
          <w:tcPr>
            <w:tcW w:w="1297" w:type="dxa"/>
            <w:vAlign w:val="top"/>
          </w:tcPr>
          <w:p w14:paraId="39936788">
            <w:pPr>
              <w:spacing w:before="200" w:line="188" w:lineRule="auto"/>
              <w:ind w:left="279"/>
              <w:rPr>
                <w:rFonts w:hint="eastAsia" w:ascii="仿宋" w:hAnsi="仿宋" w:eastAsia="仿宋" w:cs="仿宋"/>
                <w:sz w:val="24"/>
                <w:szCs w:val="24"/>
              </w:rPr>
            </w:pPr>
            <w:r>
              <w:rPr>
                <w:rFonts w:hint="eastAsia" w:ascii="仿宋" w:hAnsi="仿宋" w:eastAsia="仿宋" w:cs="仿宋"/>
                <w:spacing w:val="-2"/>
                <w:sz w:val="24"/>
                <w:szCs w:val="24"/>
              </w:rPr>
              <w:t>7710.</w:t>
            </w:r>
            <w:r>
              <w:rPr>
                <w:rFonts w:hint="eastAsia" w:ascii="仿宋" w:hAnsi="仿宋" w:eastAsia="仿宋" w:cs="仿宋"/>
                <w:spacing w:val="-20"/>
                <w:sz w:val="24"/>
                <w:szCs w:val="24"/>
              </w:rPr>
              <w:t xml:space="preserve"> </w:t>
            </w:r>
            <w:r>
              <w:rPr>
                <w:rFonts w:hint="eastAsia" w:ascii="仿宋" w:hAnsi="仿宋" w:eastAsia="仿宋" w:cs="仿宋"/>
                <w:spacing w:val="-2"/>
                <w:sz w:val="24"/>
                <w:szCs w:val="24"/>
              </w:rPr>
              <w:t>1</w:t>
            </w:r>
          </w:p>
        </w:tc>
        <w:tc>
          <w:tcPr>
            <w:tcW w:w="1436" w:type="dxa"/>
            <w:vAlign w:val="top"/>
          </w:tcPr>
          <w:p w14:paraId="18D301E3">
            <w:pPr>
              <w:spacing w:before="200" w:line="188" w:lineRule="auto"/>
              <w:ind w:left="410"/>
              <w:rPr>
                <w:rFonts w:hint="eastAsia" w:ascii="仿宋" w:hAnsi="仿宋" w:eastAsia="仿宋" w:cs="仿宋"/>
                <w:sz w:val="24"/>
                <w:szCs w:val="24"/>
              </w:rPr>
            </w:pPr>
            <w:r>
              <w:rPr>
                <w:rFonts w:hint="eastAsia" w:ascii="仿宋" w:hAnsi="仿宋" w:eastAsia="仿宋" w:cs="仿宋"/>
                <w:spacing w:val="-2"/>
                <w:sz w:val="24"/>
                <w:szCs w:val="24"/>
              </w:rPr>
              <w:t>54.79</w:t>
            </w:r>
          </w:p>
        </w:tc>
        <w:tc>
          <w:tcPr>
            <w:tcW w:w="1845" w:type="dxa"/>
            <w:vAlign w:val="top"/>
          </w:tcPr>
          <w:p w14:paraId="536933AB">
            <w:pPr>
              <w:spacing w:before="200" w:line="188" w:lineRule="auto"/>
              <w:ind w:left="428"/>
              <w:rPr>
                <w:rFonts w:hint="eastAsia" w:ascii="仿宋" w:hAnsi="仿宋" w:eastAsia="仿宋" w:cs="仿宋"/>
                <w:sz w:val="24"/>
                <w:szCs w:val="24"/>
              </w:rPr>
            </w:pPr>
            <w:r>
              <w:rPr>
                <w:rFonts w:hint="eastAsia" w:ascii="仿宋" w:hAnsi="仿宋" w:eastAsia="仿宋" w:cs="仿宋"/>
                <w:spacing w:val="-1"/>
                <w:sz w:val="24"/>
                <w:szCs w:val="24"/>
              </w:rPr>
              <w:t>23.29</w:t>
            </w:r>
          </w:p>
        </w:tc>
        <w:tc>
          <w:tcPr>
            <w:tcW w:w="1337" w:type="dxa"/>
            <w:vAlign w:val="top"/>
          </w:tcPr>
          <w:p w14:paraId="7F29D592">
            <w:pPr>
              <w:spacing w:before="200" w:line="188" w:lineRule="auto"/>
              <w:ind w:left="664"/>
              <w:rPr>
                <w:rFonts w:hint="eastAsia" w:ascii="仿宋" w:hAnsi="仿宋" w:eastAsia="仿宋" w:cs="仿宋"/>
                <w:sz w:val="24"/>
                <w:szCs w:val="24"/>
              </w:rPr>
            </w:pPr>
            <w:r>
              <w:rPr>
                <w:rFonts w:hint="eastAsia" w:ascii="仿宋" w:hAnsi="仿宋" w:eastAsia="仿宋" w:cs="仿宋"/>
                <w:spacing w:val="-1"/>
                <w:sz w:val="24"/>
                <w:szCs w:val="24"/>
              </w:rPr>
              <w:t>28.34</w:t>
            </w:r>
          </w:p>
        </w:tc>
        <w:tc>
          <w:tcPr>
            <w:tcW w:w="1720" w:type="dxa"/>
            <w:tcBorders>
              <w:right w:val="single" w:color="000000" w:sz="10" w:space="0"/>
            </w:tcBorders>
            <w:vAlign w:val="top"/>
          </w:tcPr>
          <w:p w14:paraId="0291AF2D">
            <w:pPr>
              <w:spacing w:before="200" w:line="188" w:lineRule="auto"/>
              <w:ind w:left="467"/>
              <w:rPr>
                <w:rFonts w:hint="eastAsia" w:ascii="仿宋" w:hAnsi="仿宋" w:eastAsia="仿宋" w:cs="仿宋"/>
                <w:sz w:val="24"/>
                <w:szCs w:val="24"/>
              </w:rPr>
            </w:pPr>
            <w:r>
              <w:rPr>
                <w:rFonts w:hint="eastAsia" w:ascii="仿宋" w:hAnsi="仿宋" w:eastAsia="仿宋" w:cs="仿宋"/>
                <w:spacing w:val="-4"/>
                <w:sz w:val="24"/>
                <w:szCs w:val="24"/>
              </w:rPr>
              <w:t>12.85</w:t>
            </w:r>
          </w:p>
        </w:tc>
      </w:tr>
      <w:tr w14:paraId="10A7AA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8" w:hRule="atLeast"/>
        </w:trPr>
        <w:tc>
          <w:tcPr>
            <w:tcW w:w="774" w:type="dxa"/>
            <w:tcBorders>
              <w:left w:val="single" w:color="000000" w:sz="10" w:space="0"/>
            </w:tcBorders>
            <w:vAlign w:val="top"/>
          </w:tcPr>
          <w:p w14:paraId="0CE1C234">
            <w:pPr>
              <w:spacing w:before="208" w:line="188" w:lineRule="auto"/>
              <w:ind w:left="329"/>
              <w:rPr>
                <w:rFonts w:hint="eastAsia" w:ascii="仿宋" w:hAnsi="仿宋" w:eastAsia="仿宋" w:cs="仿宋"/>
                <w:sz w:val="24"/>
                <w:szCs w:val="24"/>
              </w:rPr>
            </w:pPr>
            <w:r>
              <w:rPr>
                <w:rFonts w:hint="eastAsia" w:ascii="仿宋" w:hAnsi="仿宋" w:eastAsia="仿宋" w:cs="仿宋"/>
                <w:sz w:val="24"/>
                <w:szCs w:val="24"/>
              </w:rPr>
              <w:t>2</w:t>
            </w:r>
          </w:p>
        </w:tc>
        <w:tc>
          <w:tcPr>
            <w:tcW w:w="1456" w:type="dxa"/>
            <w:vAlign w:val="top"/>
          </w:tcPr>
          <w:p w14:paraId="56C7C439">
            <w:pPr>
              <w:spacing w:before="177" w:line="395" w:lineRule="auto"/>
              <w:ind w:left="476" w:right="290" w:hanging="334"/>
              <w:rPr>
                <w:rFonts w:hint="eastAsia" w:ascii="仿宋" w:hAnsi="仿宋" w:eastAsia="仿宋" w:cs="仿宋"/>
                <w:sz w:val="24"/>
                <w:szCs w:val="24"/>
              </w:rPr>
            </w:pPr>
            <w:r>
              <w:rPr>
                <w:rFonts w:hint="eastAsia" w:ascii="仿宋" w:hAnsi="仿宋" w:eastAsia="仿宋" w:cs="仿宋"/>
                <w:spacing w:val="-1"/>
                <w:sz w:val="24"/>
                <w:szCs w:val="24"/>
              </w:rPr>
              <w:t>Ⅱ区马壕污水</w:t>
            </w:r>
            <w:r>
              <w:rPr>
                <w:rFonts w:hint="eastAsia" w:ascii="仿宋" w:hAnsi="仿宋" w:eastAsia="仿宋" w:cs="仿宋"/>
                <w:spacing w:val="-6"/>
                <w:sz w:val="24"/>
                <w:szCs w:val="24"/>
              </w:rPr>
              <w:t>系统</w:t>
            </w:r>
          </w:p>
        </w:tc>
        <w:tc>
          <w:tcPr>
            <w:tcW w:w="1297" w:type="dxa"/>
            <w:vAlign w:val="top"/>
          </w:tcPr>
          <w:p w14:paraId="50241CD1">
            <w:pPr>
              <w:spacing w:before="208" w:line="188" w:lineRule="auto"/>
              <w:ind w:left="325"/>
              <w:rPr>
                <w:rFonts w:hint="eastAsia" w:ascii="仿宋" w:hAnsi="仿宋" w:eastAsia="仿宋" w:cs="仿宋"/>
                <w:sz w:val="24"/>
                <w:szCs w:val="24"/>
              </w:rPr>
            </w:pPr>
            <w:r>
              <w:rPr>
                <w:rFonts w:hint="eastAsia" w:ascii="仿宋" w:hAnsi="仿宋" w:eastAsia="仿宋" w:cs="仿宋"/>
                <w:spacing w:val="-2"/>
                <w:sz w:val="24"/>
                <w:szCs w:val="24"/>
              </w:rPr>
              <w:t>958.8</w:t>
            </w:r>
          </w:p>
        </w:tc>
        <w:tc>
          <w:tcPr>
            <w:tcW w:w="1436" w:type="dxa"/>
            <w:vAlign w:val="top"/>
          </w:tcPr>
          <w:p w14:paraId="17241E87">
            <w:pPr>
              <w:spacing w:before="208" w:line="188" w:lineRule="auto"/>
              <w:ind w:left="427"/>
              <w:rPr>
                <w:rFonts w:hint="eastAsia" w:ascii="仿宋" w:hAnsi="仿宋" w:eastAsia="仿宋" w:cs="仿宋"/>
                <w:sz w:val="24"/>
                <w:szCs w:val="24"/>
              </w:rPr>
            </w:pPr>
            <w:r>
              <w:rPr>
                <w:rFonts w:hint="eastAsia" w:ascii="仿宋" w:hAnsi="仿宋" w:eastAsia="仿宋" w:cs="仿宋"/>
                <w:spacing w:val="-6"/>
                <w:sz w:val="24"/>
                <w:szCs w:val="24"/>
              </w:rPr>
              <w:t>11.51</w:t>
            </w:r>
          </w:p>
        </w:tc>
        <w:tc>
          <w:tcPr>
            <w:tcW w:w="1845" w:type="dxa"/>
            <w:vAlign w:val="top"/>
          </w:tcPr>
          <w:p w14:paraId="08C8B222">
            <w:pPr>
              <w:spacing w:before="208" w:line="188" w:lineRule="auto"/>
              <w:ind w:left="473"/>
              <w:rPr>
                <w:rFonts w:hint="eastAsia" w:ascii="仿宋" w:hAnsi="仿宋" w:eastAsia="仿宋" w:cs="仿宋"/>
                <w:sz w:val="24"/>
                <w:szCs w:val="24"/>
              </w:rPr>
            </w:pPr>
            <w:r>
              <w:rPr>
                <w:rFonts w:hint="eastAsia" w:ascii="仿宋" w:hAnsi="仿宋" w:eastAsia="仿宋" w:cs="仿宋"/>
                <w:spacing w:val="-1"/>
                <w:sz w:val="24"/>
                <w:szCs w:val="24"/>
              </w:rPr>
              <w:t>4.89</w:t>
            </w:r>
          </w:p>
        </w:tc>
        <w:tc>
          <w:tcPr>
            <w:tcW w:w="1337" w:type="dxa"/>
            <w:vAlign w:val="top"/>
          </w:tcPr>
          <w:p w14:paraId="5AD48AA1">
            <w:pPr>
              <w:spacing w:before="208" w:line="188" w:lineRule="auto"/>
              <w:ind w:left="756"/>
              <w:rPr>
                <w:rFonts w:hint="eastAsia" w:ascii="仿宋" w:hAnsi="仿宋" w:eastAsia="仿宋" w:cs="仿宋"/>
                <w:sz w:val="24"/>
                <w:szCs w:val="24"/>
              </w:rPr>
            </w:pPr>
            <w:r>
              <w:rPr>
                <w:rFonts w:hint="eastAsia" w:ascii="仿宋" w:hAnsi="仿宋" w:eastAsia="仿宋" w:cs="仿宋"/>
                <w:spacing w:val="-3"/>
                <w:sz w:val="24"/>
                <w:szCs w:val="24"/>
              </w:rPr>
              <w:t>9.8</w:t>
            </w:r>
          </w:p>
        </w:tc>
        <w:tc>
          <w:tcPr>
            <w:tcW w:w="1720" w:type="dxa"/>
            <w:tcBorders>
              <w:right w:val="single" w:color="000000" w:sz="10" w:space="0"/>
            </w:tcBorders>
            <w:vAlign w:val="top"/>
          </w:tcPr>
          <w:p w14:paraId="6379F244">
            <w:pPr>
              <w:spacing w:before="208" w:line="188" w:lineRule="auto"/>
              <w:ind w:left="513"/>
              <w:rPr>
                <w:rFonts w:hint="eastAsia" w:ascii="仿宋" w:hAnsi="仿宋" w:eastAsia="仿宋" w:cs="仿宋"/>
                <w:sz w:val="24"/>
                <w:szCs w:val="24"/>
              </w:rPr>
            </w:pPr>
            <w:r>
              <w:rPr>
                <w:rFonts w:hint="eastAsia" w:ascii="仿宋" w:hAnsi="仿宋" w:eastAsia="仿宋" w:cs="仿宋"/>
                <w:spacing w:val="-5"/>
                <w:sz w:val="24"/>
                <w:szCs w:val="24"/>
              </w:rPr>
              <w:t>1.58</w:t>
            </w:r>
          </w:p>
        </w:tc>
      </w:tr>
      <w:tr w14:paraId="6F1C15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1" w:hRule="atLeast"/>
        </w:trPr>
        <w:tc>
          <w:tcPr>
            <w:tcW w:w="774" w:type="dxa"/>
            <w:tcBorders>
              <w:left w:val="single" w:color="000000" w:sz="10" w:space="0"/>
            </w:tcBorders>
            <w:vAlign w:val="top"/>
          </w:tcPr>
          <w:p w14:paraId="37D69ACF">
            <w:pPr>
              <w:spacing w:before="191" w:line="188" w:lineRule="auto"/>
              <w:ind w:left="333"/>
              <w:rPr>
                <w:rFonts w:hint="eastAsia" w:ascii="仿宋" w:hAnsi="仿宋" w:eastAsia="仿宋" w:cs="仿宋"/>
                <w:sz w:val="24"/>
                <w:szCs w:val="24"/>
              </w:rPr>
            </w:pPr>
            <w:r>
              <w:rPr>
                <w:rFonts w:hint="eastAsia" w:ascii="仿宋" w:hAnsi="仿宋" w:eastAsia="仿宋" w:cs="仿宋"/>
                <w:sz w:val="24"/>
                <w:szCs w:val="24"/>
              </w:rPr>
              <w:t>3</w:t>
            </w:r>
          </w:p>
        </w:tc>
        <w:tc>
          <w:tcPr>
            <w:tcW w:w="1456" w:type="dxa"/>
            <w:vAlign w:val="top"/>
          </w:tcPr>
          <w:p w14:paraId="026E0766">
            <w:pPr>
              <w:spacing w:before="47" w:line="238" w:lineRule="auto"/>
              <w:ind w:left="294" w:right="264" w:hanging="181"/>
              <w:rPr>
                <w:rFonts w:hint="eastAsia" w:ascii="仿宋" w:hAnsi="仿宋" w:eastAsia="仿宋" w:cs="仿宋"/>
                <w:sz w:val="24"/>
                <w:szCs w:val="24"/>
              </w:rPr>
            </w:pPr>
            <w:r>
              <w:rPr>
                <w:rFonts w:hint="eastAsia" w:ascii="仿宋" w:hAnsi="仿宋" w:eastAsia="仿宋" w:cs="仿宋"/>
                <w:spacing w:val="-1"/>
                <w:sz w:val="24"/>
                <w:szCs w:val="24"/>
              </w:rPr>
              <w:t>Ⅲ区临港新区</w:t>
            </w:r>
            <w:r>
              <w:rPr>
                <w:rFonts w:hint="eastAsia" w:ascii="仿宋" w:hAnsi="仿宋" w:eastAsia="仿宋" w:cs="仿宋"/>
                <w:spacing w:val="-3"/>
                <w:sz w:val="24"/>
                <w:szCs w:val="24"/>
              </w:rPr>
              <w:t>污水系统</w:t>
            </w:r>
          </w:p>
        </w:tc>
        <w:tc>
          <w:tcPr>
            <w:tcW w:w="1297" w:type="dxa"/>
            <w:vAlign w:val="top"/>
          </w:tcPr>
          <w:p w14:paraId="4771E6C4">
            <w:pPr>
              <w:spacing w:before="191" w:line="188" w:lineRule="auto"/>
              <w:ind w:left="202"/>
              <w:rPr>
                <w:rFonts w:hint="eastAsia" w:ascii="仿宋" w:hAnsi="仿宋" w:eastAsia="仿宋" w:cs="仿宋"/>
                <w:sz w:val="24"/>
                <w:szCs w:val="24"/>
              </w:rPr>
            </w:pPr>
            <w:r>
              <w:rPr>
                <w:rFonts w:hint="eastAsia" w:ascii="仿宋" w:hAnsi="仿宋" w:eastAsia="仿宋" w:cs="仿宋"/>
                <w:spacing w:val="-3"/>
                <w:sz w:val="24"/>
                <w:szCs w:val="24"/>
              </w:rPr>
              <w:t>16062.90</w:t>
            </w:r>
          </w:p>
        </w:tc>
        <w:tc>
          <w:tcPr>
            <w:tcW w:w="1436" w:type="dxa"/>
            <w:vAlign w:val="top"/>
          </w:tcPr>
          <w:p w14:paraId="11C72FF3">
            <w:pPr>
              <w:spacing w:before="191" w:line="188" w:lineRule="auto"/>
              <w:ind w:left="381"/>
              <w:rPr>
                <w:rFonts w:hint="eastAsia" w:ascii="仿宋" w:hAnsi="仿宋" w:eastAsia="仿宋" w:cs="仿宋"/>
                <w:sz w:val="24"/>
                <w:szCs w:val="24"/>
              </w:rPr>
            </w:pPr>
            <w:r>
              <w:rPr>
                <w:rFonts w:hint="eastAsia" w:ascii="仿宋" w:hAnsi="仿宋" w:eastAsia="仿宋" w:cs="仿宋"/>
                <w:spacing w:val="-4"/>
                <w:sz w:val="24"/>
                <w:szCs w:val="24"/>
              </w:rPr>
              <w:t>121.65</w:t>
            </w:r>
          </w:p>
        </w:tc>
        <w:tc>
          <w:tcPr>
            <w:tcW w:w="1845" w:type="dxa"/>
            <w:vAlign w:val="top"/>
          </w:tcPr>
          <w:p w14:paraId="0687DEFC">
            <w:pPr>
              <w:spacing w:before="191" w:line="188" w:lineRule="auto"/>
              <w:ind w:left="479"/>
              <w:rPr>
                <w:rFonts w:hint="eastAsia" w:ascii="仿宋" w:hAnsi="仿宋" w:eastAsia="仿宋" w:cs="仿宋"/>
                <w:sz w:val="24"/>
                <w:szCs w:val="24"/>
              </w:rPr>
            </w:pPr>
            <w:r>
              <w:rPr>
                <w:rFonts w:hint="eastAsia" w:ascii="仿宋" w:hAnsi="仿宋" w:eastAsia="仿宋" w:cs="仿宋"/>
                <w:spacing w:val="-3"/>
                <w:sz w:val="24"/>
                <w:szCs w:val="24"/>
              </w:rPr>
              <w:t>51.7</w:t>
            </w:r>
          </w:p>
        </w:tc>
        <w:tc>
          <w:tcPr>
            <w:tcW w:w="1337" w:type="dxa"/>
            <w:vAlign w:val="top"/>
          </w:tcPr>
          <w:p w14:paraId="592C4073">
            <w:pPr>
              <w:spacing w:before="191" w:line="188" w:lineRule="auto"/>
              <w:ind w:left="434"/>
              <w:rPr>
                <w:rFonts w:hint="eastAsia" w:ascii="仿宋" w:hAnsi="仿宋" w:eastAsia="仿宋" w:cs="仿宋"/>
                <w:sz w:val="24"/>
                <w:szCs w:val="24"/>
              </w:rPr>
            </w:pPr>
            <w:r>
              <w:rPr>
                <w:rFonts w:hint="eastAsia" w:ascii="仿宋" w:hAnsi="仿宋" w:eastAsia="仿宋" w:cs="仿宋"/>
                <w:spacing w:val="-2"/>
                <w:sz w:val="24"/>
                <w:szCs w:val="24"/>
              </w:rPr>
              <w:t>57.22</w:t>
            </w:r>
          </w:p>
        </w:tc>
        <w:tc>
          <w:tcPr>
            <w:tcW w:w="1720" w:type="dxa"/>
            <w:tcBorders>
              <w:right w:val="single" w:color="000000" w:sz="10" w:space="0"/>
            </w:tcBorders>
            <w:vAlign w:val="top"/>
          </w:tcPr>
          <w:p w14:paraId="556EDB60">
            <w:pPr>
              <w:spacing w:before="191" w:line="188" w:lineRule="auto"/>
              <w:ind w:left="467"/>
              <w:rPr>
                <w:rFonts w:hint="eastAsia" w:ascii="仿宋" w:hAnsi="仿宋" w:eastAsia="仿宋" w:cs="仿宋"/>
                <w:sz w:val="24"/>
                <w:szCs w:val="24"/>
              </w:rPr>
            </w:pPr>
            <w:r>
              <w:rPr>
                <w:rFonts w:hint="eastAsia" w:ascii="仿宋" w:hAnsi="仿宋" w:eastAsia="仿宋" w:cs="仿宋"/>
                <w:spacing w:val="-9"/>
                <w:sz w:val="24"/>
                <w:szCs w:val="24"/>
              </w:rPr>
              <w:t>18.</w:t>
            </w:r>
            <w:r>
              <w:rPr>
                <w:rFonts w:hint="eastAsia" w:ascii="仿宋" w:hAnsi="仿宋" w:eastAsia="仿宋" w:cs="仿宋"/>
                <w:spacing w:val="-21"/>
                <w:sz w:val="24"/>
                <w:szCs w:val="24"/>
              </w:rPr>
              <w:t xml:space="preserve"> </w:t>
            </w:r>
            <w:r>
              <w:rPr>
                <w:rFonts w:hint="eastAsia" w:ascii="仿宋" w:hAnsi="仿宋" w:eastAsia="仿宋" w:cs="仿宋"/>
                <w:spacing w:val="-9"/>
                <w:sz w:val="24"/>
                <w:szCs w:val="24"/>
              </w:rPr>
              <w:t>12</w:t>
            </w:r>
          </w:p>
        </w:tc>
      </w:tr>
      <w:tr w14:paraId="0F71BD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4" w:hRule="atLeast"/>
        </w:trPr>
        <w:tc>
          <w:tcPr>
            <w:tcW w:w="774" w:type="dxa"/>
            <w:tcBorders>
              <w:left w:val="single" w:color="000000" w:sz="10" w:space="0"/>
              <w:bottom w:val="single" w:color="000000" w:sz="10" w:space="0"/>
            </w:tcBorders>
            <w:vAlign w:val="top"/>
          </w:tcPr>
          <w:p w14:paraId="6EACD95E">
            <w:pPr>
              <w:spacing w:before="187" w:line="221" w:lineRule="auto"/>
              <w:ind w:left="165"/>
              <w:rPr>
                <w:rFonts w:hint="eastAsia" w:ascii="仿宋" w:hAnsi="仿宋" w:eastAsia="仿宋" w:cs="仿宋"/>
                <w:sz w:val="24"/>
                <w:szCs w:val="24"/>
              </w:rPr>
            </w:pPr>
            <w:r>
              <w:rPr>
                <w:rFonts w:hint="eastAsia" w:ascii="仿宋" w:hAnsi="仿宋" w:eastAsia="仿宋" w:cs="仿宋"/>
                <w:spacing w:val="-4"/>
                <w:sz w:val="24"/>
                <w:szCs w:val="24"/>
              </w:rPr>
              <w:t>合计</w:t>
            </w:r>
          </w:p>
        </w:tc>
        <w:tc>
          <w:tcPr>
            <w:tcW w:w="1456" w:type="dxa"/>
            <w:tcBorders>
              <w:bottom w:val="single" w:color="000000" w:sz="10" w:space="0"/>
            </w:tcBorders>
            <w:vAlign w:val="top"/>
          </w:tcPr>
          <w:p w14:paraId="7B2667C7">
            <w:pPr>
              <w:rPr>
                <w:rFonts w:hint="eastAsia" w:ascii="仿宋" w:hAnsi="仿宋" w:eastAsia="仿宋" w:cs="仿宋"/>
                <w:sz w:val="24"/>
                <w:szCs w:val="24"/>
              </w:rPr>
            </w:pPr>
          </w:p>
        </w:tc>
        <w:tc>
          <w:tcPr>
            <w:tcW w:w="1297" w:type="dxa"/>
            <w:tcBorders>
              <w:bottom w:val="single" w:color="000000" w:sz="10" w:space="0"/>
            </w:tcBorders>
            <w:vAlign w:val="top"/>
          </w:tcPr>
          <w:p w14:paraId="130EAEDF">
            <w:pPr>
              <w:spacing w:before="216" w:line="188" w:lineRule="auto"/>
              <w:ind w:left="185"/>
              <w:rPr>
                <w:rFonts w:hint="eastAsia" w:ascii="仿宋" w:hAnsi="仿宋" w:eastAsia="仿宋" w:cs="仿宋"/>
                <w:sz w:val="24"/>
                <w:szCs w:val="24"/>
              </w:rPr>
            </w:pPr>
            <w:r>
              <w:rPr>
                <w:rFonts w:hint="eastAsia" w:ascii="仿宋" w:hAnsi="仿宋" w:eastAsia="仿宋" w:cs="仿宋"/>
                <w:spacing w:val="-1"/>
                <w:sz w:val="24"/>
                <w:szCs w:val="24"/>
              </w:rPr>
              <w:t>24731.80</w:t>
            </w:r>
          </w:p>
        </w:tc>
        <w:tc>
          <w:tcPr>
            <w:tcW w:w="1436" w:type="dxa"/>
            <w:tcBorders>
              <w:bottom w:val="single" w:color="000000" w:sz="10" w:space="0"/>
            </w:tcBorders>
            <w:vAlign w:val="top"/>
          </w:tcPr>
          <w:p w14:paraId="6BA38E66">
            <w:pPr>
              <w:spacing w:before="216" w:line="188" w:lineRule="auto"/>
              <w:ind w:left="381"/>
              <w:rPr>
                <w:rFonts w:hint="eastAsia" w:ascii="仿宋" w:hAnsi="仿宋" w:eastAsia="仿宋" w:cs="仿宋"/>
                <w:sz w:val="24"/>
                <w:szCs w:val="24"/>
              </w:rPr>
            </w:pPr>
            <w:r>
              <w:rPr>
                <w:rFonts w:hint="eastAsia" w:ascii="仿宋" w:hAnsi="仿宋" w:eastAsia="仿宋" w:cs="仿宋"/>
                <w:spacing w:val="-4"/>
                <w:sz w:val="24"/>
                <w:szCs w:val="24"/>
              </w:rPr>
              <w:t>187.95</w:t>
            </w:r>
          </w:p>
        </w:tc>
        <w:tc>
          <w:tcPr>
            <w:tcW w:w="1845" w:type="dxa"/>
            <w:tcBorders>
              <w:bottom w:val="single" w:color="000000" w:sz="10" w:space="0"/>
            </w:tcBorders>
            <w:vAlign w:val="top"/>
          </w:tcPr>
          <w:p w14:paraId="321D8942">
            <w:pPr>
              <w:spacing w:before="216" w:line="188" w:lineRule="auto"/>
              <w:ind w:left="431"/>
              <w:rPr>
                <w:rFonts w:hint="eastAsia" w:ascii="仿宋" w:hAnsi="仿宋" w:eastAsia="仿宋" w:cs="仿宋"/>
                <w:sz w:val="24"/>
                <w:szCs w:val="24"/>
              </w:rPr>
            </w:pPr>
            <w:r>
              <w:rPr>
                <w:rFonts w:hint="eastAsia" w:ascii="仿宋" w:hAnsi="仿宋" w:eastAsia="仿宋" w:cs="仿宋"/>
                <w:spacing w:val="-1"/>
                <w:sz w:val="24"/>
                <w:szCs w:val="24"/>
              </w:rPr>
              <w:t>79.88</w:t>
            </w:r>
          </w:p>
        </w:tc>
        <w:tc>
          <w:tcPr>
            <w:tcW w:w="1337" w:type="dxa"/>
            <w:tcBorders>
              <w:bottom w:val="single" w:color="000000" w:sz="10" w:space="0"/>
            </w:tcBorders>
            <w:vAlign w:val="top"/>
          </w:tcPr>
          <w:p w14:paraId="23354888">
            <w:pPr>
              <w:spacing w:before="216" w:line="188" w:lineRule="auto"/>
              <w:ind w:left="612"/>
              <w:rPr>
                <w:rFonts w:hint="eastAsia" w:ascii="仿宋" w:hAnsi="仿宋" w:eastAsia="仿宋" w:cs="仿宋"/>
                <w:sz w:val="24"/>
                <w:szCs w:val="24"/>
              </w:rPr>
            </w:pPr>
            <w:r>
              <w:rPr>
                <w:rFonts w:hint="eastAsia" w:ascii="仿宋" w:hAnsi="仿宋" w:eastAsia="仿宋" w:cs="仿宋"/>
                <w:spacing w:val="-2"/>
                <w:sz w:val="24"/>
                <w:szCs w:val="24"/>
              </w:rPr>
              <w:t>95.36</w:t>
            </w:r>
          </w:p>
        </w:tc>
        <w:tc>
          <w:tcPr>
            <w:tcW w:w="1720" w:type="dxa"/>
            <w:tcBorders>
              <w:bottom w:val="single" w:color="000000" w:sz="10" w:space="0"/>
              <w:right w:val="single" w:color="000000" w:sz="10" w:space="0"/>
            </w:tcBorders>
            <w:vAlign w:val="top"/>
          </w:tcPr>
          <w:p w14:paraId="557AA408">
            <w:pPr>
              <w:spacing w:before="216" w:line="188" w:lineRule="auto"/>
              <w:ind w:left="454"/>
              <w:rPr>
                <w:rFonts w:hint="eastAsia" w:ascii="仿宋" w:hAnsi="仿宋" w:eastAsia="仿宋" w:cs="仿宋"/>
                <w:sz w:val="24"/>
                <w:szCs w:val="24"/>
              </w:rPr>
            </w:pPr>
            <w:r>
              <w:rPr>
                <w:rFonts w:hint="eastAsia" w:ascii="仿宋" w:hAnsi="仿宋" w:eastAsia="仿宋" w:cs="仿宋"/>
                <w:spacing w:val="-2"/>
                <w:sz w:val="24"/>
                <w:szCs w:val="24"/>
              </w:rPr>
              <w:t>32.55</w:t>
            </w:r>
          </w:p>
        </w:tc>
      </w:tr>
    </w:tbl>
    <w:p w14:paraId="3A04BF47">
      <w:pPr>
        <w:spacing w:line="69" w:lineRule="exact"/>
      </w:pPr>
    </w:p>
    <w:p w14:paraId="5CE117D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通过对污水处理厂选址、规模、用地、处理程度等方面的分析和确定，对岳阳市中心城区污水处理厂的规划见下表：</w:t>
      </w:r>
    </w:p>
    <w:p w14:paraId="1863470B">
      <w:pPr>
        <w:spacing w:before="47" w:line="8304" w:lineRule="exact"/>
        <w:ind w:firstLine="1688"/>
      </w:pPr>
      <w:r>
        <w:rPr>
          <w:position w:val="-166"/>
        </w:rPr>
        <w:drawing>
          <wp:inline distT="0" distB="0" distL="0" distR="0">
            <wp:extent cx="3829685" cy="5272405"/>
            <wp:effectExtent l="0" t="0" r="18415" b="4445"/>
            <wp:docPr id="10" name="IM 8"/>
            <wp:cNvGraphicFramePr/>
            <a:graphic xmlns:a="http://schemas.openxmlformats.org/drawingml/2006/main">
              <a:graphicData uri="http://schemas.openxmlformats.org/drawingml/2006/picture">
                <pic:pic xmlns:pic="http://schemas.openxmlformats.org/drawingml/2006/picture">
                  <pic:nvPicPr>
                    <pic:cNvPr id="10" name="IM 8"/>
                    <pic:cNvPicPr/>
                  </pic:nvPicPr>
                  <pic:blipFill>
                    <a:blip r:embed="rId11"/>
                    <a:stretch>
                      <a:fillRect/>
                    </a:stretch>
                  </pic:blipFill>
                  <pic:spPr>
                    <a:xfrm>
                      <a:off x="0" y="0"/>
                      <a:ext cx="3829811" cy="5273039"/>
                    </a:xfrm>
                    <a:prstGeom prst="rect">
                      <a:avLst/>
                    </a:prstGeom>
                  </pic:spPr>
                </pic:pic>
              </a:graphicData>
            </a:graphic>
          </wp:inline>
        </w:drawing>
      </w:r>
    </w:p>
    <w:p w14:paraId="0FBAC0AB">
      <w:pPr>
        <w:pStyle w:val="9"/>
        <w:spacing w:before="181" w:line="219" w:lineRule="auto"/>
        <w:ind w:left="3998"/>
        <w:rPr>
          <w:rFonts w:hint="eastAsia" w:ascii="仿宋" w:hAnsi="仿宋" w:eastAsia="仿宋" w:cs="仿宋"/>
          <w:sz w:val="28"/>
          <w:szCs w:val="28"/>
        </w:rPr>
      </w:pPr>
      <w:r>
        <w:rPr>
          <w:rFonts w:hint="eastAsia" w:ascii="仿宋" w:hAnsi="仿宋" w:eastAsia="仿宋" w:cs="仿宋"/>
          <w:spacing w:val="-2"/>
          <w:sz w:val="28"/>
          <w:szCs w:val="28"/>
        </w:rPr>
        <w:t>规划污水分区</w:t>
      </w:r>
    </w:p>
    <w:p w14:paraId="397AE240">
      <w:pPr>
        <w:pStyle w:val="9"/>
        <w:spacing w:before="182" w:line="218" w:lineRule="auto"/>
        <w:ind w:left="3419"/>
        <w:rPr>
          <w:rFonts w:hint="eastAsia" w:ascii="仿宋" w:hAnsi="仿宋" w:eastAsia="仿宋" w:cs="仿宋"/>
          <w:sz w:val="28"/>
          <w:szCs w:val="28"/>
        </w:rPr>
      </w:pPr>
      <w:r>
        <w:rPr>
          <w:rFonts w:hint="eastAsia" w:ascii="仿宋" w:hAnsi="仿宋" w:eastAsia="仿宋" w:cs="仿宋"/>
          <w:spacing w:val="-3"/>
          <w:sz w:val="28"/>
          <w:szCs w:val="28"/>
        </w:rPr>
        <w:t>中心城区污水处理厂总体布局</w:t>
      </w:r>
    </w:p>
    <w:p w14:paraId="12035D94">
      <w:pPr>
        <w:spacing w:line="71" w:lineRule="exact"/>
      </w:pPr>
    </w:p>
    <w:tbl>
      <w:tblPr>
        <w:tblStyle w:val="51"/>
        <w:tblW w:w="9593" w:type="dxa"/>
        <w:tblInd w:w="1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83"/>
        <w:gridCol w:w="2066"/>
        <w:gridCol w:w="1104"/>
        <w:gridCol w:w="1094"/>
        <w:gridCol w:w="1560"/>
        <w:gridCol w:w="1536"/>
        <w:gridCol w:w="1550"/>
      </w:tblGrid>
      <w:tr w14:paraId="2547E1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06" w:hRule="atLeast"/>
        </w:trPr>
        <w:tc>
          <w:tcPr>
            <w:tcW w:w="683" w:type="dxa"/>
            <w:tcBorders>
              <w:top w:val="single" w:color="000000" w:sz="10" w:space="0"/>
              <w:left w:val="single" w:color="000000" w:sz="10" w:space="0"/>
            </w:tcBorders>
            <w:textDirection w:val="tbRlV"/>
            <w:vAlign w:val="top"/>
          </w:tcPr>
          <w:p w14:paraId="4C12C2FB">
            <w:pPr>
              <w:spacing w:before="221" w:line="210" w:lineRule="auto"/>
              <w:ind w:left="120"/>
              <w:rPr>
                <w:rFonts w:hint="eastAsia" w:ascii="仿宋" w:hAnsi="仿宋" w:eastAsia="仿宋" w:cs="仿宋"/>
                <w:sz w:val="24"/>
                <w:szCs w:val="24"/>
              </w:rPr>
            </w:pPr>
            <w:r>
              <w:rPr>
                <w:rFonts w:hint="eastAsia" w:ascii="仿宋" w:hAnsi="仿宋" w:eastAsia="仿宋" w:cs="仿宋"/>
                <w:spacing w:val="-1"/>
                <w:sz w:val="24"/>
                <w:szCs w:val="24"/>
              </w:rPr>
              <w:t>序</w:t>
            </w:r>
            <w:r>
              <w:rPr>
                <w:rFonts w:hint="eastAsia" w:ascii="仿宋" w:hAnsi="仿宋" w:eastAsia="仿宋" w:cs="仿宋"/>
                <w:spacing w:val="108"/>
                <w:sz w:val="24"/>
                <w:szCs w:val="24"/>
              </w:rPr>
              <w:t xml:space="preserve"> </w:t>
            </w:r>
            <w:r>
              <w:rPr>
                <w:rFonts w:hint="eastAsia" w:ascii="仿宋" w:hAnsi="仿宋" w:eastAsia="仿宋" w:cs="仿宋"/>
                <w:spacing w:val="-1"/>
                <w:sz w:val="24"/>
                <w:szCs w:val="24"/>
              </w:rPr>
              <w:t>号</w:t>
            </w:r>
          </w:p>
        </w:tc>
        <w:tc>
          <w:tcPr>
            <w:tcW w:w="2066" w:type="dxa"/>
            <w:tcBorders>
              <w:top w:val="single" w:color="000000" w:sz="10" w:space="0"/>
            </w:tcBorders>
            <w:vAlign w:val="top"/>
          </w:tcPr>
          <w:p w14:paraId="702DAD95">
            <w:pPr>
              <w:spacing w:before="120" w:line="219" w:lineRule="auto"/>
              <w:ind w:left="190"/>
              <w:rPr>
                <w:rFonts w:hint="eastAsia" w:ascii="仿宋" w:hAnsi="仿宋" w:eastAsia="仿宋" w:cs="仿宋"/>
                <w:sz w:val="24"/>
                <w:szCs w:val="24"/>
              </w:rPr>
            </w:pPr>
            <w:r>
              <w:rPr>
                <w:rFonts w:hint="eastAsia" w:ascii="仿宋" w:hAnsi="仿宋" w:eastAsia="仿宋" w:cs="仿宋"/>
                <w:spacing w:val="-2"/>
                <w:sz w:val="24"/>
                <w:szCs w:val="24"/>
              </w:rPr>
              <w:t>污水处理厂名称</w:t>
            </w:r>
          </w:p>
        </w:tc>
        <w:tc>
          <w:tcPr>
            <w:tcW w:w="1104" w:type="dxa"/>
            <w:tcBorders>
              <w:top w:val="single" w:color="000000" w:sz="10" w:space="0"/>
            </w:tcBorders>
            <w:vAlign w:val="top"/>
          </w:tcPr>
          <w:p w14:paraId="2B2E3C8D">
            <w:pPr>
              <w:spacing w:before="119" w:line="221" w:lineRule="auto"/>
              <w:ind w:left="192"/>
              <w:rPr>
                <w:rFonts w:hint="eastAsia" w:ascii="仿宋" w:hAnsi="仿宋" w:eastAsia="仿宋" w:cs="仿宋"/>
                <w:sz w:val="24"/>
                <w:szCs w:val="24"/>
              </w:rPr>
            </w:pPr>
            <w:r>
              <w:rPr>
                <w:rFonts w:hint="eastAsia" w:ascii="仿宋" w:hAnsi="仿宋" w:eastAsia="仿宋" w:cs="仿宋"/>
                <w:spacing w:val="-4"/>
                <w:sz w:val="24"/>
                <w:szCs w:val="24"/>
              </w:rPr>
              <w:t>规划服</w:t>
            </w:r>
          </w:p>
          <w:p w14:paraId="3BD38A6D">
            <w:pPr>
              <w:spacing w:before="180" w:line="311" w:lineRule="auto"/>
              <w:ind w:left="118" w:right="111" w:firstLine="74"/>
              <w:rPr>
                <w:rFonts w:hint="eastAsia" w:ascii="仿宋" w:hAnsi="仿宋" w:eastAsia="仿宋" w:cs="仿宋"/>
                <w:sz w:val="24"/>
                <w:szCs w:val="24"/>
              </w:rPr>
            </w:pPr>
            <w:r>
              <w:rPr>
                <w:rFonts w:hint="eastAsia" w:ascii="仿宋" w:hAnsi="仿宋" w:eastAsia="仿宋" w:cs="仿宋"/>
                <w:spacing w:val="-4"/>
                <w:sz w:val="24"/>
                <w:szCs w:val="24"/>
              </w:rPr>
              <w:t>务面积</w:t>
            </w:r>
            <w:r>
              <w:rPr>
                <w:rFonts w:hint="eastAsia" w:ascii="仿宋" w:hAnsi="仿宋" w:eastAsia="仿宋" w:cs="仿宋"/>
                <w:spacing w:val="-9"/>
                <w:sz w:val="24"/>
                <w:szCs w:val="24"/>
              </w:rPr>
              <w:t>（hm2）</w:t>
            </w:r>
          </w:p>
        </w:tc>
        <w:tc>
          <w:tcPr>
            <w:tcW w:w="1094" w:type="dxa"/>
            <w:tcBorders>
              <w:top w:val="single" w:color="000000" w:sz="10" w:space="0"/>
            </w:tcBorders>
            <w:vAlign w:val="top"/>
          </w:tcPr>
          <w:p w14:paraId="78948C55">
            <w:pPr>
              <w:spacing w:before="119" w:line="221" w:lineRule="auto"/>
              <w:ind w:left="190"/>
              <w:rPr>
                <w:rFonts w:hint="eastAsia" w:ascii="仿宋" w:hAnsi="仿宋" w:eastAsia="仿宋" w:cs="仿宋"/>
                <w:sz w:val="24"/>
                <w:szCs w:val="24"/>
              </w:rPr>
            </w:pPr>
            <w:r>
              <w:rPr>
                <w:rFonts w:hint="eastAsia" w:ascii="仿宋" w:hAnsi="仿宋" w:eastAsia="仿宋" w:cs="仿宋"/>
                <w:spacing w:val="-4"/>
                <w:sz w:val="24"/>
                <w:szCs w:val="24"/>
              </w:rPr>
              <w:t>规划服</w:t>
            </w:r>
          </w:p>
          <w:p w14:paraId="50221591">
            <w:pPr>
              <w:spacing w:before="180" w:line="311" w:lineRule="auto"/>
              <w:ind w:left="121" w:right="44" w:firstLine="69"/>
              <w:rPr>
                <w:rFonts w:hint="eastAsia" w:ascii="仿宋" w:hAnsi="仿宋" w:eastAsia="仿宋" w:cs="仿宋"/>
                <w:sz w:val="24"/>
                <w:szCs w:val="24"/>
              </w:rPr>
            </w:pPr>
            <w:r>
              <w:rPr>
                <w:rFonts w:hint="eastAsia" w:ascii="仿宋" w:hAnsi="仿宋" w:eastAsia="仿宋" w:cs="仿宋"/>
                <w:spacing w:val="-4"/>
                <w:sz w:val="24"/>
                <w:szCs w:val="24"/>
              </w:rPr>
              <w:t>务人口</w:t>
            </w:r>
            <w:r>
              <w:rPr>
                <w:rFonts w:hint="eastAsia" w:ascii="仿宋" w:hAnsi="仿宋" w:eastAsia="仿宋" w:cs="仿宋"/>
                <w:spacing w:val="-11"/>
                <w:sz w:val="24"/>
                <w:szCs w:val="24"/>
              </w:rPr>
              <w:t>（万人）</w:t>
            </w:r>
          </w:p>
        </w:tc>
        <w:tc>
          <w:tcPr>
            <w:tcW w:w="1560" w:type="dxa"/>
            <w:tcBorders>
              <w:top w:val="single" w:color="000000" w:sz="10" w:space="0"/>
            </w:tcBorders>
            <w:vAlign w:val="top"/>
          </w:tcPr>
          <w:p w14:paraId="3A4D8296">
            <w:pPr>
              <w:spacing w:before="121" w:line="362" w:lineRule="auto"/>
              <w:ind w:left="131" w:right="125" w:firstLine="57"/>
              <w:rPr>
                <w:rFonts w:hint="eastAsia" w:ascii="仿宋" w:hAnsi="仿宋" w:eastAsia="仿宋" w:cs="仿宋"/>
                <w:sz w:val="24"/>
                <w:szCs w:val="24"/>
              </w:rPr>
            </w:pPr>
            <w:r>
              <w:rPr>
                <w:rFonts w:hint="eastAsia" w:ascii="仿宋" w:hAnsi="仿宋" w:eastAsia="仿宋" w:cs="仿宋"/>
                <w:spacing w:val="-3"/>
                <w:sz w:val="24"/>
                <w:szCs w:val="24"/>
              </w:rPr>
              <w:t>污水厂规模</w:t>
            </w:r>
            <w:r>
              <w:rPr>
                <w:rFonts w:hint="eastAsia" w:ascii="仿宋" w:hAnsi="仿宋" w:eastAsia="仿宋" w:cs="仿宋"/>
                <w:spacing w:val="-6"/>
                <w:sz w:val="24"/>
                <w:szCs w:val="24"/>
              </w:rPr>
              <w:t>（万 m3/d）</w:t>
            </w:r>
          </w:p>
        </w:tc>
        <w:tc>
          <w:tcPr>
            <w:tcW w:w="1536" w:type="dxa"/>
            <w:tcBorders>
              <w:top w:val="single" w:color="000000" w:sz="10" w:space="0"/>
            </w:tcBorders>
            <w:vAlign w:val="top"/>
          </w:tcPr>
          <w:p w14:paraId="529EDA05">
            <w:pPr>
              <w:spacing w:before="119" w:line="360" w:lineRule="auto"/>
              <w:ind w:left="658" w:right="155" w:hanging="478"/>
              <w:rPr>
                <w:rFonts w:hint="eastAsia" w:ascii="仿宋" w:hAnsi="仿宋" w:eastAsia="仿宋" w:cs="仿宋"/>
                <w:sz w:val="24"/>
                <w:szCs w:val="24"/>
              </w:rPr>
            </w:pPr>
            <w:r>
              <w:rPr>
                <w:rFonts w:hint="eastAsia" w:ascii="仿宋" w:hAnsi="仿宋" w:eastAsia="仿宋" w:cs="仿宋"/>
                <w:spacing w:val="-3"/>
                <w:sz w:val="24"/>
                <w:szCs w:val="24"/>
              </w:rPr>
              <w:t>规划用地规</w:t>
            </w:r>
            <w:r>
              <w:rPr>
                <w:rFonts w:hint="eastAsia" w:ascii="仿宋" w:hAnsi="仿宋" w:eastAsia="仿宋" w:cs="仿宋"/>
                <w:sz w:val="24"/>
                <w:szCs w:val="24"/>
              </w:rPr>
              <w:t>模</w:t>
            </w:r>
          </w:p>
          <w:p w14:paraId="6DB7D5E4">
            <w:pPr>
              <w:spacing w:line="231" w:lineRule="auto"/>
              <w:ind w:left="337"/>
              <w:rPr>
                <w:rFonts w:hint="eastAsia" w:ascii="仿宋" w:hAnsi="仿宋" w:eastAsia="仿宋" w:cs="仿宋"/>
                <w:sz w:val="24"/>
                <w:szCs w:val="24"/>
              </w:rPr>
            </w:pPr>
            <w:r>
              <w:rPr>
                <w:rFonts w:hint="eastAsia" w:ascii="仿宋" w:hAnsi="仿宋" w:eastAsia="仿宋" w:cs="仿宋"/>
                <w:spacing w:val="-5"/>
                <w:sz w:val="24"/>
                <w:szCs w:val="24"/>
              </w:rPr>
              <w:t>（hm2）</w:t>
            </w:r>
          </w:p>
        </w:tc>
        <w:tc>
          <w:tcPr>
            <w:tcW w:w="1550" w:type="dxa"/>
            <w:tcBorders>
              <w:top w:val="single" w:color="000000" w:sz="10" w:space="0"/>
              <w:right w:val="single" w:color="000000" w:sz="10" w:space="0"/>
            </w:tcBorders>
            <w:vAlign w:val="top"/>
          </w:tcPr>
          <w:p w14:paraId="40536571">
            <w:pPr>
              <w:spacing w:before="119" w:line="363" w:lineRule="auto"/>
              <w:ind w:left="662" w:right="159" w:hanging="480"/>
              <w:rPr>
                <w:rFonts w:hint="eastAsia" w:ascii="仿宋" w:hAnsi="仿宋" w:eastAsia="仿宋" w:cs="仿宋"/>
                <w:sz w:val="24"/>
                <w:szCs w:val="24"/>
              </w:rPr>
            </w:pPr>
            <w:r>
              <w:rPr>
                <w:rFonts w:hint="eastAsia" w:ascii="仿宋" w:hAnsi="仿宋" w:eastAsia="仿宋" w:cs="仿宋"/>
                <w:spacing w:val="-2"/>
                <w:sz w:val="24"/>
                <w:szCs w:val="24"/>
              </w:rPr>
              <w:t>尾水收纳水</w:t>
            </w:r>
            <w:r>
              <w:rPr>
                <w:rFonts w:hint="eastAsia" w:ascii="仿宋" w:hAnsi="仿宋" w:eastAsia="仿宋" w:cs="仿宋"/>
                <w:sz w:val="24"/>
                <w:szCs w:val="24"/>
              </w:rPr>
              <w:t>体</w:t>
            </w:r>
          </w:p>
        </w:tc>
      </w:tr>
      <w:tr w14:paraId="49F2EE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683" w:type="dxa"/>
            <w:tcBorders>
              <w:left w:val="single" w:color="000000" w:sz="10" w:space="0"/>
            </w:tcBorders>
            <w:vAlign w:val="top"/>
          </w:tcPr>
          <w:p w14:paraId="7E07533E">
            <w:pPr>
              <w:spacing w:before="163" w:line="188" w:lineRule="auto"/>
              <w:ind w:left="292"/>
              <w:rPr>
                <w:rFonts w:hint="eastAsia" w:ascii="仿宋" w:hAnsi="仿宋" w:eastAsia="仿宋" w:cs="仿宋"/>
                <w:sz w:val="24"/>
                <w:szCs w:val="24"/>
              </w:rPr>
            </w:pPr>
            <w:r>
              <w:rPr>
                <w:rFonts w:hint="eastAsia" w:ascii="仿宋" w:hAnsi="仿宋" w:eastAsia="仿宋" w:cs="仿宋"/>
                <w:sz w:val="24"/>
                <w:szCs w:val="24"/>
              </w:rPr>
              <w:t>1</w:t>
            </w:r>
          </w:p>
        </w:tc>
        <w:tc>
          <w:tcPr>
            <w:tcW w:w="2066" w:type="dxa"/>
            <w:vAlign w:val="top"/>
          </w:tcPr>
          <w:p w14:paraId="7D2BFCC3">
            <w:pPr>
              <w:spacing w:before="122" w:line="216" w:lineRule="auto"/>
              <w:ind w:left="187"/>
              <w:rPr>
                <w:rFonts w:hint="eastAsia" w:ascii="仿宋" w:hAnsi="仿宋" w:eastAsia="仿宋" w:cs="仿宋"/>
                <w:sz w:val="24"/>
                <w:szCs w:val="24"/>
              </w:rPr>
            </w:pPr>
            <w:r>
              <w:rPr>
                <w:rFonts w:hint="eastAsia" w:ascii="仿宋" w:hAnsi="仿宋" w:eastAsia="仿宋" w:cs="仿宋"/>
                <w:spacing w:val="-2"/>
                <w:sz w:val="24"/>
                <w:szCs w:val="24"/>
              </w:rPr>
              <w:t>湖滨污水处理厂</w:t>
            </w:r>
          </w:p>
        </w:tc>
        <w:tc>
          <w:tcPr>
            <w:tcW w:w="1104" w:type="dxa"/>
            <w:vAlign w:val="top"/>
          </w:tcPr>
          <w:p w14:paraId="4F195BFC">
            <w:pPr>
              <w:spacing w:before="163" w:line="188" w:lineRule="auto"/>
              <w:ind w:left="222"/>
              <w:rPr>
                <w:rFonts w:hint="eastAsia" w:ascii="仿宋" w:hAnsi="仿宋" w:eastAsia="仿宋" w:cs="仿宋"/>
                <w:sz w:val="24"/>
                <w:szCs w:val="24"/>
              </w:rPr>
            </w:pPr>
            <w:r>
              <w:rPr>
                <w:rFonts w:hint="eastAsia" w:ascii="仿宋" w:hAnsi="仿宋" w:eastAsia="仿宋" w:cs="仿宋"/>
                <w:spacing w:val="-2"/>
                <w:sz w:val="24"/>
                <w:szCs w:val="24"/>
              </w:rPr>
              <w:t>7710.1</w:t>
            </w:r>
          </w:p>
        </w:tc>
        <w:tc>
          <w:tcPr>
            <w:tcW w:w="1094" w:type="dxa"/>
            <w:vAlign w:val="top"/>
          </w:tcPr>
          <w:p w14:paraId="2A730BED">
            <w:pPr>
              <w:spacing w:before="163" w:line="188" w:lineRule="auto"/>
              <w:ind w:left="282"/>
              <w:rPr>
                <w:rFonts w:hint="eastAsia" w:ascii="仿宋" w:hAnsi="仿宋" w:eastAsia="仿宋" w:cs="仿宋"/>
                <w:sz w:val="24"/>
                <w:szCs w:val="24"/>
              </w:rPr>
            </w:pPr>
            <w:r>
              <w:rPr>
                <w:rFonts w:hint="eastAsia" w:ascii="仿宋" w:hAnsi="仿宋" w:eastAsia="仿宋" w:cs="仿宋"/>
                <w:spacing w:val="-3"/>
                <w:sz w:val="24"/>
                <w:szCs w:val="24"/>
              </w:rPr>
              <w:t>54.79</w:t>
            </w:r>
          </w:p>
        </w:tc>
        <w:tc>
          <w:tcPr>
            <w:tcW w:w="1560" w:type="dxa"/>
            <w:vAlign w:val="top"/>
          </w:tcPr>
          <w:p w14:paraId="4EE5BBEE">
            <w:pPr>
              <w:spacing w:before="163" w:line="188" w:lineRule="auto"/>
              <w:ind w:left="667"/>
              <w:rPr>
                <w:rFonts w:hint="eastAsia" w:ascii="仿宋" w:hAnsi="仿宋" w:eastAsia="仿宋" w:cs="仿宋"/>
                <w:sz w:val="24"/>
                <w:szCs w:val="24"/>
              </w:rPr>
            </w:pPr>
            <w:r>
              <w:rPr>
                <w:rFonts w:hint="eastAsia" w:ascii="仿宋" w:hAnsi="仿宋" w:eastAsia="仿宋" w:cs="仿宋"/>
                <w:spacing w:val="-5"/>
                <w:sz w:val="24"/>
                <w:szCs w:val="24"/>
              </w:rPr>
              <w:t>33</w:t>
            </w:r>
          </w:p>
        </w:tc>
        <w:tc>
          <w:tcPr>
            <w:tcW w:w="1536" w:type="dxa"/>
            <w:vAlign w:val="top"/>
          </w:tcPr>
          <w:p w14:paraId="198C7DC5">
            <w:pPr>
              <w:spacing w:before="163" w:line="188" w:lineRule="auto"/>
              <w:ind w:left="655"/>
              <w:rPr>
                <w:rFonts w:hint="eastAsia" w:ascii="仿宋" w:hAnsi="仿宋" w:eastAsia="仿宋" w:cs="仿宋"/>
                <w:sz w:val="24"/>
                <w:szCs w:val="24"/>
              </w:rPr>
            </w:pPr>
            <w:r>
              <w:rPr>
                <w:rFonts w:hint="eastAsia" w:ascii="仿宋" w:hAnsi="仿宋" w:eastAsia="仿宋" w:cs="仿宋"/>
                <w:spacing w:val="-3"/>
                <w:sz w:val="24"/>
                <w:szCs w:val="24"/>
              </w:rPr>
              <w:t>23</w:t>
            </w:r>
          </w:p>
        </w:tc>
        <w:tc>
          <w:tcPr>
            <w:tcW w:w="1550" w:type="dxa"/>
            <w:tcBorders>
              <w:right w:val="single" w:color="000000" w:sz="10" w:space="0"/>
            </w:tcBorders>
            <w:vAlign w:val="top"/>
          </w:tcPr>
          <w:p w14:paraId="1FCCF562">
            <w:pPr>
              <w:spacing w:before="122" w:line="220" w:lineRule="auto"/>
              <w:ind w:left="423"/>
              <w:rPr>
                <w:rFonts w:hint="eastAsia" w:ascii="仿宋" w:hAnsi="仿宋" w:eastAsia="仿宋" w:cs="仿宋"/>
                <w:sz w:val="24"/>
                <w:szCs w:val="24"/>
              </w:rPr>
            </w:pPr>
            <w:r>
              <w:rPr>
                <w:rFonts w:hint="eastAsia" w:ascii="仿宋" w:hAnsi="仿宋" w:eastAsia="仿宋" w:cs="仿宋"/>
                <w:spacing w:val="-4"/>
                <w:sz w:val="24"/>
                <w:szCs w:val="24"/>
              </w:rPr>
              <w:t>洞庭湖</w:t>
            </w:r>
          </w:p>
        </w:tc>
      </w:tr>
      <w:tr w14:paraId="18C5FD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683" w:type="dxa"/>
            <w:tcBorders>
              <w:left w:val="single" w:color="000000" w:sz="10" w:space="0"/>
            </w:tcBorders>
            <w:vAlign w:val="top"/>
          </w:tcPr>
          <w:p w14:paraId="1F5500CA">
            <w:pPr>
              <w:spacing w:before="166" w:line="188" w:lineRule="auto"/>
              <w:ind w:left="269"/>
              <w:rPr>
                <w:rFonts w:hint="eastAsia" w:ascii="仿宋" w:hAnsi="仿宋" w:eastAsia="仿宋" w:cs="仿宋"/>
                <w:sz w:val="24"/>
                <w:szCs w:val="24"/>
              </w:rPr>
            </w:pPr>
            <w:r>
              <w:rPr>
                <w:rFonts w:hint="eastAsia" w:ascii="仿宋" w:hAnsi="仿宋" w:eastAsia="仿宋" w:cs="仿宋"/>
                <w:sz w:val="24"/>
                <w:szCs w:val="24"/>
              </w:rPr>
              <w:t>2</w:t>
            </w:r>
          </w:p>
        </w:tc>
        <w:tc>
          <w:tcPr>
            <w:tcW w:w="2066" w:type="dxa"/>
            <w:vAlign w:val="top"/>
          </w:tcPr>
          <w:p w14:paraId="4D8D54ED">
            <w:pPr>
              <w:spacing w:before="124" w:line="219" w:lineRule="auto"/>
              <w:ind w:left="196"/>
              <w:rPr>
                <w:rFonts w:hint="eastAsia" w:ascii="仿宋" w:hAnsi="仿宋" w:eastAsia="仿宋" w:cs="仿宋"/>
                <w:sz w:val="24"/>
                <w:szCs w:val="24"/>
              </w:rPr>
            </w:pPr>
            <w:r>
              <w:rPr>
                <w:rFonts w:hint="eastAsia" w:ascii="仿宋" w:hAnsi="仿宋" w:eastAsia="仿宋" w:cs="仿宋"/>
                <w:spacing w:val="-3"/>
                <w:sz w:val="24"/>
                <w:szCs w:val="24"/>
              </w:rPr>
              <w:t>马壕污水处理厂</w:t>
            </w:r>
          </w:p>
        </w:tc>
        <w:tc>
          <w:tcPr>
            <w:tcW w:w="1104" w:type="dxa"/>
            <w:vAlign w:val="top"/>
          </w:tcPr>
          <w:p w14:paraId="548BBAFD">
            <w:pPr>
              <w:spacing w:before="165" w:line="188" w:lineRule="auto"/>
              <w:ind w:left="282"/>
              <w:rPr>
                <w:rFonts w:hint="eastAsia" w:ascii="仿宋" w:hAnsi="仿宋" w:eastAsia="仿宋" w:cs="仿宋"/>
                <w:sz w:val="24"/>
                <w:szCs w:val="24"/>
              </w:rPr>
            </w:pPr>
            <w:r>
              <w:rPr>
                <w:rFonts w:hint="eastAsia" w:ascii="仿宋" w:hAnsi="仿宋" w:eastAsia="仿宋" w:cs="仿宋"/>
                <w:spacing w:val="-2"/>
                <w:sz w:val="24"/>
                <w:szCs w:val="24"/>
              </w:rPr>
              <w:t>958.8</w:t>
            </w:r>
          </w:p>
        </w:tc>
        <w:tc>
          <w:tcPr>
            <w:tcW w:w="1094" w:type="dxa"/>
            <w:vAlign w:val="top"/>
          </w:tcPr>
          <w:p w14:paraId="66DC4406">
            <w:pPr>
              <w:spacing w:before="165" w:line="188" w:lineRule="auto"/>
              <w:ind w:left="303"/>
              <w:rPr>
                <w:rFonts w:hint="eastAsia" w:ascii="仿宋" w:hAnsi="仿宋" w:eastAsia="仿宋" w:cs="仿宋"/>
                <w:sz w:val="24"/>
                <w:szCs w:val="24"/>
              </w:rPr>
            </w:pPr>
            <w:r>
              <w:rPr>
                <w:rFonts w:hint="eastAsia" w:ascii="仿宋" w:hAnsi="仿宋" w:eastAsia="仿宋" w:cs="仿宋"/>
                <w:spacing w:val="-8"/>
                <w:sz w:val="24"/>
                <w:szCs w:val="24"/>
              </w:rPr>
              <w:t>11.51</w:t>
            </w:r>
          </w:p>
        </w:tc>
        <w:tc>
          <w:tcPr>
            <w:tcW w:w="1560" w:type="dxa"/>
            <w:vAlign w:val="top"/>
          </w:tcPr>
          <w:p w14:paraId="5484D400">
            <w:pPr>
              <w:spacing w:before="165" w:line="188" w:lineRule="auto"/>
              <w:ind w:left="685"/>
              <w:rPr>
                <w:rFonts w:hint="eastAsia" w:ascii="仿宋" w:hAnsi="仿宋" w:eastAsia="仿宋" w:cs="仿宋"/>
                <w:sz w:val="24"/>
                <w:szCs w:val="24"/>
              </w:rPr>
            </w:pPr>
            <w:r>
              <w:rPr>
                <w:rFonts w:hint="eastAsia" w:ascii="仿宋" w:hAnsi="仿宋" w:eastAsia="仿宋" w:cs="仿宋"/>
                <w:spacing w:val="-15"/>
                <w:sz w:val="24"/>
                <w:szCs w:val="24"/>
              </w:rPr>
              <w:t>10</w:t>
            </w:r>
          </w:p>
        </w:tc>
        <w:tc>
          <w:tcPr>
            <w:tcW w:w="1536" w:type="dxa"/>
            <w:vAlign w:val="top"/>
          </w:tcPr>
          <w:p w14:paraId="3A621C52">
            <w:pPr>
              <w:spacing w:before="165" w:line="188" w:lineRule="auto"/>
              <w:ind w:left="678"/>
              <w:rPr>
                <w:rFonts w:hint="eastAsia" w:ascii="仿宋" w:hAnsi="仿宋" w:eastAsia="仿宋" w:cs="仿宋"/>
                <w:sz w:val="24"/>
                <w:szCs w:val="24"/>
              </w:rPr>
            </w:pPr>
            <w:r>
              <w:rPr>
                <w:rFonts w:hint="eastAsia" w:ascii="仿宋" w:hAnsi="仿宋" w:eastAsia="仿宋" w:cs="仿宋"/>
                <w:spacing w:val="-15"/>
                <w:sz w:val="24"/>
                <w:szCs w:val="24"/>
              </w:rPr>
              <w:t>10</w:t>
            </w:r>
          </w:p>
        </w:tc>
        <w:tc>
          <w:tcPr>
            <w:tcW w:w="1550" w:type="dxa"/>
            <w:tcBorders>
              <w:right w:val="single" w:color="000000" w:sz="10" w:space="0"/>
            </w:tcBorders>
            <w:vAlign w:val="top"/>
          </w:tcPr>
          <w:p w14:paraId="3F446667">
            <w:pPr>
              <w:spacing w:before="124" w:line="220" w:lineRule="auto"/>
              <w:ind w:left="423"/>
              <w:rPr>
                <w:rFonts w:hint="eastAsia" w:ascii="仿宋" w:hAnsi="仿宋" w:eastAsia="仿宋" w:cs="仿宋"/>
                <w:sz w:val="24"/>
                <w:szCs w:val="24"/>
              </w:rPr>
            </w:pPr>
            <w:r>
              <w:rPr>
                <w:rFonts w:hint="eastAsia" w:ascii="仿宋" w:hAnsi="仿宋" w:eastAsia="仿宋" w:cs="仿宋"/>
                <w:spacing w:val="-4"/>
                <w:sz w:val="24"/>
                <w:szCs w:val="24"/>
              </w:rPr>
              <w:t>洞庭湖</w:t>
            </w:r>
          </w:p>
        </w:tc>
      </w:tr>
      <w:tr w14:paraId="6E1164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4" w:hRule="atLeast"/>
        </w:trPr>
        <w:tc>
          <w:tcPr>
            <w:tcW w:w="683" w:type="dxa"/>
            <w:tcBorders>
              <w:left w:val="single" w:color="000000" w:sz="10" w:space="0"/>
            </w:tcBorders>
            <w:vAlign w:val="top"/>
          </w:tcPr>
          <w:p w14:paraId="6CE5FA1B">
            <w:pPr>
              <w:spacing w:before="168" w:line="188" w:lineRule="auto"/>
              <w:ind w:left="274"/>
              <w:rPr>
                <w:rFonts w:hint="eastAsia" w:ascii="仿宋" w:hAnsi="仿宋" w:eastAsia="仿宋" w:cs="仿宋"/>
                <w:sz w:val="24"/>
                <w:szCs w:val="24"/>
              </w:rPr>
            </w:pPr>
            <w:r>
              <w:rPr>
                <w:rFonts w:hint="eastAsia" w:ascii="仿宋" w:hAnsi="仿宋" w:eastAsia="仿宋" w:cs="仿宋"/>
                <w:sz w:val="24"/>
                <w:szCs w:val="24"/>
              </w:rPr>
              <w:t>3</w:t>
            </w:r>
          </w:p>
        </w:tc>
        <w:tc>
          <w:tcPr>
            <w:tcW w:w="2066" w:type="dxa"/>
            <w:vAlign w:val="top"/>
          </w:tcPr>
          <w:p w14:paraId="195E2503">
            <w:pPr>
              <w:spacing w:before="128" w:line="306" w:lineRule="auto"/>
              <w:ind w:left="790" w:right="196" w:hanging="589"/>
              <w:rPr>
                <w:rFonts w:hint="eastAsia" w:ascii="仿宋" w:hAnsi="仿宋" w:eastAsia="仿宋" w:cs="仿宋"/>
                <w:sz w:val="24"/>
                <w:szCs w:val="24"/>
              </w:rPr>
            </w:pPr>
            <w:r>
              <w:rPr>
                <w:rFonts w:hint="eastAsia" w:ascii="仿宋" w:hAnsi="仿宋" w:eastAsia="仿宋" w:cs="仿宋"/>
                <w:spacing w:val="-4"/>
                <w:sz w:val="24"/>
                <w:szCs w:val="24"/>
              </w:rPr>
              <w:t>临港新区污水处</w:t>
            </w:r>
            <w:r>
              <w:rPr>
                <w:rFonts w:hint="eastAsia" w:ascii="仿宋" w:hAnsi="仿宋" w:eastAsia="仿宋" w:cs="仿宋"/>
                <w:spacing w:val="-7"/>
                <w:sz w:val="24"/>
                <w:szCs w:val="24"/>
              </w:rPr>
              <w:t>理厂</w:t>
            </w:r>
          </w:p>
        </w:tc>
        <w:tc>
          <w:tcPr>
            <w:tcW w:w="1104" w:type="dxa"/>
            <w:vAlign w:val="top"/>
          </w:tcPr>
          <w:p w14:paraId="426B31DA">
            <w:pPr>
              <w:spacing w:before="168" w:line="188" w:lineRule="auto"/>
              <w:ind w:left="181"/>
              <w:rPr>
                <w:rFonts w:hint="eastAsia" w:ascii="仿宋" w:hAnsi="仿宋" w:eastAsia="仿宋" w:cs="仿宋"/>
                <w:sz w:val="24"/>
                <w:szCs w:val="24"/>
              </w:rPr>
            </w:pPr>
            <w:r>
              <w:rPr>
                <w:rFonts w:hint="eastAsia" w:ascii="仿宋" w:hAnsi="仿宋" w:eastAsia="仿宋" w:cs="仿宋"/>
                <w:spacing w:val="-5"/>
                <w:sz w:val="24"/>
                <w:szCs w:val="24"/>
              </w:rPr>
              <w:t>16062.9</w:t>
            </w:r>
          </w:p>
        </w:tc>
        <w:tc>
          <w:tcPr>
            <w:tcW w:w="1094" w:type="dxa"/>
            <w:vAlign w:val="top"/>
          </w:tcPr>
          <w:p w14:paraId="263F3648">
            <w:pPr>
              <w:spacing w:before="168" w:line="188" w:lineRule="auto"/>
              <w:ind w:left="238"/>
              <w:rPr>
                <w:rFonts w:hint="eastAsia" w:ascii="仿宋" w:hAnsi="仿宋" w:eastAsia="仿宋" w:cs="仿宋"/>
                <w:sz w:val="24"/>
                <w:szCs w:val="24"/>
              </w:rPr>
            </w:pPr>
            <w:r>
              <w:rPr>
                <w:rFonts w:hint="eastAsia" w:ascii="仿宋" w:hAnsi="仿宋" w:eastAsia="仿宋" w:cs="仿宋"/>
                <w:spacing w:val="-5"/>
                <w:sz w:val="24"/>
                <w:szCs w:val="24"/>
              </w:rPr>
              <w:t>121.65</w:t>
            </w:r>
          </w:p>
        </w:tc>
        <w:tc>
          <w:tcPr>
            <w:tcW w:w="1560" w:type="dxa"/>
            <w:vAlign w:val="top"/>
          </w:tcPr>
          <w:p w14:paraId="00F2B995">
            <w:pPr>
              <w:spacing w:before="168" w:line="188" w:lineRule="auto"/>
              <w:ind w:left="668"/>
              <w:rPr>
                <w:rFonts w:hint="eastAsia" w:ascii="仿宋" w:hAnsi="仿宋" w:eastAsia="仿宋" w:cs="仿宋"/>
                <w:sz w:val="24"/>
                <w:szCs w:val="24"/>
              </w:rPr>
            </w:pPr>
            <w:r>
              <w:rPr>
                <w:rFonts w:hint="eastAsia" w:ascii="仿宋" w:hAnsi="仿宋" w:eastAsia="仿宋" w:cs="仿宋"/>
                <w:spacing w:val="-6"/>
                <w:sz w:val="24"/>
                <w:szCs w:val="24"/>
              </w:rPr>
              <w:t>67</w:t>
            </w:r>
          </w:p>
        </w:tc>
        <w:tc>
          <w:tcPr>
            <w:tcW w:w="1536" w:type="dxa"/>
            <w:vAlign w:val="top"/>
          </w:tcPr>
          <w:p w14:paraId="51D1D07C">
            <w:pPr>
              <w:spacing w:before="168" w:line="188" w:lineRule="auto"/>
              <w:ind w:left="654"/>
              <w:rPr>
                <w:rFonts w:hint="eastAsia" w:ascii="仿宋" w:hAnsi="仿宋" w:eastAsia="仿宋" w:cs="仿宋"/>
                <w:sz w:val="24"/>
                <w:szCs w:val="24"/>
              </w:rPr>
            </w:pPr>
            <w:r>
              <w:rPr>
                <w:rFonts w:hint="eastAsia" w:ascii="仿宋" w:hAnsi="仿宋" w:eastAsia="仿宋" w:cs="仿宋"/>
                <w:spacing w:val="-2"/>
                <w:sz w:val="24"/>
                <w:szCs w:val="24"/>
              </w:rPr>
              <w:t>40</w:t>
            </w:r>
          </w:p>
        </w:tc>
        <w:tc>
          <w:tcPr>
            <w:tcW w:w="1550" w:type="dxa"/>
            <w:tcBorders>
              <w:right w:val="single" w:color="000000" w:sz="10" w:space="0"/>
            </w:tcBorders>
            <w:vAlign w:val="top"/>
          </w:tcPr>
          <w:p w14:paraId="6B62489D">
            <w:pPr>
              <w:spacing w:before="128" w:line="223" w:lineRule="auto"/>
              <w:ind w:left="543"/>
              <w:rPr>
                <w:rFonts w:hint="eastAsia" w:ascii="仿宋" w:hAnsi="仿宋" w:eastAsia="仿宋" w:cs="仿宋"/>
                <w:sz w:val="24"/>
                <w:szCs w:val="24"/>
              </w:rPr>
            </w:pPr>
            <w:r>
              <w:rPr>
                <w:rFonts w:hint="eastAsia" w:ascii="仿宋" w:hAnsi="仿宋" w:eastAsia="仿宋" w:cs="仿宋"/>
                <w:spacing w:val="-6"/>
                <w:sz w:val="24"/>
                <w:szCs w:val="24"/>
              </w:rPr>
              <w:t>长江</w:t>
            </w:r>
          </w:p>
        </w:tc>
      </w:tr>
      <w:tr w14:paraId="1A1786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1" w:hRule="atLeast"/>
        </w:trPr>
        <w:tc>
          <w:tcPr>
            <w:tcW w:w="683" w:type="dxa"/>
            <w:tcBorders>
              <w:left w:val="single" w:color="000000" w:sz="10" w:space="0"/>
              <w:bottom w:val="single" w:color="000000" w:sz="10" w:space="0"/>
            </w:tcBorders>
            <w:vAlign w:val="top"/>
          </w:tcPr>
          <w:p w14:paraId="66AEAE99">
            <w:pPr>
              <w:spacing w:before="174" w:line="188" w:lineRule="auto"/>
              <w:ind w:left="268"/>
              <w:rPr>
                <w:rFonts w:hint="eastAsia" w:ascii="仿宋" w:hAnsi="仿宋" w:eastAsia="仿宋" w:cs="仿宋"/>
                <w:sz w:val="24"/>
                <w:szCs w:val="24"/>
              </w:rPr>
            </w:pPr>
            <w:r>
              <w:rPr>
                <w:rFonts w:hint="eastAsia" w:ascii="仿宋" w:hAnsi="仿宋" w:eastAsia="仿宋" w:cs="仿宋"/>
                <w:sz w:val="24"/>
                <w:szCs w:val="24"/>
              </w:rPr>
              <w:t>4</w:t>
            </w:r>
          </w:p>
        </w:tc>
        <w:tc>
          <w:tcPr>
            <w:tcW w:w="2066" w:type="dxa"/>
            <w:tcBorders>
              <w:bottom w:val="single" w:color="000000" w:sz="10" w:space="0"/>
            </w:tcBorders>
            <w:vAlign w:val="top"/>
          </w:tcPr>
          <w:p w14:paraId="18104239">
            <w:pPr>
              <w:spacing w:before="134" w:line="221" w:lineRule="auto"/>
              <w:ind w:left="789"/>
              <w:rPr>
                <w:rFonts w:hint="eastAsia" w:ascii="仿宋" w:hAnsi="仿宋" w:eastAsia="仿宋" w:cs="仿宋"/>
                <w:sz w:val="24"/>
                <w:szCs w:val="24"/>
              </w:rPr>
            </w:pPr>
            <w:r>
              <w:rPr>
                <w:rFonts w:hint="eastAsia" w:ascii="仿宋" w:hAnsi="仿宋" w:eastAsia="仿宋" w:cs="仿宋"/>
                <w:spacing w:val="-6"/>
                <w:sz w:val="24"/>
                <w:szCs w:val="24"/>
              </w:rPr>
              <w:t>合计</w:t>
            </w:r>
          </w:p>
        </w:tc>
        <w:tc>
          <w:tcPr>
            <w:tcW w:w="1104" w:type="dxa"/>
            <w:tcBorders>
              <w:bottom w:val="single" w:color="000000" w:sz="10" w:space="0"/>
            </w:tcBorders>
            <w:vAlign w:val="top"/>
          </w:tcPr>
          <w:p w14:paraId="03F3AEEA">
            <w:pPr>
              <w:spacing w:before="174" w:line="188" w:lineRule="auto"/>
              <w:ind w:left="158"/>
              <w:rPr>
                <w:rFonts w:hint="eastAsia" w:ascii="仿宋" w:hAnsi="仿宋" w:eastAsia="仿宋" w:cs="仿宋"/>
                <w:sz w:val="24"/>
                <w:szCs w:val="24"/>
              </w:rPr>
            </w:pPr>
            <w:r>
              <w:rPr>
                <w:rFonts w:hint="eastAsia" w:ascii="仿宋" w:hAnsi="仿宋" w:eastAsia="仿宋" w:cs="仿宋"/>
                <w:spacing w:val="-1"/>
                <w:sz w:val="24"/>
                <w:szCs w:val="24"/>
              </w:rPr>
              <w:t>24731.8</w:t>
            </w:r>
          </w:p>
        </w:tc>
        <w:tc>
          <w:tcPr>
            <w:tcW w:w="1094" w:type="dxa"/>
            <w:tcBorders>
              <w:bottom w:val="single" w:color="000000" w:sz="10" w:space="0"/>
            </w:tcBorders>
            <w:vAlign w:val="top"/>
          </w:tcPr>
          <w:p w14:paraId="1C8D7AC9">
            <w:pPr>
              <w:spacing w:before="174" w:line="188" w:lineRule="auto"/>
              <w:ind w:left="238"/>
              <w:rPr>
                <w:rFonts w:hint="eastAsia" w:ascii="仿宋" w:hAnsi="仿宋" w:eastAsia="仿宋" w:cs="仿宋"/>
                <w:sz w:val="24"/>
                <w:szCs w:val="24"/>
              </w:rPr>
            </w:pPr>
            <w:r>
              <w:rPr>
                <w:rFonts w:hint="eastAsia" w:ascii="仿宋" w:hAnsi="仿宋" w:eastAsia="仿宋" w:cs="仿宋"/>
                <w:spacing w:val="-5"/>
                <w:sz w:val="24"/>
                <w:szCs w:val="24"/>
              </w:rPr>
              <w:t>187.95</w:t>
            </w:r>
          </w:p>
        </w:tc>
        <w:tc>
          <w:tcPr>
            <w:tcW w:w="1560" w:type="dxa"/>
            <w:tcBorders>
              <w:bottom w:val="single" w:color="000000" w:sz="10" w:space="0"/>
            </w:tcBorders>
            <w:vAlign w:val="top"/>
          </w:tcPr>
          <w:p w14:paraId="28047D87">
            <w:pPr>
              <w:spacing w:before="174" w:line="188" w:lineRule="auto"/>
              <w:ind w:left="630"/>
              <w:rPr>
                <w:rFonts w:hint="eastAsia" w:ascii="仿宋" w:hAnsi="仿宋" w:eastAsia="仿宋" w:cs="仿宋"/>
                <w:sz w:val="24"/>
                <w:szCs w:val="24"/>
              </w:rPr>
            </w:pPr>
            <w:r>
              <w:rPr>
                <w:rFonts w:hint="eastAsia" w:ascii="仿宋" w:hAnsi="仿宋" w:eastAsia="仿宋" w:cs="仿宋"/>
                <w:spacing w:val="-11"/>
                <w:sz w:val="24"/>
                <w:szCs w:val="24"/>
              </w:rPr>
              <w:t>110</w:t>
            </w:r>
          </w:p>
        </w:tc>
        <w:tc>
          <w:tcPr>
            <w:tcW w:w="1536" w:type="dxa"/>
            <w:tcBorders>
              <w:bottom w:val="single" w:color="000000" w:sz="10" w:space="0"/>
            </w:tcBorders>
            <w:vAlign w:val="top"/>
          </w:tcPr>
          <w:p w14:paraId="42A213F2">
            <w:pPr>
              <w:spacing w:before="174" w:line="188" w:lineRule="auto"/>
              <w:ind w:left="659"/>
              <w:rPr>
                <w:rFonts w:hint="eastAsia" w:ascii="仿宋" w:hAnsi="仿宋" w:eastAsia="仿宋" w:cs="仿宋"/>
                <w:sz w:val="24"/>
                <w:szCs w:val="24"/>
              </w:rPr>
            </w:pPr>
            <w:r>
              <w:rPr>
                <w:rFonts w:hint="eastAsia" w:ascii="仿宋" w:hAnsi="仿宋" w:eastAsia="仿宋" w:cs="仿宋"/>
                <w:spacing w:val="-5"/>
                <w:sz w:val="24"/>
                <w:szCs w:val="24"/>
              </w:rPr>
              <w:t>73</w:t>
            </w:r>
          </w:p>
        </w:tc>
        <w:tc>
          <w:tcPr>
            <w:tcW w:w="1550" w:type="dxa"/>
            <w:tcBorders>
              <w:bottom w:val="single" w:color="000000" w:sz="10" w:space="0"/>
              <w:right w:val="single" w:color="000000" w:sz="10" w:space="0"/>
            </w:tcBorders>
            <w:vAlign w:val="top"/>
          </w:tcPr>
          <w:p w14:paraId="35F828AF">
            <w:pPr>
              <w:rPr>
                <w:rFonts w:hint="eastAsia" w:ascii="仿宋" w:hAnsi="仿宋" w:eastAsia="仿宋" w:cs="仿宋"/>
                <w:sz w:val="24"/>
                <w:szCs w:val="24"/>
              </w:rPr>
            </w:pPr>
          </w:p>
        </w:tc>
      </w:tr>
    </w:tbl>
    <w:p w14:paraId="32DD616E">
      <w:pPr>
        <w:spacing w:line="14" w:lineRule="auto"/>
        <w:rPr>
          <w:rFonts w:ascii="Arial"/>
          <w:sz w:val="2"/>
        </w:rPr>
      </w:pPr>
    </w:p>
    <w:p w14:paraId="591A897C">
      <w:pPr>
        <w:spacing w:line="360" w:lineRule="auto"/>
        <w:ind w:firstLine="532" w:firstLineChars="200"/>
        <w:rPr>
          <w:rFonts w:hint="eastAsia" w:ascii="仿宋" w:hAnsi="仿宋" w:eastAsia="仿宋" w:cs="仿宋"/>
          <w:color w:val="auto"/>
          <w:w w:val="95"/>
          <w:sz w:val="28"/>
          <w:szCs w:val="28"/>
          <w:lang w:val="en-US" w:eastAsia="zh-CN"/>
        </w:rPr>
      </w:pPr>
      <w:bookmarkStart w:id="61" w:name="bookmark234"/>
      <w:bookmarkEnd w:id="61"/>
      <w:r>
        <w:rPr>
          <w:rFonts w:hint="eastAsia" w:ascii="仿宋" w:hAnsi="仿宋" w:eastAsia="仿宋" w:cs="仿宋"/>
          <w:color w:val="auto"/>
          <w:w w:val="95"/>
          <w:sz w:val="28"/>
          <w:szCs w:val="28"/>
          <w:lang w:val="en-US" w:eastAsia="zh-CN"/>
        </w:rPr>
        <w:t>根据《岳阳市中心城区排水专项规划（修编）》（2016-2030），从可实施性、环境影响、近、远期分阶段、工程投资等方面综合考虑，同时结合污水处理厂分散建设与集中建设模式各自的优缺点，采用污水处理厂布局规划优化方法（主要考虑因素为水环境容量），合理重组各分区，有针对性的解决重点环境问题，提出远期到 2030 年以后甚至远景中心城区污水厂布局采用相对集中建三厂的方案，即按现状已建 6 座污水厂的基础上，保留马壕污水分区按独立分区建设污水处理厂，其规模按已建和在建马壕污水处理厂 10 万 m3/d 的规模控制，将南津港污水分区、黄梅港污水分区、麻塘污水分区纳入湖滨污水分区后合并处理，新规划湖滨污水处理厂规模按 33 万 m3/d 控制，将罗家坡污水分区、云溪污水分区纳入临港污水分区合并后处理，新规划临港污水处理厂规模按 67 万m3 /d  控制，远期甚至远景岳阳市中心城区范围内形成 3  座中大型集中污水处理厂新格局，污水处理总规模为 110 万 m3/d。</w:t>
      </w:r>
    </w:p>
    <w:p w14:paraId="665E2403">
      <w:pPr>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br w:type="page"/>
      </w:r>
    </w:p>
    <w:p w14:paraId="1C748C96">
      <w:pPr>
        <w:pStyle w:val="2"/>
        <w:keepNext w:val="0"/>
        <w:keepLines w:val="0"/>
        <w:pageBreakBefore w:val="0"/>
        <w:widowControl/>
        <w:kinsoku/>
        <w:wordWrap/>
        <w:overflowPunct/>
        <w:topLinePunct w:val="0"/>
        <w:autoSpaceDE/>
        <w:autoSpaceDN/>
        <w:bidi w:val="0"/>
        <w:adjustRightInd/>
        <w:snapToGrid/>
        <w:spacing w:before="147" w:beforeLines="50" w:beforeAutospacing="0" w:after="147" w:afterLines="50" w:afterAutospacing="0" w:line="360" w:lineRule="auto"/>
        <w:jc w:val="center"/>
        <w:textAlignment w:val="auto"/>
        <w:rPr>
          <w:rFonts w:hint="eastAsia" w:ascii="仿宋" w:hAnsi="仿宋" w:eastAsia="仿宋" w:cs="仿宋"/>
          <w:color w:val="auto"/>
          <w:sz w:val="28"/>
          <w:szCs w:val="28"/>
          <w:lang w:val="en-US" w:eastAsia="zh-CN"/>
        </w:rPr>
      </w:pPr>
      <w:bookmarkStart w:id="62" w:name="_Toc3280"/>
      <w:r>
        <w:rPr>
          <w:rFonts w:hint="eastAsia" w:ascii="仿宋" w:hAnsi="仿宋" w:eastAsia="仿宋" w:cs="仿宋"/>
          <w:color w:val="auto"/>
          <w:sz w:val="28"/>
          <w:szCs w:val="28"/>
          <w:lang w:val="en-US" w:eastAsia="zh-CN"/>
        </w:rPr>
        <w:t>三、</w:t>
      </w:r>
      <w:r>
        <w:rPr>
          <w:rFonts w:hint="eastAsia" w:ascii="仿宋" w:hAnsi="仿宋" w:eastAsia="仿宋" w:cs="仿宋"/>
          <w:b/>
          <w:bCs/>
          <w:color w:val="auto"/>
          <w:sz w:val="28"/>
          <w:szCs w:val="28"/>
          <w:lang w:val="en-US" w:eastAsia="zh-CN"/>
        </w:rPr>
        <w:t>排水现状</w:t>
      </w:r>
      <w:bookmarkEnd w:id="62"/>
    </w:p>
    <w:p w14:paraId="12009BB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本工程为改造工程,设计范围内排水管网不完善，部分地块内排水管网未分流。</w:t>
      </w:r>
    </w:p>
    <w:p w14:paraId="4BDEB54A">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default" w:ascii="仿宋" w:hAnsi="仿宋" w:eastAsia="仿宋" w:cs="仿宋"/>
          <w:b/>
          <w:bCs/>
          <w:color w:val="auto"/>
          <w:sz w:val="28"/>
          <w:szCs w:val="28"/>
          <w:lang w:val="en-US" w:eastAsia="zh-CN"/>
        </w:rPr>
      </w:pPr>
      <w:bookmarkStart w:id="63" w:name="_Toc5946"/>
      <w:r>
        <w:rPr>
          <w:rFonts w:hint="eastAsia" w:ascii="仿宋" w:hAnsi="仿宋" w:eastAsia="仿宋" w:cs="仿宋"/>
          <w:b/>
          <w:bCs/>
          <w:color w:val="auto"/>
          <w:sz w:val="28"/>
          <w:szCs w:val="28"/>
          <w:lang w:val="en-US" w:eastAsia="zh-CN"/>
        </w:rPr>
        <w:t>3.1红盾新村排水现状</w:t>
      </w:r>
      <w:bookmarkEnd w:id="63"/>
    </w:p>
    <w:p w14:paraId="5A0A4E4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红盾新村小区内部主路上现有一条DN600mm水泥混凝土合流管，排水由北向南排入桐子岭路人行道上的雨水管，由于主管修建时间长，管道腐蚀严重接口错位。居民楼北侧化粪池通过DN200管道互相连接，南侧同样有暗井通过DN200管道连接阳台洗衣机等污水，最终排入内部主路合流管，根据住户反应，污水支管长期堵塞。</w:t>
      </w:r>
    </w:p>
    <w:p w14:paraId="21310CFA">
      <w:pPr>
        <w:numPr>
          <w:ilvl w:val="0"/>
          <w:numId w:val="0"/>
        </w:numPr>
        <w:spacing w:line="240" w:lineRule="auto"/>
        <w:jc w:val="center"/>
      </w:pPr>
      <w:r>
        <w:drawing>
          <wp:inline distT="0" distB="0" distL="114300" distR="114300">
            <wp:extent cx="5866130" cy="5095240"/>
            <wp:effectExtent l="0" t="0" r="1270" b="1016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tretch>
                      <a:fillRect/>
                    </a:stretch>
                  </pic:blipFill>
                  <pic:spPr>
                    <a:xfrm>
                      <a:off x="0" y="0"/>
                      <a:ext cx="5866130" cy="5095240"/>
                    </a:xfrm>
                    <a:prstGeom prst="rect">
                      <a:avLst/>
                    </a:prstGeom>
                    <a:noFill/>
                    <a:ln>
                      <a:noFill/>
                    </a:ln>
                  </pic:spPr>
                </pic:pic>
              </a:graphicData>
            </a:graphic>
          </wp:inline>
        </w:drawing>
      </w:r>
    </w:p>
    <w:p w14:paraId="4D3A98B6">
      <w:pPr>
        <w:numPr>
          <w:ilvl w:val="0"/>
          <w:numId w:val="0"/>
        </w:numPr>
        <w:spacing w:line="360" w:lineRule="auto"/>
        <w:jc w:val="center"/>
        <w:rPr>
          <w:rFonts w:hint="eastAsia" w:eastAsia="宋体"/>
          <w:lang w:eastAsia="zh-CN"/>
        </w:rPr>
      </w:pPr>
      <w:r>
        <w:rPr>
          <w:rFonts w:hint="eastAsia" w:eastAsia="宋体"/>
          <w:lang w:eastAsia="zh-CN"/>
        </w:rPr>
        <w:drawing>
          <wp:inline distT="0" distB="0" distL="114300" distR="114300">
            <wp:extent cx="2785745" cy="3432810"/>
            <wp:effectExtent l="0" t="0" r="14605" b="15240"/>
            <wp:docPr id="16" name="图片 16" descr="a9256275f40b7f6ddecf6f85509455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a9256275f40b7f6ddecf6f855094555c"/>
                    <pic:cNvPicPr>
                      <a:picLocks noChangeAspect="1"/>
                    </pic:cNvPicPr>
                  </pic:nvPicPr>
                  <pic:blipFill>
                    <a:blip r:embed="rId13"/>
                    <a:srcRect t="30685"/>
                    <a:stretch>
                      <a:fillRect/>
                    </a:stretch>
                  </pic:blipFill>
                  <pic:spPr>
                    <a:xfrm>
                      <a:off x="0" y="0"/>
                      <a:ext cx="2785745" cy="3432810"/>
                    </a:xfrm>
                    <a:prstGeom prst="rect">
                      <a:avLst/>
                    </a:prstGeom>
                  </pic:spPr>
                </pic:pic>
              </a:graphicData>
            </a:graphic>
          </wp:inline>
        </w:drawing>
      </w:r>
    </w:p>
    <w:p w14:paraId="4CCDE4F4">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default" w:ascii="仿宋" w:hAnsi="仿宋" w:eastAsia="仿宋" w:cs="仿宋"/>
          <w:b/>
          <w:bCs/>
          <w:color w:val="auto"/>
          <w:sz w:val="28"/>
          <w:szCs w:val="28"/>
          <w:lang w:val="en-US" w:eastAsia="zh-CN"/>
        </w:rPr>
      </w:pPr>
      <w:bookmarkStart w:id="64" w:name="_Toc3708"/>
      <w:r>
        <w:rPr>
          <w:rFonts w:hint="eastAsia" w:ascii="仿宋" w:hAnsi="仿宋" w:eastAsia="仿宋" w:cs="仿宋"/>
          <w:b/>
          <w:bCs/>
          <w:color w:val="auto"/>
          <w:sz w:val="28"/>
          <w:szCs w:val="28"/>
          <w:lang w:val="en-US" w:eastAsia="zh-CN"/>
        </w:rPr>
        <w:t>3.2梅子柿社区现状</w:t>
      </w:r>
      <w:bookmarkEnd w:id="64"/>
    </w:p>
    <w:p w14:paraId="0680E3CD">
      <w:pPr>
        <w:spacing w:line="360" w:lineRule="auto"/>
        <w:ind w:firstLine="532" w:firstLineChars="200"/>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梅子柿社区为村庄，多为2~3层砖混建筑，无市政管网，雨污水均通过水沟散排至周边自然水系。已建市政污水管在双拥路上。</w:t>
      </w:r>
    </w:p>
    <w:p w14:paraId="05CB9938">
      <w:pPr>
        <w:numPr>
          <w:ilvl w:val="0"/>
          <w:numId w:val="0"/>
        </w:numPr>
        <w:spacing w:line="360" w:lineRule="auto"/>
        <w:jc w:val="center"/>
        <w:rPr>
          <w:rFonts w:hint="default" w:ascii="仿宋" w:hAnsi="仿宋" w:eastAsia="仿宋" w:cs="仿宋"/>
          <w:color w:val="auto"/>
          <w:w w:val="95"/>
          <w:sz w:val="28"/>
          <w:szCs w:val="28"/>
          <w:lang w:val="en-US" w:eastAsia="zh-CN"/>
        </w:rPr>
      </w:pPr>
      <w:r>
        <w:drawing>
          <wp:inline distT="0" distB="0" distL="114300" distR="114300">
            <wp:extent cx="4750435" cy="3949065"/>
            <wp:effectExtent l="0" t="0" r="12065" b="1333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4"/>
                    <a:stretch>
                      <a:fillRect/>
                    </a:stretch>
                  </pic:blipFill>
                  <pic:spPr>
                    <a:xfrm>
                      <a:off x="0" y="0"/>
                      <a:ext cx="4750435" cy="3949065"/>
                    </a:xfrm>
                    <a:prstGeom prst="rect">
                      <a:avLst/>
                    </a:prstGeom>
                    <a:noFill/>
                    <a:ln>
                      <a:noFill/>
                    </a:ln>
                  </pic:spPr>
                </pic:pic>
              </a:graphicData>
            </a:graphic>
          </wp:inline>
        </w:drawing>
      </w:r>
    </w:p>
    <w:p w14:paraId="7C595C74">
      <w:pPr>
        <w:numPr>
          <w:ilvl w:val="0"/>
          <w:numId w:val="0"/>
        </w:numPr>
        <w:spacing w:line="360" w:lineRule="auto"/>
        <w:jc w:val="center"/>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drawing>
          <wp:inline distT="0" distB="0" distL="114300" distR="114300">
            <wp:extent cx="4667250" cy="3499485"/>
            <wp:effectExtent l="0" t="0" r="0" b="5715"/>
            <wp:docPr id="17" name="图片 17" descr="7071beb11cb6dd7a677e214dc49eb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7071beb11cb6dd7a677e214dc49eb6b0"/>
                    <pic:cNvPicPr>
                      <a:picLocks noChangeAspect="1"/>
                    </pic:cNvPicPr>
                  </pic:nvPicPr>
                  <pic:blipFill>
                    <a:blip r:embed="rId15"/>
                    <a:stretch>
                      <a:fillRect/>
                    </a:stretch>
                  </pic:blipFill>
                  <pic:spPr>
                    <a:xfrm>
                      <a:off x="0" y="0"/>
                      <a:ext cx="4667250" cy="3499485"/>
                    </a:xfrm>
                    <a:prstGeom prst="rect">
                      <a:avLst/>
                    </a:prstGeom>
                  </pic:spPr>
                </pic:pic>
              </a:graphicData>
            </a:graphic>
          </wp:inline>
        </w:drawing>
      </w:r>
    </w:p>
    <w:p w14:paraId="3105F9F7">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default" w:ascii="仿宋" w:hAnsi="仿宋" w:eastAsia="仿宋" w:cs="仿宋"/>
          <w:b/>
          <w:bCs/>
          <w:color w:val="auto"/>
          <w:sz w:val="28"/>
          <w:szCs w:val="28"/>
          <w:lang w:val="en-US" w:eastAsia="zh-CN"/>
        </w:rPr>
      </w:pPr>
      <w:bookmarkStart w:id="65" w:name="_Toc5862"/>
      <w:r>
        <w:rPr>
          <w:rFonts w:hint="eastAsia" w:ascii="仿宋" w:hAnsi="仿宋" w:eastAsia="仿宋" w:cs="仿宋"/>
          <w:b/>
          <w:bCs/>
          <w:color w:val="auto"/>
          <w:sz w:val="28"/>
          <w:szCs w:val="28"/>
          <w:lang w:val="en-US" w:eastAsia="zh-CN"/>
        </w:rPr>
        <w:t>3.3西塘镇西塘社区现状</w:t>
      </w:r>
      <w:bookmarkEnd w:id="65"/>
    </w:p>
    <w:p w14:paraId="41A14F4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西塘镇建有一座污水处理厂，地块主路上建有一条DN600主污水管，根据调查部分管道已经堵塞、坍塌、污水倒流。主路北侧建筑五下已建有1200*1500砖砌排水涵，排水涵接西侧明渠雨水，社区反映原有箱涵因为居民建房时侵占了排水涵上部空间，导致排水不畅。</w:t>
      </w:r>
    </w:p>
    <w:p w14:paraId="335E6084">
      <w:pPr>
        <w:numPr>
          <w:ilvl w:val="0"/>
          <w:numId w:val="0"/>
        </w:numPr>
        <w:spacing w:line="360" w:lineRule="auto"/>
        <w:jc w:val="center"/>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drawing>
          <wp:inline distT="0" distB="0" distL="114300" distR="114300">
            <wp:extent cx="4852670" cy="3639185"/>
            <wp:effectExtent l="0" t="0" r="5080" b="18415"/>
            <wp:docPr id="14" name="图片 14" descr="54fb55f61b4ae944cc2632551181b5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54fb55f61b4ae944cc2632551181b5e7"/>
                    <pic:cNvPicPr>
                      <a:picLocks noChangeAspect="1"/>
                    </pic:cNvPicPr>
                  </pic:nvPicPr>
                  <pic:blipFill>
                    <a:blip r:embed="rId16"/>
                    <a:stretch>
                      <a:fillRect/>
                    </a:stretch>
                  </pic:blipFill>
                  <pic:spPr>
                    <a:xfrm>
                      <a:off x="0" y="0"/>
                      <a:ext cx="4852670" cy="3639185"/>
                    </a:xfrm>
                    <a:prstGeom prst="rect">
                      <a:avLst/>
                    </a:prstGeom>
                  </pic:spPr>
                </pic:pic>
              </a:graphicData>
            </a:graphic>
          </wp:inline>
        </w:drawing>
      </w:r>
    </w:p>
    <w:p w14:paraId="3A11FDED">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default" w:ascii="仿宋" w:hAnsi="仿宋" w:eastAsia="仿宋" w:cs="仿宋"/>
          <w:color w:val="auto"/>
          <w:w w:val="95"/>
          <w:sz w:val="28"/>
          <w:szCs w:val="28"/>
          <w:lang w:val="en-US" w:eastAsia="zh-CN"/>
        </w:rPr>
      </w:pPr>
      <w:bookmarkStart w:id="66" w:name="_Toc9875"/>
      <w:r>
        <w:rPr>
          <w:rFonts w:hint="eastAsia" w:ascii="仿宋" w:hAnsi="仿宋" w:eastAsia="仿宋" w:cs="仿宋"/>
          <w:b/>
          <w:bCs/>
          <w:color w:val="auto"/>
          <w:sz w:val="28"/>
          <w:szCs w:val="28"/>
          <w:lang w:val="en-US" w:eastAsia="zh-CN"/>
        </w:rPr>
        <w:t>3.4大桥新城现状</w:t>
      </w:r>
      <w:bookmarkEnd w:id="66"/>
    </w:p>
    <w:p w14:paraId="26BF063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大桥新城内部排水管网已经雨污分流，但污水支管已经出现堵塞、错位、坍塌，导致地面积水，需要清淤后重建。北侧雨水主管仅为DN300mm，排水能力小，需要更换满足排水要求的雨水管网。小区雨污水从北至南排入王家畈路市政雨污管。</w:t>
      </w:r>
    </w:p>
    <w:p w14:paraId="4D49BC0F">
      <w:pPr>
        <w:numPr>
          <w:ilvl w:val="0"/>
          <w:numId w:val="0"/>
        </w:numPr>
        <w:spacing w:line="360" w:lineRule="auto"/>
        <w:jc w:val="center"/>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drawing>
          <wp:inline distT="0" distB="0" distL="114300" distR="114300">
            <wp:extent cx="5011420" cy="4551680"/>
            <wp:effectExtent l="0" t="0" r="17780" b="1270"/>
            <wp:docPr id="15" name="图片 15" descr="e031879e76a28f44f53f2c169feb11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031879e76a28f44f53f2c169feb11bf"/>
                    <pic:cNvPicPr>
                      <a:picLocks noChangeAspect="1"/>
                    </pic:cNvPicPr>
                  </pic:nvPicPr>
                  <pic:blipFill>
                    <a:blip r:embed="rId17"/>
                    <a:stretch>
                      <a:fillRect/>
                    </a:stretch>
                  </pic:blipFill>
                  <pic:spPr>
                    <a:xfrm>
                      <a:off x="0" y="0"/>
                      <a:ext cx="5011420" cy="4551680"/>
                    </a:xfrm>
                    <a:prstGeom prst="rect">
                      <a:avLst/>
                    </a:prstGeom>
                  </pic:spPr>
                </pic:pic>
              </a:graphicData>
            </a:graphic>
          </wp:inline>
        </w:drawing>
      </w:r>
    </w:p>
    <w:p w14:paraId="2C1EA729">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default" w:ascii="仿宋" w:hAnsi="仿宋" w:eastAsia="仿宋" w:cs="仿宋"/>
          <w:b/>
          <w:bCs/>
          <w:color w:val="auto"/>
          <w:sz w:val="28"/>
          <w:szCs w:val="28"/>
          <w:lang w:val="en-US" w:eastAsia="zh-CN"/>
        </w:rPr>
      </w:pPr>
      <w:bookmarkStart w:id="67" w:name="_Toc30074"/>
      <w:r>
        <w:rPr>
          <w:rFonts w:hint="eastAsia" w:ascii="仿宋" w:hAnsi="仿宋" w:eastAsia="仿宋" w:cs="仿宋"/>
          <w:b/>
          <w:bCs/>
          <w:color w:val="auto"/>
          <w:sz w:val="28"/>
          <w:szCs w:val="28"/>
          <w:lang w:val="en-US" w:eastAsia="zh-CN"/>
        </w:rPr>
        <w:t>3.5廖家小区现状</w:t>
      </w:r>
      <w:bookmarkEnd w:id="67"/>
    </w:p>
    <w:p w14:paraId="1798A987">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32" w:firstLineChars="200"/>
        <w:textAlignment w:val="auto"/>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2018年中央环保督察“回头看”指出我市存在“城市污水管网建设普遍滞后”和“小区排水系统未接入市政管网”两个问题。2020年省环保督察“回头看”和《岳阳市贯彻落实省生态环境保护督察“回头看”及东洞庭湖生态环境保护专项督察反馈问题整改方案》指出片区污水管网建设不到位问题，要求限期整改。</w:t>
      </w:r>
    </w:p>
    <w:p w14:paraId="37186A18">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32" w:firstLineChars="200"/>
        <w:textAlignment w:val="auto"/>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高铁片区环保督察反馈问题所涉及区域主要为：分水垄中段、中门路南段、置田庄路东段、溯源路以西片区、梅溪路以北片区、中门路以东片区。</w:t>
      </w:r>
    </w:p>
    <w:p w14:paraId="59734B5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廖家小区属于溯源路北段，小区内部建有污水支管和雨水沟，但最终汇入主路中的合流管，需要新建DN600mm雨水管。污水主管因道路路基下沉，导致路面主污水管网损坏严重（经检查出现管网破损及接口错位等），需要更换满足排水要求的污水管网，另外排水沟雨水以及部分雨水口雨水均接入了污水管，需要封堵之后接入雨水管。地块内道路修建年限长，内部道路破损严重，地面经常积水，本次改造将内部道路重建。</w:t>
      </w:r>
    </w:p>
    <w:p w14:paraId="5373408A">
      <w:pPr>
        <w:numPr>
          <w:ilvl w:val="0"/>
          <w:numId w:val="0"/>
        </w:numPr>
        <w:spacing w:line="360" w:lineRule="auto"/>
        <w:jc w:val="center"/>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drawing>
          <wp:inline distT="0" distB="0" distL="114300" distR="114300">
            <wp:extent cx="4530090" cy="4129405"/>
            <wp:effectExtent l="0" t="0" r="3810" b="4445"/>
            <wp:docPr id="13" name="图片 13" descr="728df1a2d676324e12c62412da118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728df1a2d676324e12c62412da11815d"/>
                    <pic:cNvPicPr>
                      <a:picLocks noChangeAspect="1"/>
                    </pic:cNvPicPr>
                  </pic:nvPicPr>
                  <pic:blipFill>
                    <a:blip r:embed="rId18"/>
                    <a:srcRect t="7748" b="17919"/>
                    <a:stretch>
                      <a:fillRect/>
                    </a:stretch>
                  </pic:blipFill>
                  <pic:spPr>
                    <a:xfrm>
                      <a:off x="0" y="0"/>
                      <a:ext cx="4530090" cy="4129405"/>
                    </a:xfrm>
                    <a:prstGeom prst="rect">
                      <a:avLst/>
                    </a:prstGeom>
                  </pic:spPr>
                </pic:pic>
              </a:graphicData>
            </a:graphic>
          </wp:inline>
        </w:drawing>
      </w:r>
    </w:p>
    <w:p w14:paraId="688181DB">
      <w:pPr>
        <w:jc w:val="center"/>
        <w:rPr>
          <w:rFonts w:hint="eastAsia"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drawing>
          <wp:inline distT="0" distB="0" distL="114300" distR="114300">
            <wp:extent cx="2170430" cy="2896235"/>
            <wp:effectExtent l="0" t="0" r="1270" b="18415"/>
            <wp:docPr id="27" name="图片 27" descr="8be0f9471ccf6198f42c0aa4116f1c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8be0f9471ccf6198f42c0aa4116f1c39"/>
                    <pic:cNvPicPr>
                      <a:picLocks noChangeAspect="1"/>
                    </pic:cNvPicPr>
                  </pic:nvPicPr>
                  <pic:blipFill>
                    <a:blip r:embed="rId19"/>
                    <a:stretch>
                      <a:fillRect/>
                    </a:stretch>
                  </pic:blipFill>
                  <pic:spPr>
                    <a:xfrm>
                      <a:off x="0" y="0"/>
                      <a:ext cx="2170430" cy="2896235"/>
                    </a:xfrm>
                    <a:prstGeom prst="rect">
                      <a:avLst/>
                    </a:prstGeom>
                  </pic:spPr>
                </pic:pic>
              </a:graphicData>
            </a:graphic>
          </wp:inline>
        </w:drawing>
      </w:r>
    </w:p>
    <w:p w14:paraId="5BADDFE3">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68" w:name="_Toc18448"/>
      <w:r>
        <w:rPr>
          <w:rFonts w:hint="eastAsia" w:ascii="仿宋" w:hAnsi="仿宋" w:eastAsia="仿宋" w:cs="仿宋"/>
          <w:b/>
          <w:bCs/>
          <w:color w:val="auto"/>
          <w:sz w:val="28"/>
          <w:szCs w:val="28"/>
          <w:lang w:val="en-US" w:eastAsia="zh-CN"/>
        </w:rPr>
        <w:drawing>
          <wp:anchor distT="0" distB="0" distL="114300" distR="114300" simplePos="0" relativeHeight="251659264" behindDoc="0" locked="0" layoutInCell="1" allowOverlap="1">
            <wp:simplePos x="0" y="0"/>
            <wp:positionH relativeFrom="column">
              <wp:posOffset>7938770</wp:posOffset>
            </wp:positionH>
            <wp:positionV relativeFrom="paragraph">
              <wp:posOffset>165100</wp:posOffset>
            </wp:positionV>
            <wp:extent cx="4253865" cy="3190240"/>
            <wp:effectExtent l="0" t="0" r="13335" b="10160"/>
            <wp:wrapNone/>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20"/>
                    <a:stretch>
                      <a:fillRect/>
                    </a:stretch>
                  </pic:blipFill>
                  <pic:spPr>
                    <a:xfrm>
                      <a:off x="0" y="0"/>
                      <a:ext cx="4253865" cy="3190240"/>
                    </a:xfrm>
                    <a:prstGeom prst="rect">
                      <a:avLst/>
                    </a:prstGeom>
                  </pic:spPr>
                </pic:pic>
              </a:graphicData>
            </a:graphic>
          </wp:anchor>
        </w:drawing>
      </w:r>
      <w:r>
        <w:rPr>
          <w:rFonts w:hint="eastAsia" w:ascii="仿宋" w:hAnsi="仿宋" w:eastAsia="仿宋" w:cs="仿宋"/>
          <w:b/>
          <w:bCs/>
          <w:color w:val="auto"/>
          <w:sz w:val="28"/>
          <w:szCs w:val="28"/>
          <w:lang w:val="en-US" w:eastAsia="zh-CN"/>
        </w:rPr>
        <w:t>3.6瓦子坡路临时道路现状</w:t>
      </w:r>
      <w:bookmarkEnd w:id="68"/>
    </w:p>
    <w:p w14:paraId="2F8331A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临时道路于金凤桥管理处美的梧桐庄园段，道路西接分水垄路，东至溯源路。本次建设DN800mm临时雨水管188m，改造道路约260m。现状部分地面已硬化为临时地坪，部分为荒地，地面坑洼积水。地块南北为已建小区，小区污水已接入市政管网。西侧的分水垄路以及东侧的溯源路均建有市政雨污水管。</w:t>
      </w:r>
    </w:p>
    <w:p w14:paraId="24FBB4BE">
      <w:pPr>
        <w:pStyle w:val="4"/>
        <w:rPr>
          <w:rFonts w:hint="eastAsia"/>
          <w:lang w:val="en-US" w:eastAsia="zh-CN"/>
        </w:rPr>
      </w:pPr>
      <w:r>
        <w:drawing>
          <wp:anchor distT="0" distB="0" distL="114300" distR="114300" simplePos="0" relativeHeight="251660288" behindDoc="0" locked="0" layoutInCell="1" allowOverlap="1">
            <wp:simplePos x="0" y="0"/>
            <wp:positionH relativeFrom="column">
              <wp:posOffset>7946390</wp:posOffset>
            </wp:positionH>
            <wp:positionV relativeFrom="paragraph">
              <wp:posOffset>1676400</wp:posOffset>
            </wp:positionV>
            <wp:extent cx="4254500" cy="3190240"/>
            <wp:effectExtent l="0" t="0" r="12700" b="10160"/>
            <wp:wrapNone/>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21"/>
                    <a:stretch>
                      <a:fillRect/>
                    </a:stretch>
                  </pic:blipFill>
                  <pic:spPr>
                    <a:xfrm>
                      <a:off x="0" y="0"/>
                      <a:ext cx="4254500" cy="3190240"/>
                    </a:xfrm>
                    <a:prstGeom prst="rect">
                      <a:avLst/>
                    </a:prstGeom>
                  </pic:spPr>
                </pic:pic>
              </a:graphicData>
            </a:graphic>
          </wp:anchor>
        </w:drawing>
      </w:r>
      <w:r>
        <w:rPr>
          <w:rFonts w:hint="eastAsia"/>
          <w:lang w:val="en-US" w:eastAsia="zh-CN"/>
        </w:rPr>
        <w:drawing>
          <wp:inline distT="0" distB="0" distL="114300" distR="114300">
            <wp:extent cx="5619750" cy="4215130"/>
            <wp:effectExtent l="0" t="0" r="0" b="13970"/>
            <wp:docPr id="6" name="图片 6" descr="c0109f9a945c8ac8d8af4bc1e670ef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0109f9a945c8ac8d8af4bc1e670ef30"/>
                    <pic:cNvPicPr>
                      <a:picLocks noChangeAspect="1"/>
                    </pic:cNvPicPr>
                  </pic:nvPicPr>
                  <pic:blipFill>
                    <a:blip r:embed="rId22"/>
                    <a:stretch>
                      <a:fillRect/>
                    </a:stretch>
                  </pic:blipFill>
                  <pic:spPr>
                    <a:xfrm>
                      <a:off x="0" y="0"/>
                      <a:ext cx="5619750" cy="4215130"/>
                    </a:xfrm>
                    <a:prstGeom prst="rect">
                      <a:avLst/>
                    </a:prstGeom>
                  </pic:spPr>
                </pic:pic>
              </a:graphicData>
            </a:graphic>
          </wp:inline>
        </w:drawing>
      </w:r>
    </w:p>
    <w:p w14:paraId="4273FB03">
      <w:pPr>
        <w:pStyle w:val="4"/>
        <w:rPr>
          <w:rFonts w:hint="eastAsia"/>
          <w:lang w:val="en-US" w:eastAsia="zh-CN"/>
        </w:rPr>
      </w:pPr>
    </w:p>
    <w:p w14:paraId="2B7D1C17">
      <w:pPr>
        <w:pStyle w:val="4"/>
        <w:rPr>
          <w:rFonts w:hint="default"/>
          <w:lang w:val="en-US" w:eastAsia="zh-CN"/>
        </w:rPr>
        <w:sectPr>
          <w:type w:val="continuous"/>
          <w:pgSz w:w="23814" w:h="16840" w:orient="landscape"/>
          <w:pgMar w:top="1417" w:right="1134" w:bottom="1134" w:left="1701" w:header="850" w:footer="907" w:gutter="0"/>
          <w:pgBorders>
            <w:top w:val="none" w:sz="0" w:space="0"/>
            <w:left w:val="none" w:sz="0" w:space="0"/>
            <w:bottom w:val="none" w:sz="0" w:space="0"/>
            <w:right w:val="none" w:sz="0" w:space="0"/>
          </w:pgBorders>
          <w:pgNumType w:fmt="decimal"/>
          <w:cols w:space="775" w:num="2"/>
          <w:rtlGutter w:val="0"/>
          <w:docGrid w:type="lines" w:linePitch="292" w:charSpace="23644"/>
        </w:sectPr>
      </w:pPr>
    </w:p>
    <w:p w14:paraId="4659271F">
      <w:pPr>
        <w:pStyle w:val="2"/>
        <w:keepNext w:val="0"/>
        <w:keepLines w:val="0"/>
        <w:pageBreakBefore w:val="0"/>
        <w:widowControl/>
        <w:kinsoku/>
        <w:wordWrap/>
        <w:overflowPunct/>
        <w:topLinePunct w:val="0"/>
        <w:autoSpaceDE/>
        <w:autoSpaceDN/>
        <w:bidi w:val="0"/>
        <w:adjustRightInd/>
        <w:snapToGrid/>
        <w:spacing w:before="147" w:beforeLines="50" w:beforeAutospacing="0" w:after="147" w:afterLines="50" w:afterAutospacing="0" w:line="360" w:lineRule="auto"/>
        <w:jc w:val="center"/>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 </w:t>
      </w:r>
      <w:bookmarkStart w:id="69" w:name="_Toc10328"/>
      <w:r>
        <w:rPr>
          <w:rFonts w:hint="eastAsia" w:ascii="仿宋" w:hAnsi="仿宋" w:eastAsia="仿宋" w:cs="仿宋"/>
          <w:color w:val="auto"/>
          <w:sz w:val="28"/>
          <w:szCs w:val="28"/>
          <w:lang w:val="en-US" w:eastAsia="zh-CN"/>
        </w:rPr>
        <w:t>四、总体方案设计</w:t>
      </w:r>
      <w:bookmarkEnd w:id="69"/>
    </w:p>
    <w:p w14:paraId="3E9FBC3F">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70" w:name="_Toc32147"/>
      <w:r>
        <w:rPr>
          <w:rFonts w:hint="eastAsia" w:ascii="仿宋" w:hAnsi="仿宋" w:eastAsia="仿宋" w:cs="仿宋"/>
          <w:b/>
          <w:bCs/>
          <w:color w:val="auto"/>
          <w:sz w:val="28"/>
          <w:szCs w:val="28"/>
          <w:lang w:val="en-US" w:eastAsia="zh-CN"/>
        </w:rPr>
        <w:t>4.1 排水工程设计标准</w:t>
      </w:r>
      <w:bookmarkEnd w:id="70"/>
    </w:p>
    <w:p w14:paraId="10264AB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本区域排水体制为雨污分流制。</w:t>
      </w:r>
    </w:p>
    <w:p w14:paraId="2F2A8A3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排水结构设计工作年限为50年，结构安全等级二级。砌体施工质量等级为B级，混凝土结构的环境类别为二a；排水管道按7度抗震设防烈度进行设防，污水干管设防类别为乙类，其他排水管道均为丙类。</w:t>
      </w:r>
    </w:p>
    <w:p w14:paraId="769C5560">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71" w:name="_Toc24858"/>
      <w:r>
        <w:rPr>
          <w:rFonts w:hint="eastAsia" w:ascii="仿宋" w:hAnsi="仿宋" w:eastAsia="仿宋" w:cs="仿宋"/>
          <w:b/>
          <w:bCs/>
          <w:color w:val="auto"/>
          <w:sz w:val="28"/>
          <w:szCs w:val="28"/>
          <w:lang w:val="en-US" w:eastAsia="zh-CN"/>
        </w:rPr>
        <w:t>4.2 排水工程设计原则及总体思路</w:t>
      </w:r>
      <w:bookmarkEnd w:id="71"/>
    </w:p>
    <w:p w14:paraId="0BB8F940">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（1）首先保证城市排水的顺畅、安全，从全局出发，统一考虑，局部改造以优化整个城市排水系统为目的，并与城市排水总体规划一致，满足相关的国家规范、规程、标准和规定。</w:t>
      </w:r>
    </w:p>
    <w:p w14:paraId="66E510E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（2）合理确定设计参数及规模，结合现状及城市的发展，对排水量进行科学预测与计算，合理确定排水管渠的规模。</w:t>
      </w:r>
    </w:p>
    <w:p w14:paraId="3B832C96">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（3）雨水尽量遵循“分散出口，就近入河”，并尽可能地减少排出口的原则，在设计暴雨频率及河道设计重现期同时发生时能重力排水。</w:t>
      </w:r>
    </w:p>
    <w:p w14:paraId="4070236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（4）排水工程设计除应符合城市和区域总体规划外，还应与排水专业规划和其它各相关专业规划相协调一致。另外，排水工程的设计应有一定适应性，应具有较长期时效性，为地区发展留有余地。</w:t>
      </w:r>
    </w:p>
    <w:p w14:paraId="29FAC51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（5）结合海绵城市建设要求，在确保城市排水防涝安全的前提下，采用渗、滞、蓄、净、用、排等措施，最大限度地实现雨水在城市区域的积存、渗透和净化，促进雨水资源的利用和生态环境保护。</w:t>
      </w:r>
    </w:p>
    <w:p w14:paraId="4CEF156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（6）根据片区地形特点及竖向设计，采取分散就近排放，做到高水高排，低水低排，使雨水管道以最短的线路按重力流直接排入河道。</w:t>
      </w:r>
    </w:p>
    <w:p w14:paraId="4A24C7B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⑺雨水口深度为1.0m。</w:t>
      </w:r>
    </w:p>
    <w:p w14:paraId="19882D8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⑻设计要求管道基础及管道附属构筑物下的地基强度应大于等于100Kpa。</w:t>
      </w:r>
    </w:p>
    <w:p w14:paraId="4277FF99">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72" w:name="_Toc6292"/>
      <w:bookmarkStart w:id="73" w:name="_Toc5540"/>
      <w:bookmarkStart w:id="74" w:name="_Toc23942"/>
      <w:bookmarkStart w:id="75" w:name="_Toc31886"/>
      <w:r>
        <w:rPr>
          <w:rFonts w:hint="eastAsia" w:ascii="仿宋" w:hAnsi="仿宋" w:eastAsia="仿宋" w:cs="仿宋"/>
          <w:b/>
          <w:bCs/>
          <w:color w:val="auto"/>
          <w:sz w:val="28"/>
          <w:szCs w:val="28"/>
          <w:lang w:val="en-US" w:eastAsia="zh-CN"/>
        </w:rPr>
        <w:t>4.3管网布置要求</w:t>
      </w:r>
      <w:bookmarkEnd w:id="72"/>
      <w:bookmarkEnd w:id="73"/>
      <w:bookmarkEnd w:id="74"/>
      <w:bookmarkEnd w:id="75"/>
    </w:p>
    <w:p w14:paraId="71E1C5D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1、工程管线之间及其与建（构）筑物之间的最小水平净距</w:t>
      </w:r>
    </w:p>
    <w:p w14:paraId="4CC0859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工程管线之间及其与建（构）筑物之间的最小水平净距应符合《城市工程管线综合规划规范》(GB50289-2016)的规定。当受道路宽度、断面以及现状工程管线位置等因素限制难以满足要求时，应根据实际情况采取安全措施后减少其最小水平净距。大于 1.6MPa 的燃气管线与其他管线的水平净距应按现行国家标准《城镇燃气设计规范》GB50028 执行。</w:t>
      </w:r>
    </w:p>
    <w:p w14:paraId="60EE940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2、工程管线的最小覆土深度</w:t>
      </w:r>
    </w:p>
    <w:p w14:paraId="31D1EDD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按照《城市工程管线综合规划规范》(GB50289-2016)，严寒或寒冷地区给水、排水、再生水、直埋电力及湿燃气等工程管线应根据土壤冰冻深度确定管线覆土深度；非直埋电力、通信、热力及干燃气等工程管线及严寒或寒冷地区以外地区的工程管线应根据土壤性质和地面承受荷载的大小确定管线的覆土深度。</w:t>
      </w:r>
    </w:p>
    <w:p w14:paraId="4A5B9C8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3、工程管线交叉时的最小垂直净距</w:t>
      </w:r>
    </w:p>
    <w:p w14:paraId="1CCF276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工程管线交叉时的最小垂直净距，应符合《城市工程管线综合规划规范》(GB50289-2016)的规定。当受现状工程管线等因素限制难以满足要求时，应根据实际情况采取安全措施后减少其最小垂直净距。</w:t>
      </w:r>
    </w:p>
    <w:p w14:paraId="4B01BC5C">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76" w:name="_Toc18700"/>
      <w:r>
        <w:rPr>
          <w:rFonts w:hint="eastAsia" w:ascii="仿宋" w:hAnsi="仿宋" w:eastAsia="仿宋" w:cs="仿宋"/>
          <w:b/>
          <w:bCs/>
          <w:color w:val="auto"/>
          <w:sz w:val="28"/>
          <w:szCs w:val="28"/>
          <w:lang w:val="en-US" w:eastAsia="zh-CN"/>
        </w:rPr>
        <w:t>4.4雨水工程</w:t>
      </w:r>
      <w:bookmarkEnd w:id="76"/>
    </w:p>
    <w:p w14:paraId="7CE7FFC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（1）雨水管道设计参数如下</w:t>
      </w:r>
    </w:p>
    <w:p w14:paraId="3FD71B5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本次雨水量计算采用最新2015年岳阳市城管局公布的暴雨强度公式（设计重现期为P≥2年）：</w:t>
      </w:r>
    </w:p>
    <w:p w14:paraId="39FE13DB">
      <w:pPr>
        <w:spacing w:line="360" w:lineRule="auto"/>
        <w:jc w:val="center"/>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drawing>
          <wp:inline distT="0" distB="0" distL="114300" distR="114300">
            <wp:extent cx="1765300" cy="499745"/>
            <wp:effectExtent l="0" t="0" r="6350" b="152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3"/>
                    <a:stretch>
                      <a:fillRect/>
                    </a:stretch>
                  </pic:blipFill>
                  <pic:spPr>
                    <a:xfrm>
                      <a:off x="0" y="0"/>
                      <a:ext cx="1765300" cy="499745"/>
                    </a:xfrm>
                    <a:prstGeom prst="rect">
                      <a:avLst/>
                    </a:prstGeom>
                    <a:noFill/>
                    <a:ln>
                      <a:noFill/>
                    </a:ln>
                  </pic:spPr>
                </pic:pic>
              </a:graphicData>
            </a:graphic>
          </wp:inline>
        </w:drawing>
      </w:r>
    </w:p>
    <w:p w14:paraId="0309B12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式中： P--设计重现期（年）依据《室外排水设计标准》（GB50014-2021），该项目位于岳阳楼区，本工程按“中等城市和小城市、中心城区”选取排水涵设计重现期为P=3年。</w:t>
      </w:r>
    </w:p>
    <w:p w14:paraId="5633F6A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      q --暴雨强度（L/s•hm</w:t>
      </w:r>
      <w:r>
        <w:rPr>
          <w:rFonts w:hint="eastAsia" w:ascii="仿宋" w:hAnsi="仿宋" w:eastAsia="仿宋" w:cs="仿宋"/>
          <w:color w:val="auto"/>
          <w:w w:val="95"/>
          <w:sz w:val="28"/>
          <w:szCs w:val="28"/>
          <w:vertAlign w:val="superscript"/>
          <w:lang w:val="en-US" w:eastAsia="zh-CN"/>
        </w:rPr>
        <w:t>2</w:t>
      </w:r>
      <w:r>
        <w:rPr>
          <w:rFonts w:hint="eastAsia" w:ascii="仿宋" w:hAnsi="仿宋" w:eastAsia="仿宋" w:cs="仿宋"/>
          <w:color w:val="auto"/>
          <w:w w:val="95"/>
          <w:sz w:val="28"/>
          <w:szCs w:val="28"/>
          <w:lang w:val="en-US" w:eastAsia="zh-CN"/>
        </w:rPr>
        <w:t>）</w:t>
      </w:r>
    </w:p>
    <w:p w14:paraId="17079CF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      t --降雨历时（min）。</w:t>
      </w:r>
    </w:p>
    <w:p w14:paraId="237BAC7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径流量系数根据用地性质和建筑密集度的不同而变化，几种不同性质区域的综合径流系数见下表：</w:t>
      </w:r>
    </w:p>
    <w:tbl>
      <w:tblPr>
        <w:tblStyle w:val="19"/>
        <w:tblW w:w="5811" w:type="dxa"/>
        <w:jc w:val="center"/>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04"/>
        <w:gridCol w:w="3008"/>
        <w:gridCol w:w="1899"/>
      </w:tblGrid>
      <w:tr w14:paraId="1E8575C9">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904" w:type="dxa"/>
            <w:tcBorders>
              <w:top w:val="single" w:color="auto" w:sz="4" w:space="0"/>
              <w:left w:val="single" w:color="auto" w:sz="4" w:space="0"/>
              <w:bottom w:val="single" w:color="auto" w:sz="4" w:space="0"/>
              <w:right w:val="single" w:color="auto" w:sz="4" w:space="0"/>
            </w:tcBorders>
            <w:noWrap w:val="0"/>
            <w:vAlign w:val="center"/>
          </w:tcPr>
          <w:p w14:paraId="037BE6FA">
            <w:pPr>
              <w:spacing w:line="360" w:lineRule="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序号</w:t>
            </w:r>
          </w:p>
        </w:tc>
        <w:tc>
          <w:tcPr>
            <w:tcW w:w="3008" w:type="dxa"/>
            <w:tcBorders>
              <w:top w:val="single" w:color="auto" w:sz="4" w:space="0"/>
              <w:left w:val="single" w:color="auto" w:sz="4" w:space="0"/>
              <w:bottom w:val="single" w:color="auto" w:sz="4" w:space="0"/>
              <w:right w:val="single" w:color="auto" w:sz="4" w:space="0"/>
            </w:tcBorders>
            <w:noWrap w:val="0"/>
            <w:vAlign w:val="center"/>
          </w:tcPr>
          <w:p w14:paraId="7D84D379">
            <w:pPr>
              <w:spacing w:line="360" w:lineRule="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区域性质</w:t>
            </w:r>
          </w:p>
        </w:tc>
        <w:tc>
          <w:tcPr>
            <w:tcW w:w="1899" w:type="dxa"/>
            <w:tcBorders>
              <w:top w:val="single" w:color="auto" w:sz="4" w:space="0"/>
              <w:left w:val="single" w:color="auto" w:sz="4" w:space="0"/>
              <w:bottom w:val="single" w:color="auto" w:sz="4" w:space="0"/>
              <w:right w:val="single" w:color="auto" w:sz="4" w:space="0"/>
            </w:tcBorders>
            <w:noWrap w:val="0"/>
            <w:vAlign w:val="center"/>
          </w:tcPr>
          <w:p w14:paraId="16D186B3">
            <w:pPr>
              <w:spacing w:line="360" w:lineRule="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综合径流系数</w:t>
            </w:r>
          </w:p>
        </w:tc>
      </w:tr>
      <w:tr w14:paraId="409B7FFA">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904" w:type="dxa"/>
            <w:tcBorders>
              <w:top w:val="single" w:color="auto" w:sz="4" w:space="0"/>
              <w:left w:val="single" w:color="auto" w:sz="4" w:space="0"/>
              <w:bottom w:val="single" w:color="auto" w:sz="4" w:space="0"/>
              <w:right w:val="single" w:color="auto" w:sz="4" w:space="0"/>
            </w:tcBorders>
            <w:noWrap w:val="0"/>
            <w:vAlign w:val="center"/>
          </w:tcPr>
          <w:p w14:paraId="03C3150E">
            <w:pPr>
              <w:spacing w:line="360" w:lineRule="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1</w:t>
            </w:r>
          </w:p>
        </w:tc>
        <w:tc>
          <w:tcPr>
            <w:tcW w:w="3008" w:type="dxa"/>
            <w:tcBorders>
              <w:top w:val="single" w:color="auto" w:sz="4" w:space="0"/>
              <w:left w:val="single" w:color="auto" w:sz="4" w:space="0"/>
              <w:bottom w:val="single" w:color="auto" w:sz="4" w:space="0"/>
              <w:right w:val="single" w:color="auto" w:sz="4" w:space="0"/>
            </w:tcBorders>
            <w:noWrap w:val="0"/>
            <w:vAlign w:val="center"/>
          </w:tcPr>
          <w:p w14:paraId="1EBEECEF">
            <w:pPr>
              <w:spacing w:line="360" w:lineRule="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城镇建筑密集区</w:t>
            </w:r>
          </w:p>
        </w:tc>
        <w:tc>
          <w:tcPr>
            <w:tcW w:w="1899" w:type="dxa"/>
            <w:tcBorders>
              <w:top w:val="single" w:color="auto" w:sz="4" w:space="0"/>
              <w:left w:val="single" w:color="auto" w:sz="4" w:space="0"/>
              <w:bottom w:val="single" w:color="auto" w:sz="4" w:space="0"/>
              <w:right w:val="single" w:color="auto" w:sz="4" w:space="0"/>
            </w:tcBorders>
            <w:noWrap w:val="0"/>
            <w:vAlign w:val="center"/>
          </w:tcPr>
          <w:p w14:paraId="41EF3969">
            <w:pPr>
              <w:spacing w:line="360" w:lineRule="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0.60～0.70</w:t>
            </w:r>
          </w:p>
        </w:tc>
      </w:tr>
      <w:tr w14:paraId="1F490064">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904" w:type="dxa"/>
            <w:tcBorders>
              <w:top w:val="single" w:color="auto" w:sz="4" w:space="0"/>
              <w:left w:val="single" w:color="auto" w:sz="4" w:space="0"/>
              <w:bottom w:val="single" w:color="auto" w:sz="4" w:space="0"/>
              <w:right w:val="single" w:color="auto" w:sz="4" w:space="0"/>
            </w:tcBorders>
            <w:noWrap w:val="0"/>
            <w:vAlign w:val="center"/>
          </w:tcPr>
          <w:p w14:paraId="3F317858">
            <w:pPr>
              <w:spacing w:line="360" w:lineRule="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2</w:t>
            </w:r>
          </w:p>
        </w:tc>
        <w:tc>
          <w:tcPr>
            <w:tcW w:w="3008" w:type="dxa"/>
            <w:tcBorders>
              <w:top w:val="single" w:color="auto" w:sz="4" w:space="0"/>
              <w:left w:val="single" w:color="auto" w:sz="4" w:space="0"/>
              <w:bottom w:val="single" w:color="auto" w:sz="4" w:space="0"/>
              <w:right w:val="single" w:color="auto" w:sz="4" w:space="0"/>
            </w:tcBorders>
            <w:noWrap w:val="0"/>
            <w:vAlign w:val="center"/>
          </w:tcPr>
          <w:p w14:paraId="1BE27F63">
            <w:pPr>
              <w:spacing w:line="360" w:lineRule="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城镇建筑较密集区</w:t>
            </w:r>
          </w:p>
        </w:tc>
        <w:tc>
          <w:tcPr>
            <w:tcW w:w="1899" w:type="dxa"/>
            <w:tcBorders>
              <w:top w:val="single" w:color="auto" w:sz="4" w:space="0"/>
              <w:left w:val="single" w:color="auto" w:sz="4" w:space="0"/>
              <w:bottom w:val="single" w:color="auto" w:sz="4" w:space="0"/>
              <w:right w:val="single" w:color="auto" w:sz="4" w:space="0"/>
            </w:tcBorders>
            <w:noWrap w:val="0"/>
            <w:vAlign w:val="center"/>
          </w:tcPr>
          <w:p w14:paraId="3CD4BB88">
            <w:pPr>
              <w:spacing w:line="360" w:lineRule="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0.45～0.60</w:t>
            </w:r>
          </w:p>
        </w:tc>
      </w:tr>
      <w:tr w14:paraId="429F1825">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904" w:type="dxa"/>
            <w:tcBorders>
              <w:top w:val="single" w:color="auto" w:sz="4" w:space="0"/>
              <w:left w:val="single" w:color="auto" w:sz="4" w:space="0"/>
              <w:bottom w:val="single" w:color="auto" w:sz="4" w:space="0"/>
              <w:right w:val="single" w:color="auto" w:sz="4" w:space="0"/>
            </w:tcBorders>
            <w:noWrap w:val="0"/>
            <w:vAlign w:val="center"/>
          </w:tcPr>
          <w:p w14:paraId="1029BF59">
            <w:pPr>
              <w:spacing w:line="360" w:lineRule="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3</w:t>
            </w:r>
          </w:p>
        </w:tc>
        <w:tc>
          <w:tcPr>
            <w:tcW w:w="3008" w:type="dxa"/>
            <w:tcBorders>
              <w:top w:val="single" w:color="auto" w:sz="4" w:space="0"/>
              <w:left w:val="single" w:color="auto" w:sz="4" w:space="0"/>
              <w:bottom w:val="single" w:color="auto" w:sz="4" w:space="0"/>
              <w:right w:val="single" w:color="auto" w:sz="4" w:space="0"/>
            </w:tcBorders>
            <w:noWrap w:val="0"/>
            <w:vAlign w:val="center"/>
          </w:tcPr>
          <w:p w14:paraId="436F6474">
            <w:pPr>
              <w:spacing w:line="360" w:lineRule="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城镇建筑稀疏区</w:t>
            </w:r>
          </w:p>
        </w:tc>
        <w:tc>
          <w:tcPr>
            <w:tcW w:w="1899" w:type="dxa"/>
            <w:tcBorders>
              <w:top w:val="single" w:color="auto" w:sz="4" w:space="0"/>
              <w:left w:val="single" w:color="auto" w:sz="4" w:space="0"/>
              <w:bottom w:val="single" w:color="auto" w:sz="4" w:space="0"/>
              <w:right w:val="single" w:color="auto" w:sz="4" w:space="0"/>
            </w:tcBorders>
            <w:noWrap w:val="0"/>
            <w:vAlign w:val="center"/>
          </w:tcPr>
          <w:p w14:paraId="25BCD424">
            <w:pPr>
              <w:spacing w:line="360" w:lineRule="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0.20～0.45</w:t>
            </w:r>
          </w:p>
        </w:tc>
      </w:tr>
    </w:tbl>
    <w:p w14:paraId="2222644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本次设计综合径流系数取0.60进行流量计算。</w:t>
      </w:r>
    </w:p>
    <w:p w14:paraId="48215D4D">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（3）雨水管线布置</w:t>
      </w:r>
    </w:p>
    <w:p w14:paraId="10103659">
      <w:pPr>
        <w:numPr>
          <w:ilvl w:val="0"/>
          <w:numId w:val="3"/>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红盾新村地块面积为2.2hm2，小区主路上已建DN600mm水泥混凝土合流管，居民楼化粪池通过DN200合流支管互相连接，管道腐蚀严重接口错位。本次改建DN600mm雨水主管124米，DN400mm雨水支管554m，DN300mm雨水支管244m，新建雨水检查井26座，雨水由北向南排入桐子岭路北侧人行道已建DN800mm雨水管。</w:t>
      </w:r>
    </w:p>
    <w:tbl>
      <w:tblPr>
        <w:tblStyle w:val="51"/>
        <w:tblW w:w="10101"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18"/>
        <w:gridCol w:w="850"/>
        <w:gridCol w:w="800"/>
        <w:gridCol w:w="800"/>
        <w:gridCol w:w="667"/>
        <w:gridCol w:w="766"/>
        <w:gridCol w:w="967"/>
        <w:gridCol w:w="900"/>
        <w:gridCol w:w="783"/>
        <w:gridCol w:w="834"/>
        <w:gridCol w:w="816"/>
      </w:tblGrid>
      <w:tr w14:paraId="7C1376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8" w:hRule="atLeast"/>
        </w:trPr>
        <w:tc>
          <w:tcPr>
            <w:tcW w:w="1918" w:type="dxa"/>
            <w:vAlign w:val="top"/>
          </w:tcPr>
          <w:p w14:paraId="076A87AB">
            <w:pPr>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snapToGrid w:val="0"/>
                <w:color w:val="000000"/>
                <w:spacing w:val="-3"/>
                <w:kern w:val="0"/>
                <w:sz w:val="24"/>
                <w:szCs w:val="24"/>
                <w:lang w:val="en-US" w:eastAsia="en-US" w:bidi="ar-SA"/>
              </w:rPr>
            </w:pPr>
          </w:p>
          <w:p w14:paraId="5546891C">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管段范围</w:t>
            </w:r>
          </w:p>
        </w:tc>
        <w:tc>
          <w:tcPr>
            <w:tcW w:w="850" w:type="dxa"/>
            <w:vAlign w:val="top"/>
          </w:tcPr>
          <w:p w14:paraId="19E3AF0D">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78"/>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转输汇水面积(ha)</w:t>
            </w:r>
          </w:p>
        </w:tc>
        <w:tc>
          <w:tcPr>
            <w:tcW w:w="800" w:type="dxa"/>
            <w:vAlign w:val="top"/>
          </w:tcPr>
          <w:p w14:paraId="3886339B">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28"/>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本段汇水面积</w:t>
            </w:r>
          </w:p>
          <w:p w14:paraId="7BA1092E">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59" w:leftChars="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(ha)</w:t>
            </w:r>
          </w:p>
        </w:tc>
        <w:tc>
          <w:tcPr>
            <w:tcW w:w="800" w:type="dxa"/>
            <w:vAlign w:val="top"/>
          </w:tcPr>
          <w:p w14:paraId="0F607369">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总汇水面积(ha)</w:t>
            </w:r>
          </w:p>
        </w:tc>
        <w:tc>
          <w:tcPr>
            <w:tcW w:w="667" w:type="dxa"/>
            <w:vAlign w:val="top"/>
          </w:tcPr>
          <w:p w14:paraId="3FC05CB6">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38"/>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集水时间t(min)</w:t>
            </w:r>
          </w:p>
        </w:tc>
        <w:tc>
          <w:tcPr>
            <w:tcW w:w="766" w:type="dxa"/>
            <w:vAlign w:val="top"/>
          </w:tcPr>
          <w:p w14:paraId="339E5444">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right="127" w:rightChars="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管径 （mm)</w:t>
            </w:r>
          </w:p>
        </w:tc>
        <w:tc>
          <w:tcPr>
            <w:tcW w:w="967" w:type="dxa"/>
            <w:vAlign w:val="top"/>
          </w:tcPr>
          <w:p w14:paraId="01246693">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83" w:leftChars="0" w:right="144" w:rightChars="0" w:firstLine="13" w:firstLineChars="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暴雨强度 (L/s·ha)</w:t>
            </w:r>
          </w:p>
        </w:tc>
        <w:tc>
          <w:tcPr>
            <w:tcW w:w="900" w:type="dxa"/>
            <w:vAlign w:val="top"/>
          </w:tcPr>
          <w:p w14:paraId="23151C7E">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9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zh-CN" w:bidi="ar-SA"/>
              </w:rPr>
              <w:t>设计</w:t>
            </w:r>
            <w:r>
              <w:rPr>
                <w:rFonts w:hint="eastAsia" w:ascii="仿宋" w:hAnsi="仿宋" w:eastAsia="仿宋" w:cs="仿宋"/>
                <w:snapToGrid w:val="0"/>
                <w:color w:val="000000"/>
                <w:spacing w:val="-3"/>
                <w:kern w:val="0"/>
                <w:sz w:val="24"/>
                <w:szCs w:val="24"/>
                <w:lang w:val="en-US" w:eastAsia="en-US" w:bidi="ar-SA"/>
              </w:rPr>
              <w:t>降雨量（L/S）</w:t>
            </w:r>
          </w:p>
        </w:tc>
        <w:tc>
          <w:tcPr>
            <w:tcW w:w="783" w:type="dxa"/>
            <w:vAlign w:val="top"/>
          </w:tcPr>
          <w:p w14:paraId="683A1F06">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right="24" w:rightChars="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过流能  力（L/S）</w:t>
            </w:r>
          </w:p>
        </w:tc>
        <w:tc>
          <w:tcPr>
            <w:tcW w:w="834" w:type="dxa"/>
            <w:vAlign w:val="top"/>
          </w:tcPr>
          <w:p w14:paraId="708127FA">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78"/>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管道坡度</w:t>
            </w:r>
          </w:p>
          <w:p w14:paraId="5D339955">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78"/>
              <w:jc w:val="center"/>
              <w:textAlignment w:val="baseline"/>
              <w:rPr>
                <w:rFonts w:hint="eastAsia" w:ascii="仿宋" w:hAnsi="仿宋" w:eastAsia="仿宋" w:cs="仿宋"/>
                <w:snapToGrid w:val="0"/>
                <w:color w:val="000000"/>
                <w:spacing w:val="-3"/>
                <w:kern w:val="0"/>
                <w:sz w:val="24"/>
                <w:szCs w:val="24"/>
                <w:lang w:val="en-US" w:eastAsia="zh-CN" w:bidi="ar-SA"/>
              </w:rPr>
            </w:pPr>
            <w:r>
              <w:rPr>
                <w:rFonts w:hint="eastAsia" w:ascii="仿宋" w:hAnsi="仿宋" w:eastAsia="仿宋" w:cs="仿宋"/>
                <w:snapToGrid w:val="0"/>
                <w:color w:val="000000"/>
                <w:spacing w:val="-3"/>
                <w:kern w:val="0"/>
                <w:sz w:val="24"/>
                <w:szCs w:val="24"/>
                <w:lang w:val="en-US" w:eastAsia="zh-CN" w:bidi="ar-SA"/>
              </w:rPr>
              <w:t>(‰)</w:t>
            </w:r>
          </w:p>
        </w:tc>
        <w:tc>
          <w:tcPr>
            <w:tcW w:w="816" w:type="dxa"/>
            <w:vAlign w:val="top"/>
          </w:tcPr>
          <w:p w14:paraId="345F178F">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78"/>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流速 (m/s)</w:t>
            </w:r>
          </w:p>
        </w:tc>
      </w:tr>
      <w:tr w14:paraId="0CEA6D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16" w:hRule="atLeast"/>
        </w:trPr>
        <w:tc>
          <w:tcPr>
            <w:tcW w:w="1918" w:type="dxa"/>
            <w:vAlign w:val="top"/>
          </w:tcPr>
          <w:p w14:paraId="2AE6E399">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红盾新村</w:t>
            </w:r>
          </w:p>
        </w:tc>
        <w:tc>
          <w:tcPr>
            <w:tcW w:w="850" w:type="dxa"/>
            <w:vAlign w:val="top"/>
          </w:tcPr>
          <w:p w14:paraId="55C0D860">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45" w:leftChars="0"/>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0</w:t>
            </w:r>
          </w:p>
        </w:tc>
        <w:tc>
          <w:tcPr>
            <w:tcW w:w="800" w:type="dxa"/>
            <w:vAlign w:val="top"/>
          </w:tcPr>
          <w:p w14:paraId="722E0876">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29" w:leftChars="0"/>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2.2</w:t>
            </w:r>
          </w:p>
        </w:tc>
        <w:tc>
          <w:tcPr>
            <w:tcW w:w="800" w:type="dxa"/>
            <w:vAlign w:val="top"/>
          </w:tcPr>
          <w:p w14:paraId="5E69CED5">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46" w:leftChars="0"/>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2.2</w:t>
            </w:r>
          </w:p>
        </w:tc>
        <w:tc>
          <w:tcPr>
            <w:tcW w:w="667" w:type="dxa"/>
            <w:vAlign w:val="top"/>
          </w:tcPr>
          <w:p w14:paraId="1F0D66C6">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15</w:t>
            </w:r>
          </w:p>
        </w:tc>
        <w:tc>
          <w:tcPr>
            <w:tcW w:w="766" w:type="dxa"/>
            <w:vAlign w:val="top"/>
          </w:tcPr>
          <w:p w14:paraId="54FDB592">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600</w:t>
            </w:r>
          </w:p>
        </w:tc>
        <w:tc>
          <w:tcPr>
            <w:tcW w:w="967" w:type="dxa"/>
            <w:vAlign w:val="top"/>
          </w:tcPr>
          <w:p w14:paraId="74C2E8B5">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 xml:space="preserve">268.380 </w:t>
            </w:r>
          </w:p>
        </w:tc>
        <w:tc>
          <w:tcPr>
            <w:tcW w:w="900" w:type="dxa"/>
            <w:vAlign w:val="top"/>
          </w:tcPr>
          <w:p w14:paraId="277B8FD9">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 xml:space="preserve">354.26 </w:t>
            </w:r>
          </w:p>
        </w:tc>
        <w:tc>
          <w:tcPr>
            <w:tcW w:w="783" w:type="dxa"/>
            <w:vAlign w:val="center"/>
          </w:tcPr>
          <w:p w14:paraId="74B80BB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 xml:space="preserve">388.33 </w:t>
            </w:r>
          </w:p>
        </w:tc>
        <w:tc>
          <w:tcPr>
            <w:tcW w:w="834" w:type="dxa"/>
            <w:vAlign w:val="top"/>
          </w:tcPr>
          <w:p w14:paraId="76F09905">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4</w:t>
            </w:r>
          </w:p>
        </w:tc>
        <w:tc>
          <w:tcPr>
            <w:tcW w:w="816" w:type="dxa"/>
            <w:vAlign w:val="top"/>
          </w:tcPr>
          <w:p w14:paraId="53BAC654">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90" w:leftChars="0"/>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1.373</w:t>
            </w:r>
          </w:p>
        </w:tc>
      </w:tr>
    </w:tbl>
    <w:p w14:paraId="393CC516">
      <w:pPr>
        <w:numPr>
          <w:ilvl w:val="0"/>
          <w:numId w:val="0"/>
        </w:numPr>
        <w:spacing w:line="360" w:lineRule="auto"/>
        <w:rPr>
          <w:rFonts w:hint="eastAsia" w:ascii="仿宋" w:hAnsi="仿宋" w:eastAsia="仿宋" w:cs="仿宋"/>
          <w:color w:val="auto"/>
          <w:w w:val="95"/>
          <w:sz w:val="28"/>
          <w:szCs w:val="28"/>
          <w:lang w:val="en-US" w:eastAsia="zh-CN"/>
        </w:rPr>
      </w:pPr>
    </w:p>
    <w:p w14:paraId="26705D36">
      <w:pPr>
        <w:numPr>
          <w:ilvl w:val="0"/>
          <w:numId w:val="0"/>
        </w:numPr>
        <w:spacing w:line="360" w:lineRule="auto"/>
        <w:jc w:val="center"/>
        <w:rPr>
          <w:rFonts w:hint="eastAsia" w:ascii="仿宋" w:hAnsi="仿宋" w:eastAsia="仿宋" w:cs="仿宋"/>
          <w:color w:val="auto"/>
          <w:w w:val="95"/>
          <w:sz w:val="28"/>
          <w:szCs w:val="28"/>
          <w:lang w:val="en-US" w:eastAsia="zh-CN"/>
        </w:rPr>
      </w:pPr>
      <w:r>
        <w:drawing>
          <wp:inline distT="0" distB="0" distL="114300" distR="114300">
            <wp:extent cx="6403340" cy="4074795"/>
            <wp:effectExtent l="0" t="0" r="16510" b="1905"/>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1"/>
                    </pic:cNvPicPr>
                  </pic:nvPicPr>
                  <pic:blipFill>
                    <a:blip r:embed="rId24"/>
                    <a:stretch>
                      <a:fillRect/>
                    </a:stretch>
                  </pic:blipFill>
                  <pic:spPr>
                    <a:xfrm>
                      <a:off x="0" y="0"/>
                      <a:ext cx="6403340" cy="4074795"/>
                    </a:xfrm>
                    <a:prstGeom prst="rect">
                      <a:avLst/>
                    </a:prstGeom>
                    <a:noFill/>
                    <a:ln>
                      <a:noFill/>
                    </a:ln>
                  </pic:spPr>
                </pic:pic>
              </a:graphicData>
            </a:graphic>
          </wp:inline>
        </w:drawing>
      </w:r>
    </w:p>
    <w:p w14:paraId="7F7CA7A8">
      <w:pPr>
        <w:numPr>
          <w:ilvl w:val="0"/>
          <w:numId w:val="3"/>
        </w:numPr>
        <w:spacing w:line="360" w:lineRule="auto"/>
        <w:ind w:firstLine="532" w:firstLineChars="200"/>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金凤桥办事处梅子柿社区不新建雨水管。</w:t>
      </w:r>
    </w:p>
    <w:p w14:paraId="0EDC1C61">
      <w:pPr>
        <w:numPr>
          <w:ilvl w:val="0"/>
          <w:numId w:val="3"/>
        </w:numPr>
        <w:spacing w:line="360" w:lineRule="auto"/>
        <w:ind w:firstLine="532" w:firstLineChars="200"/>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社区地势成西北高东南低，现状西侧雨水先排入2.7m宽农田段明渠，而后向东排入集镇段已建1200×1500mm排水涵，最终排入东侧现状5m宽明渠。根据地势高低及现状调查，地块汇水面积约31.33hm2，现状集镇排水涵不能满足排水需求。本次在道路下新建DN1500mm雨水主管637米，分流上游雨水。此段开挖深度大于3m，需要在沟槽两侧进行钢板桩支护，雨水由西向东排入明渠。</w:t>
      </w:r>
    </w:p>
    <w:tbl>
      <w:tblPr>
        <w:tblStyle w:val="51"/>
        <w:tblW w:w="989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96"/>
        <w:gridCol w:w="1067"/>
        <w:gridCol w:w="933"/>
        <w:gridCol w:w="1165"/>
        <w:gridCol w:w="1132"/>
        <w:gridCol w:w="1054"/>
        <w:gridCol w:w="917"/>
        <w:gridCol w:w="977"/>
        <w:gridCol w:w="955"/>
      </w:tblGrid>
      <w:tr w14:paraId="45C390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97" w:hRule="atLeast"/>
        </w:trPr>
        <w:tc>
          <w:tcPr>
            <w:tcW w:w="1696" w:type="dxa"/>
            <w:vAlign w:val="top"/>
          </w:tcPr>
          <w:p w14:paraId="09987D20">
            <w:pPr>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snapToGrid w:val="0"/>
                <w:color w:val="000000"/>
                <w:spacing w:val="-3"/>
                <w:kern w:val="0"/>
                <w:sz w:val="24"/>
                <w:szCs w:val="24"/>
                <w:lang w:val="en-US" w:eastAsia="en-US" w:bidi="ar-SA"/>
              </w:rPr>
            </w:pPr>
          </w:p>
          <w:p w14:paraId="477B73A0">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管段范围</w:t>
            </w:r>
          </w:p>
        </w:tc>
        <w:tc>
          <w:tcPr>
            <w:tcW w:w="1067" w:type="dxa"/>
            <w:vAlign w:val="top"/>
          </w:tcPr>
          <w:p w14:paraId="2F794EA4">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总汇水面积(ha)</w:t>
            </w:r>
          </w:p>
        </w:tc>
        <w:tc>
          <w:tcPr>
            <w:tcW w:w="933" w:type="dxa"/>
            <w:vAlign w:val="top"/>
          </w:tcPr>
          <w:p w14:paraId="0C23CC5F">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38"/>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集水时间t(min)</w:t>
            </w:r>
          </w:p>
        </w:tc>
        <w:tc>
          <w:tcPr>
            <w:tcW w:w="1165" w:type="dxa"/>
            <w:vAlign w:val="top"/>
          </w:tcPr>
          <w:p w14:paraId="572A5AB1">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right="127" w:rightChars="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 xml:space="preserve">管径 </w:t>
            </w:r>
          </w:p>
          <w:p w14:paraId="25D7CC15">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right="127" w:rightChars="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（mm)</w:t>
            </w:r>
          </w:p>
        </w:tc>
        <w:tc>
          <w:tcPr>
            <w:tcW w:w="1132" w:type="dxa"/>
            <w:vAlign w:val="top"/>
          </w:tcPr>
          <w:p w14:paraId="50F4BD27">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83" w:leftChars="0" w:right="144" w:rightChars="0" w:firstLine="13" w:firstLineChars="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暴雨强度 (L/s·ha)</w:t>
            </w:r>
          </w:p>
        </w:tc>
        <w:tc>
          <w:tcPr>
            <w:tcW w:w="1054" w:type="dxa"/>
            <w:vAlign w:val="top"/>
          </w:tcPr>
          <w:p w14:paraId="043F8F7E">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9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zh-CN" w:bidi="ar-SA"/>
              </w:rPr>
              <w:t>设计</w:t>
            </w:r>
            <w:r>
              <w:rPr>
                <w:rFonts w:hint="eastAsia" w:ascii="仿宋" w:hAnsi="仿宋" w:eastAsia="仿宋" w:cs="仿宋"/>
                <w:snapToGrid w:val="0"/>
                <w:color w:val="000000"/>
                <w:spacing w:val="-3"/>
                <w:kern w:val="0"/>
                <w:sz w:val="24"/>
                <w:szCs w:val="24"/>
                <w:lang w:val="en-US" w:eastAsia="en-US" w:bidi="ar-SA"/>
              </w:rPr>
              <w:t>降雨量（L/S）</w:t>
            </w:r>
          </w:p>
        </w:tc>
        <w:tc>
          <w:tcPr>
            <w:tcW w:w="917" w:type="dxa"/>
            <w:vAlign w:val="top"/>
          </w:tcPr>
          <w:p w14:paraId="045727A9">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right="24" w:rightChars="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过流能  力（L/S）</w:t>
            </w:r>
          </w:p>
        </w:tc>
        <w:tc>
          <w:tcPr>
            <w:tcW w:w="977" w:type="dxa"/>
            <w:vAlign w:val="top"/>
          </w:tcPr>
          <w:p w14:paraId="114E797F">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78"/>
              <w:jc w:val="center"/>
              <w:textAlignment w:val="baseline"/>
              <w:rPr>
                <w:rFonts w:hint="eastAsia" w:ascii="仿宋" w:hAnsi="仿宋" w:eastAsia="仿宋" w:cs="仿宋"/>
                <w:snapToGrid w:val="0"/>
                <w:color w:val="000000"/>
                <w:spacing w:val="-3"/>
                <w:kern w:val="0"/>
                <w:sz w:val="24"/>
                <w:szCs w:val="24"/>
                <w:lang w:val="en-US" w:eastAsia="zh-CN" w:bidi="ar-SA"/>
              </w:rPr>
            </w:pPr>
            <w:r>
              <w:rPr>
                <w:rFonts w:hint="eastAsia" w:ascii="仿宋" w:hAnsi="仿宋" w:eastAsia="仿宋" w:cs="仿宋"/>
                <w:snapToGrid w:val="0"/>
                <w:color w:val="000000"/>
                <w:spacing w:val="-3"/>
                <w:kern w:val="0"/>
                <w:sz w:val="24"/>
                <w:szCs w:val="24"/>
                <w:lang w:val="en-US" w:eastAsia="en-US" w:bidi="ar-SA"/>
              </w:rPr>
              <w:t>管道坡度</w:t>
            </w:r>
            <w:r>
              <w:rPr>
                <w:rFonts w:hint="eastAsia" w:ascii="仿宋" w:hAnsi="仿宋" w:eastAsia="仿宋" w:cs="仿宋"/>
                <w:snapToGrid w:val="0"/>
                <w:color w:val="000000"/>
                <w:spacing w:val="-3"/>
                <w:kern w:val="0"/>
                <w:sz w:val="24"/>
                <w:szCs w:val="24"/>
                <w:lang w:val="en-US" w:eastAsia="zh-CN" w:bidi="ar-SA"/>
              </w:rPr>
              <w:t>(‰)</w:t>
            </w:r>
          </w:p>
        </w:tc>
        <w:tc>
          <w:tcPr>
            <w:tcW w:w="955" w:type="dxa"/>
            <w:vAlign w:val="top"/>
          </w:tcPr>
          <w:p w14:paraId="0C8D04A7">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78"/>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流速 (m/s)</w:t>
            </w:r>
          </w:p>
        </w:tc>
      </w:tr>
      <w:tr w14:paraId="506A7A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1696" w:type="dxa"/>
            <w:vMerge w:val="restart"/>
            <w:vAlign w:val="top"/>
          </w:tcPr>
          <w:p w14:paraId="31729397">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西塘社区</w:t>
            </w:r>
          </w:p>
        </w:tc>
        <w:tc>
          <w:tcPr>
            <w:tcW w:w="1067" w:type="dxa"/>
            <w:vMerge w:val="restart"/>
            <w:vAlign w:val="top"/>
          </w:tcPr>
          <w:p w14:paraId="7E703397">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31.33</w:t>
            </w:r>
          </w:p>
        </w:tc>
        <w:tc>
          <w:tcPr>
            <w:tcW w:w="933" w:type="dxa"/>
            <w:vAlign w:val="top"/>
          </w:tcPr>
          <w:p w14:paraId="243EC8A9">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15</w:t>
            </w:r>
          </w:p>
        </w:tc>
        <w:tc>
          <w:tcPr>
            <w:tcW w:w="1165" w:type="dxa"/>
            <w:vAlign w:val="top"/>
          </w:tcPr>
          <w:p w14:paraId="5B152913">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1500mm管</w:t>
            </w:r>
          </w:p>
        </w:tc>
        <w:tc>
          <w:tcPr>
            <w:tcW w:w="1132" w:type="dxa"/>
            <w:vMerge w:val="restart"/>
            <w:vAlign w:val="top"/>
          </w:tcPr>
          <w:p w14:paraId="5BEF7BA8">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 xml:space="preserve">268.380 </w:t>
            </w:r>
          </w:p>
        </w:tc>
        <w:tc>
          <w:tcPr>
            <w:tcW w:w="1054" w:type="dxa"/>
            <w:vMerge w:val="restart"/>
            <w:vAlign w:val="top"/>
          </w:tcPr>
          <w:p w14:paraId="76FF1FD0">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 xml:space="preserve">5045.00 </w:t>
            </w:r>
          </w:p>
        </w:tc>
        <w:tc>
          <w:tcPr>
            <w:tcW w:w="917" w:type="dxa"/>
            <w:vAlign w:val="center"/>
          </w:tcPr>
          <w:p w14:paraId="587F3883">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 xml:space="preserve">3871.78 </w:t>
            </w:r>
          </w:p>
        </w:tc>
        <w:tc>
          <w:tcPr>
            <w:tcW w:w="977" w:type="dxa"/>
            <w:vAlign w:val="top"/>
          </w:tcPr>
          <w:p w14:paraId="7BFA1309">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3</w:t>
            </w:r>
          </w:p>
        </w:tc>
        <w:tc>
          <w:tcPr>
            <w:tcW w:w="955" w:type="dxa"/>
            <w:vAlign w:val="top"/>
          </w:tcPr>
          <w:p w14:paraId="41BB020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1.373</w:t>
            </w:r>
          </w:p>
        </w:tc>
      </w:tr>
      <w:tr w14:paraId="3C983C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6" w:hRule="atLeast"/>
        </w:trPr>
        <w:tc>
          <w:tcPr>
            <w:tcW w:w="1696" w:type="dxa"/>
            <w:vMerge w:val="continue"/>
            <w:vAlign w:val="top"/>
          </w:tcPr>
          <w:p w14:paraId="7331F90A">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p>
        </w:tc>
        <w:tc>
          <w:tcPr>
            <w:tcW w:w="1067" w:type="dxa"/>
            <w:vMerge w:val="continue"/>
            <w:vAlign w:val="top"/>
          </w:tcPr>
          <w:p w14:paraId="267167B4">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p>
        </w:tc>
        <w:tc>
          <w:tcPr>
            <w:tcW w:w="933" w:type="dxa"/>
            <w:vAlign w:val="top"/>
          </w:tcPr>
          <w:p w14:paraId="61E42F27">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p>
        </w:tc>
        <w:tc>
          <w:tcPr>
            <w:tcW w:w="1165" w:type="dxa"/>
            <w:vAlign w:val="top"/>
          </w:tcPr>
          <w:p w14:paraId="541CF25F">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1500*1200</w:t>
            </w:r>
            <w:r>
              <w:rPr>
                <w:rFonts w:hint="eastAsia" w:ascii="仿宋" w:hAnsi="仿宋" w:eastAsia="仿宋" w:cs="仿宋"/>
                <w:color w:val="auto"/>
                <w:sz w:val="24"/>
                <w:szCs w:val="24"/>
                <w:lang w:val="en-US" w:eastAsia="zh-CN"/>
              </w:rPr>
              <w:br w:type="textWrapping"/>
            </w:r>
            <w:r>
              <w:rPr>
                <w:rFonts w:hint="eastAsia" w:ascii="仿宋" w:hAnsi="仿宋" w:eastAsia="仿宋" w:cs="仿宋"/>
                <w:color w:val="auto"/>
                <w:sz w:val="24"/>
                <w:szCs w:val="24"/>
                <w:lang w:val="en-US" w:eastAsia="zh-CN"/>
              </w:rPr>
              <w:t>排水涵</w:t>
            </w:r>
          </w:p>
          <w:p w14:paraId="012F552D">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（利用）</w:t>
            </w:r>
          </w:p>
        </w:tc>
        <w:tc>
          <w:tcPr>
            <w:tcW w:w="1132" w:type="dxa"/>
            <w:vMerge w:val="continue"/>
            <w:vAlign w:val="top"/>
          </w:tcPr>
          <w:p w14:paraId="4C9ADABF">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p>
        </w:tc>
        <w:tc>
          <w:tcPr>
            <w:tcW w:w="1054" w:type="dxa"/>
            <w:vMerge w:val="continue"/>
            <w:vAlign w:val="top"/>
          </w:tcPr>
          <w:p w14:paraId="07D9CF9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p>
        </w:tc>
        <w:tc>
          <w:tcPr>
            <w:tcW w:w="917" w:type="dxa"/>
            <w:vAlign w:val="center"/>
          </w:tcPr>
          <w:p w14:paraId="660BB98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2419</w:t>
            </w:r>
          </w:p>
          <w:p w14:paraId="5654FD0F">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（0.85充满度）</w:t>
            </w:r>
          </w:p>
        </w:tc>
        <w:tc>
          <w:tcPr>
            <w:tcW w:w="977" w:type="dxa"/>
            <w:vAlign w:val="top"/>
          </w:tcPr>
          <w:p w14:paraId="084B94D5">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1.5</w:t>
            </w:r>
          </w:p>
        </w:tc>
        <w:tc>
          <w:tcPr>
            <w:tcW w:w="955" w:type="dxa"/>
            <w:vAlign w:val="top"/>
          </w:tcPr>
          <w:p w14:paraId="6E047139">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1.58</w:t>
            </w:r>
          </w:p>
        </w:tc>
      </w:tr>
    </w:tbl>
    <w:p w14:paraId="6F791047">
      <w:pPr>
        <w:numPr>
          <w:ilvl w:val="0"/>
          <w:numId w:val="0"/>
        </w:numPr>
        <w:spacing w:line="360" w:lineRule="auto"/>
        <w:jc w:val="center"/>
      </w:pPr>
    </w:p>
    <w:p w14:paraId="08838C79">
      <w:pPr>
        <w:numPr>
          <w:ilvl w:val="0"/>
          <w:numId w:val="0"/>
        </w:numPr>
        <w:spacing w:line="360" w:lineRule="auto"/>
        <w:jc w:val="center"/>
      </w:pPr>
      <w:r>
        <w:drawing>
          <wp:inline distT="0" distB="0" distL="114300" distR="114300">
            <wp:extent cx="6294120" cy="5024755"/>
            <wp:effectExtent l="0" t="0" r="11430" b="444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25"/>
                    <a:stretch>
                      <a:fillRect/>
                    </a:stretch>
                  </pic:blipFill>
                  <pic:spPr>
                    <a:xfrm>
                      <a:off x="0" y="0"/>
                      <a:ext cx="6294120" cy="5024755"/>
                    </a:xfrm>
                    <a:prstGeom prst="rect">
                      <a:avLst/>
                    </a:prstGeom>
                    <a:noFill/>
                    <a:ln>
                      <a:noFill/>
                    </a:ln>
                  </pic:spPr>
                </pic:pic>
              </a:graphicData>
            </a:graphic>
          </wp:inline>
        </w:drawing>
      </w:r>
    </w:p>
    <w:p w14:paraId="146CF4D4">
      <w:pPr>
        <w:numPr>
          <w:ilvl w:val="0"/>
          <w:numId w:val="0"/>
        </w:numPr>
        <w:spacing w:line="360" w:lineRule="auto"/>
        <w:jc w:val="center"/>
      </w:pPr>
    </w:p>
    <w:p w14:paraId="46A62B9D">
      <w:pPr>
        <w:numPr>
          <w:ilvl w:val="0"/>
          <w:numId w:val="3"/>
        </w:numPr>
        <w:spacing w:line="360" w:lineRule="auto"/>
        <w:ind w:left="0" w:leftChars="0" w:firstLine="532" w:firstLineChars="200"/>
        <w:outlineLvl w:val="9"/>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大桥新城北侧地块面积为1.4hm2，已建雨水管仅为DN300mm，本次改建DN600mm雨水主管190米，楼栋旁新建797m排水盖板沟，DN400mm雨水主管49米，DN300mm雨水主管35米，新建雨水检查井9座，雨水由东向西排入旭园路已建DN600市政雨水管。保留南侧已建雨水主管，最终由北向南接入王家畈路市政主雨水管。</w:t>
      </w:r>
    </w:p>
    <w:tbl>
      <w:tblPr>
        <w:tblStyle w:val="51"/>
        <w:tblW w:w="10101"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18"/>
        <w:gridCol w:w="850"/>
        <w:gridCol w:w="800"/>
        <w:gridCol w:w="800"/>
        <w:gridCol w:w="667"/>
        <w:gridCol w:w="766"/>
        <w:gridCol w:w="967"/>
        <w:gridCol w:w="900"/>
        <w:gridCol w:w="783"/>
        <w:gridCol w:w="834"/>
        <w:gridCol w:w="816"/>
      </w:tblGrid>
      <w:tr w14:paraId="076636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8" w:hRule="atLeast"/>
        </w:trPr>
        <w:tc>
          <w:tcPr>
            <w:tcW w:w="1918" w:type="dxa"/>
            <w:vAlign w:val="top"/>
          </w:tcPr>
          <w:p w14:paraId="26F1BB58">
            <w:pPr>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snapToGrid w:val="0"/>
                <w:color w:val="000000"/>
                <w:spacing w:val="-3"/>
                <w:kern w:val="0"/>
                <w:sz w:val="24"/>
                <w:szCs w:val="24"/>
                <w:lang w:val="en-US" w:eastAsia="en-US" w:bidi="ar-SA"/>
              </w:rPr>
            </w:pPr>
          </w:p>
          <w:p w14:paraId="0FF65FBA">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管段范围</w:t>
            </w:r>
          </w:p>
        </w:tc>
        <w:tc>
          <w:tcPr>
            <w:tcW w:w="850" w:type="dxa"/>
            <w:vAlign w:val="top"/>
          </w:tcPr>
          <w:p w14:paraId="78F3337F">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78"/>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转输汇水面积(ha)</w:t>
            </w:r>
          </w:p>
        </w:tc>
        <w:tc>
          <w:tcPr>
            <w:tcW w:w="800" w:type="dxa"/>
            <w:vAlign w:val="top"/>
          </w:tcPr>
          <w:p w14:paraId="39246A61">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28"/>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本段汇水面积</w:t>
            </w:r>
          </w:p>
          <w:p w14:paraId="72E57BED">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59" w:leftChars="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(ha)</w:t>
            </w:r>
          </w:p>
        </w:tc>
        <w:tc>
          <w:tcPr>
            <w:tcW w:w="800" w:type="dxa"/>
            <w:vAlign w:val="top"/>
          </w:tcPr>
          <w:p w14:paraId="3E746F5C">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总汇水面积(ha)</w:t>
            </w:r>
          </w:p>
        </w:tc>
        <w:tc>
          <w:tcPr>
            <w:tcW w:w="667" w:type="dxa"/>
            <w:vAlign w:val="top"/>
          </w:tcPr>
          <w:p w14:paraId="12668EA3">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38"/>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集水时间t(min)</w:t>
            </w:r>
          </w:p>
        </w:tc>
        <w:tc>
          <w:tcPr>
            <w:tcW w:w="766" w:type="dxa"/>
            <w:vAlign w:val="top"/>
          </w:tcPr>
          <w:p w14:paraId="38D431FE">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right="127" w:rightChars="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管径 （mm)</w:t>
            </w:r>
          </w:p>
        </w:tc>
        <w:tc>
          <w:tcPr>
            <w:tcW w:w="967" w:type="dxa"/>
            <w:vAlign w:val="top"/>
          </w:tcPr>
          <w:p w14:paraId="72FB9B13">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83" w:leftChars="0" w:right="144" w:rightChars="0" w:firstLine="13" w:firstLineChars="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暴雨强度 (L/s·ha)</w:t>
            </w:r>
          </w:p>
        </w:tc>
        <w:tc>
          <w:tcPr>
            <w:tcW w:w="900" w:type="dxa"/>
            <w:vAlign w:val="top"/>
          </w:tcPr>
          <w:p w14:paraId="5A9CB726">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9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zh-CN" w:bidi="ar-SA"/>
              </w:rPr>
              <w:t>设计</w:t>
            </w:r>
            <w:r>
              <w:rPr>
                <w:rFonts w:hint="eastAsia" w:ascii="仿宋" w:hAnsi="仿宋" w:eastAsia="仿宋" w:cs="仿宋"/>
                <w:snapToGrid w:val="0"/>
                <w:color w:val="000000"/>
                <w:spacing w:val="-3"/>
                <w:kern w:val="0"/>
                <w:sz w:val="24"/>
                <w:szCs w:val="24"/>
                <w:lang w:val="en-US" w:eastAsia="en-US" w:bidi="ar-SA"/>
              </w:rPr>
              <w:t>降雨量（L/S）</w:t>
            </w:r>
          </w:p>
        </w:tc>
        <w:tc>
          <w:tcPr>
            <w:tcW w:w="783" w:type="dxa"/>
            <w:vAlign w:val="top"/>
          </w:tcPr>
          <w:p w14:paraId="232D36F2">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right="24" w:rightChars="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过流能  力（L/S）</w:t>
            </w:r>
          </w:p>
        </w:tc>
        <w:tc>
          <w:tcPr>
            <w:tcW w:w="834" w:type="dxa"/>
            <w:vAlign w:val="top"/>
          </w:tcPr>
          <w:p w14:paraId="0FD1A6AD">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78"/>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管道坡度</w:t>
            </w:r>
          </w:p>
          <w:p w14:paraId="450CA9C9">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78"/>
              <w:jc w:val="center"/>
              <w:textAlignment w:val="baseline"/>
              <w:rPr>
                <w:rFonts w:hint="eastAsia" w:ascii="仿宋" w:hAnsi="仿宋" w:eastAsia="仿宋" w:cs="仿宋"/>
                <w:snapToGrid w:val="0"/>
                <w:color w:val="000000"/>
                <w:spacing w:val="-3"/>
                <w:kern w:val="0"/>
                <w:sz w:val="24"/>
                <w:szCs w:val="24"/>
                <w:lang w:val="en-US" w:eastAsia="zh-CN" w:bidi="ar-SA"/>
              </w:rPr>
            </w:pPr>
            <w:r>
              <w:rPr>
                <w:rFonts w:hint="eastAsia" w:ascii="仿宋" w:hAnsi="仿宋" w:eastAsia="仿宋" w:cs="仿宋"/>
                <w:snapToGrid w:val="0"/>
                <w:color w:val="000000"/>
                <w:spacing w:val="-3"/>
                <w:kern w:val="0"/>
                <w:sz w:val="24"/>
                <w:szCs w:val="24"/>
                <w:lang w:val="en-US" w:eastAsia="zh-CN" w:bidi="ar-SA"/>
              </w:rPr>
              <w:t>(‰)</w:t>
            </w:r>
          </w:p>
        </w:tc>
        <w:tc>
          <w:tcPr>
            <w:tcW w:w="816" w:type="dxa"/>
            <w:vAlign w:val="top"/>
          </w:tcPr>
          <w:p w14:paraId="47DD042D">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78"/>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流速 (m/s)</w:t>
            </w:r>
          </w:p>
        </w:tc>
      </w:tr>
      <w:tr w14:paraId="21E020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16" w:hRule="atLeast"/>
        </w:trPr>
        <w:tc>
          <w:tcPr>
            <w:tcW w:w="1918" w:type="dxa"/>
            <w:vAlign w:val="top"/>
          </w:tcPr>
          <w:p w14:paraId="5F7A047C">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大桥新城</w:t>
            </w:r>
          </w:p>
        </w:tc>
        <w:tc>
          <w:tcPr>
            <w:tcW w:w="850" w:type="dxa"/>
            <w:vAlign w:val="top"/>
          </w:tcPr>
          <w:p w14:paraId="0B9A2690">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45" w:leftChars="0"/>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0</w:t>
            </w:r>
          </w:p>
        </w:tc>
        <w:tc>
          <w:tcPr>
            <w:tcW w:w="800" w:type="dxa"/>
            <w:vAlign w:val="top"/>
          </w:tcPr>
          <w:p w14:paraId="1A397E49">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29" w:leftChars="0"/>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1.4</w:t>
            </w:r>
          </w:p>
        </w:tc>
        <w:tc>
          <w:tcPr>
            <w:tcW w:w="800" w:type="dxa"/>
            <w:vAlign w:val="top"/>
          </w:tcPr>
          <w:p w14:paraId="70611980">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46" w:leftChars="0"/>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1.4</w:t>
            </w:r>
          </w:p>
        </w:tc>
        <w:tc>
          <w:tcPr>
            <w:tcW w:w="667" w:type="dxa"/>
            <w:vAlign w:val="top"/>
          </w:tcPr>
          <w:p w14:paraId="6133204D">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15</w:t>
            </w:r>
          </w:p>
        </w:tc>
        <w:tc>
          <w:tcPr>
            <w:tcW w:w="766" w:type="dxa"/>
            <w:vAlign w:val="top"/>
          </w:tcPr>
          <w:p w14:paraId="4935483D">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600</w:t>
            </w:r>
          </w:p>
        </w:tc>
        <w:tc>
          <w:tcPr>
            <w:tcW w:w="967" w:type="dxa"/>
            <w:vAlign w:val="top"/>
          </w:tcPr>
          <w:p w14:paraId="29D81EC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 xml:space="preserve">268.380 </w:t>
            </w:r>
          </w:p>
        </w:tc>
        <w:tc>
          <w:tcPr>
            <w:tcW w:w="900" w:type="dxa"/>
            <w:vAlign w:val="top"/>
          </w:tcPr>
          <w:p w14:paraId="09DBB7E0">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kern w:val="2"/>
                <w:sz w:val="24"/>
                <w:szCs w:val="24"/>
                <w:lang w:val="en-US" w:eastAsia="zh-CN" w:bidi="ar-SA"/>
              </w:rPr>
            </w:pPr>
            <w:r>
              <w:rPr>
                <w:rFonts w:hint="eastAsia" w:ascii="仿宋" w:hAnsi="仿宋" w:eastAsia="仿宋" w:cs="仿宋"/>
                <w:color w:val="auto"/>
                <w:sz w:val="24"/>
                <w:szCs w:val="24"/>
                <w:lang w:val="en-US" w:eastAsia="zh-CN"/>
              </w:rPr>
              <w:t xml:space="preserve">225.44 </w:t>
            </w:r>
          </w:p>
        </w:tc>
        <w:tc>
          <w:tcPr>
            <w:tcW w:w="783" w:type="dxa"/>
            <w:vAlign w:val="center"/>
          </w:tcPr>
          <w:p w14:paraId="48EBF81D">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kern w:val="2"/>
                <w:sz w:val="24"/>
                <w:szCs w:val="24"/>
                <w:lang w:val="en-US" w:eastAsia="zh-CN" w:bidi="ar-SA"/>
              </w:rPr>
            </w:pPr>
            <w:r>
              <w:rPr>
                <w:rFonts w:hint="eastAsia" w:ascii="仿宋" w:hAnsi="仿宋" w:eastAsia="仿宋" w:cs="仿宋"/>
                <w:color w:val="auto"/>
                <w:sz w:val="24"/>
                <w:szCs w:val="24"/>
                <w:lang w:val="en-US" w:eastAsia="zh-CN"/>
              </w:rPr>
              <w:t xml:space="preserve">336.31 </w:t>
            </w:r>
          </w:p>
        </w:tc>
        <w:tc>
          <w:tcPr>
            <w:tcW w:w="834" w:type="dxa"/>
            <w:vAlign w:val="top"/>
          </w:tcPr>
          <w:p w14:paraId="0FC546B3">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42" w:leftChars="0"/>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3</w:t>
            </w:r>
          </w:p>
        </w:tc>
        <w:tc>
          <w:tcPr>
            <w:tcW w:w="816" w:type="dxa"/>
            <w:vAlign w:val="top"/>
          </w:tcPr>
          <w:p w14:paraId="7A8E7F18">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90" w:leftChars="0"/>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1.189</w:t>
            </w:r>
          </w:p>
        </w:tc>
      </w:tr>
    </w:tbl>
    <w:p w14:paraId="0DC81C90">
      <w:pPr>
        <w:numPr>
          <w:ilvl w:val="0"/>
          <w:numId w:val="0"/>
        </w:numPr>
        <w:spacing w:line="360" w:lineRule="auto"/>
        <w:ind w:leftChars="200"/>
        <w:jc w:val="center"/>
        <w:outlineLvl w:val="9"/>
        <w:rPr>
          <w:rFonts w:hint="eastAsia" w:ascii="仿宋" w:hAnsi="仿宋" w:eastAsia="仿宋" w:cs="仿宋"/>
          <w:color w:val="auto"/>
          <w:w w:val="95"/>
          <w:sz w:val="28"/>
          <w:szCs w:val="28"/>
          <w:lang w:val="en-US" w:eastAsia="zh-CN"/>
        </w:rPr>
      </w:pPr>
      <w:r>
        <w:drawing>
          <wp:inline distT="0" distB="0" distL="114300" distR="114300">
            <wp:extent cx="3792220" cy="5762625"/>
            <wp:effectExtent l="0" t="0" r="17780" b="9525"/>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pic:cNvPicPr>
                  </pic:nvPicPr>
                  <pic:blipFill>
                    <a:blip r:embed="rId26"/>
                    <a:stretch>
                      <a:fillRect/>
                    </a:stretch>
                  </pic:blipFill>
                  <pic:spPr>
                    <a:xfrm>
                      <a:off x="0" y="0"/>
                      <a:ext cx="3792220" cy="5762625"/>
                    </a:xfrm>
                    <a:prstGeom prst="rect">
                      <a:avLst/>
                    </a:prstGeom>
                    <a:noFill/>
                    <a:ln>
                      <a:noFill/>
                    </a:ln>
                  </pic:spPr>
                </pic:pic>
              </a:graphicData>
            </a:graphic>
          </wp:inline>
        </w:drawing>
      </w:r>
    </w:p>
    <w:p w14:paraId="01A5D4C4">
      <w:pPr>
        <w:numPr>
          <w:ilvl w:val="0"/>
          <w:numId w:val="3"/>
        </w:numPr>
        <w:spacing w:line="360" w:lineRule="auto"/>
        <w:ind w:left="0" w:leftChars="0" w:firstLine="532" w:firstLineChars="200"/>
        <w:outlineLvl w:val="9"/>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廖家小区面积为5.03hm2，原有雨水大部分接入了污水管。本次改造在内部道路下新建DN600mm雨水主管546米，DN300mm雨水支管1277米，，新建雨水检查井21座，雨水由北向南排入已建DN1000市政雨水管。</w:t>
      </w:r>
    </w:p>
    <w:tbl>
      <w:tblPr>
        <w:tblStyle w:val="51"/>
        <w:tblW w:w="10101"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64"/>
        <w:gridCol w:w="850"/>
        <w:gridCol w:w="983"/>
        <w:gridCol w:w="900"/>
        <w:gridCol w:w="900"/>
        <w:gridCol w:w="650"/>
        <w:gridCol w:w="1121"/>
        <w:gridCol w:w="900"/>
        <w:gridCol w:w="912"/>
        <w:gridCol w:w="705"/>
        <w:gridCol w:w="816"/>
      </w:tblGrid>
      <w:tr w14:paraId="21D5DF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8" w:hRule="atLeast"/>
        </w:trPr>
        <w:tc>
          <w:tcPr>
            <w:tcW w:w="1364" w:type="dxa"/>
            <w:vAlign w:val="top"/>
          </w:tcPr>
          <w:p w14:paraId="33618D65">
            <w:pPr>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snapToGrid w:val="0"/>
                <w:color w:val="000000"/>
                <w:spacing w:val="-3"/>
                <w:kern w:val="0"/>
                <w:sz w:val="24"/>
                <w:szCs w:val="24"/>
                <w:lang w:val="en-US" w:eastAsia="en-US" w:bidi="ar-SA"/>
              </w:rPr>
            </w:pPr>
          </w:p>
          <w:p w14:paraId="490F2126">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管段范围</w:t>
            </w:r>
          </w:p>
        </w:tc>
        <w:tc>
          <w:tcPr>
            <w:tcW w:w="850" w:type="dxa"/>
            <w:vAlign w:val="top"/>
          </w:tcPr>
          <w:p w14:paraId="745DA273">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78"/>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转输汇水面积(ha)</w:t>
            </w:r>
          </w:p>
        </w:tc>
        <w:tc>
          <w:tcPr>
            <w:tcW w:w="983" w:type="dxa"/>
            <w:vAlign w:val="top"/>
          </w:tcPr>
          <w:p w14:paraId="30742B66">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28"/>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本段汇水面积</w:t>
            </w:r>
          </w:p>
          <w:p w14:paraId="7ECD057E">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59" w:leftChars="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(ha)</w:t>
            </w:r>
          </w:p>
        </w:tc>
        <w:tc>
          <w:tcPr>
            <w:tcW w:w="900" w:type="dxa"/>
            <w:vAlign w:val="top"/>
          </w:tcPr>
          <w:p w14:paraId="015C1E7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总汇水面积(ha)</w:t>
            </w:r>
          </w:p>
        </w:tc>
        <w:tc>
          <w:tcPr>
            <w:tcW w:w="900" w:type="dxa"/>
            <w:vAlign w:val="top"/>
          </w:tcPr>
          <w:p w14:paraId="4DEF76AA">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38"/>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集水时间t(min)</w:t>
            </w:r>
          </w:p>
        </w:tc>
        <w:tc>
          <w:tcPr>
            <w:tcW w:w="650" w:type="dxa"/>
            <w:vAlign w:val="top"/>
          </w:tcPr>
          <w:p w14:paraId="2825856E">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right="127" w:rightChars="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管径 （mm)</w:t>
            </w:r>
          </w:p>
        </w:tc>
        <w:tc>
          <w:tcPr>
            <w:tcW w:w="1121" w:type="dxa"/>
            <w:vAlign w:val="top"/>
          </w:tcPr>
          <w:p w14:paraId="448FA84A">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83" w:leftChars="0" w:right="144" w:rightChars="0" w:firstLine="13" w:firstLineChars="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暴雨强度 (L/s·ha)</w:t>
            </w:r>
          </w:p>
        </w:tc>
        <w:tc>
          <w:tcPr>
            <w:tcW w:w="900" w:type="dxa"/>
            <w:vAlign w:val="top"/>
          </w:tcPr>
          <w:p w14:paraId="0AE74A3E">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9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zh-CN" w:bidi="ar-SA"/>
              </w:rPr>
              <w:t>设计</w:t>
            </w:r>
            <w:r>
              <w:rPr>
                <w:rFonts w:hint="eastAsia" w:ascii="仿宋" w:hAnsi="仿宋" w:eastAsia="仿宋" w:cs="仿宋"/>
                <w:snapToGrid w:val="0"/>
                <w:color w:val="000000"/>
                <w:spacing w:val="-3"/>
                <w:kern w:val="0"/>
                <w:sz w:val="24"/>
                <w:szCs w:val="24"/>
                <w:lang w:val="en-US" w:eastAsia="en-US" w:bidi="ar-SA"/>
              </w:rPr>
              <w:t>降雨量（L/S）</w:t>
            </w:r>
          </w:p>
        </w:tc>
        <w:tc>
          <w:tcPr>
            <w:tcW w:w="912" w:type="dxa"/>
            <w:vAlign w:val="top"/>
          </w:tcPr>
          <w:p w14:paraId="3F87AD95">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right="24" w:rightChars="0"/>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过流能  力（L/S）</w:t>
            </w:r>
          </w:p>
        </w:tc>
        <w:tc>
          <w:tcPr>
            <w:tcW w:w="705" w:type="dxa"/>
            <w:vAlign w:val="top"/>
          </w:tcPr>
          <w:p w14:paraId="21CA1E0A">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78"/>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管道坡度</w:t>
            </w:r>
          </w:p>
          <w:p w14:paraId="67D76980">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78"/>
              <w:jc w:val="center"/>
              <w:textAlignment w:val="baseline"/>
              <w:rPr>
                <w:rFonts w:hint="eastAsia" w:ascii="仿宋" w:hAnsi="仿宋" w:eastAsia="仿宋" w:cs="仿宋"/>
                <w:snapToGrid w:val="0"/>
                <w:color w:val="000000"/>
                <w:spacing w:val="-3"/>
                <w:kern w:val="0"/>
                <w:sz w:val="24"/>
                <w:szCs w:val="24"/>
                <w:lang w:val="en-US" w:eastAsia="zh-CN" w:bidi="ar-SA"/>
              </w:rPr>
            </w:pPr>
            <w:r>
              <w:rPr>
                <w:rFonts w:hint="eastAsia" w:ascii="仿宋" w:hAnsi="仿宋" w:eastAsia="仿宋" w:cs="仿宋"/>
                <w:snapToGrid w:val="0"/>
                <w:color w:val="000000"/>
                <w:spacing w:val="-3"/>
                <w:kern w:val="0"/>
                <w:sz w:val="24"/>
                <w:szCs w:val="24"/>
                <w:lang w:val="en-US" w:eastAsia="zh-CN" w:bidi="ar-SA"/>
              </w:rPr>
              <w:t>(‰)</w:t>
            </w:r>
          </w:p>
        </w:tc>
        <w:tc>
          <w:tcPr>
            <w:tcW w:w="816" w:type="dxa"/>
            <w:vAlign w:val="top"/>
          </w:tcPr>
          <w:p w14:paraId="630BA5E3">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78"/>
              <w:jc w:val="center"/>
              <w:textAlignment w:val="baseline"/>
              <w:rPr>
                <w:rFonts w:hint="eastAsia" w:ascii="仿宋" w:hAnsi="仿宋" w:eastAsia="仿宋" w:cs="仿宋"/>
                <w:snapToGrid w:val="0"/>
                <w:color w:val="000000"/>
                <w:spacing w:val="-3"/>
                <w:kern w:val="0"/>
                <w:sz w:val="24"/>
                <w:szCs w:val="24"/>
                <w:lang w:val="en-US" w:eastAsia="en-US" w:bidi="ar-SA"/>
              </w:rPr>
            </w:pPr>
            <w:r>
              <w:rPr>
                <w:rFonts w:hint="eastAsia" w:ascii="仿宋" w:hAnsi="仿宋" w:eastAsia="仿宋" w:cs="仿宋"/>
                <w:snapToGrid w:val="0"/>
                <w:color w:val="000000"/>
                <w:spacing w:val="-3"/>
                <w:kern w:val="0"/>
                <w:sz w:val="24"/>
                <w:szCs w:val="24"/>
                <w:lang w:val="en-US" w:eastAsia="en-US" w:bidi="ar-SA"/>
              </w:rPr>
              <w:t>流速 (m/s)</w:t>
            </w:r>
          </w:p>
        </w:tc>
      </w:tr>
      <w:tr w14:paraId="3C1AAB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64" w:type="dxa"/>
            <w:vAlign w:val="top"/>
          </w:tcPr>
          <w:p w14:paraId="05D5E0A0">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A</w:t>
            </w:r>
          </w:p>
        </w:tc>
        <w:tc>
          <w:tcPr>
            <w:tcW w:w="850" w:type="dxa"/>
            <w:vAlign w:val="top"/>
          </w:tcPr>
          <w:p w14:paraId="0FF1BAAC">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45" w:leftChars="0"/>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0</w:t>
            </w:r>
          </w:p>
        </w:tc>
        <w:tc>
          <w:tcPr>
            <w:tcW w:w="983" w:type="dxa"/>
            <w:vAlign w:val="top"/>
          </w:tcPr>
          <w:p w14:paraId="4AE2DEFB">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29" w:leftChars="0"/>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2.77</w:t>
            </w:r>
          </w:p>
        </w:tc>
        <w:tc>
          <w:tcPr>
            <w:tcW w:w="900" w:type="dxa"/>
            <w:vAlign w:val="top"/>
          </w:tcPr>
          <w:p w14:paraId="2FECD4E7">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46" w:leftChars="0"/>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2.77</w:t>
            </w:r>
          </w:p>
        </w:tc>
        <w:tc>
          <w:tcPr>
            <w:tcW w:w="900" w:type="dxa"/>
            <w:vAlign w:val="top"/>
          </w:tcPr>
          <w:p w14:paraId="177359ED">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15</w:t>
            </w:r>
          </w:p>
        </w:tc>
        <w:tc>
          <w:tcPr>
            <w:tcW w:w="650" w:type="dxa"/>
            <w:vAlign w:val="top"/>
          </w:tcPr>
          <w:p w14:paraId="678DB031">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600</w:t>
            </w:r>
          </w:p>
        </w:tc>
        <w:tc>
          <w:tcPr>
            <w:tcW w:w="1121" w:type="dxa"/>
            <w:vAlign w:val="top"/>
          </w:tcPr>
          <w:p w14:paraId="1F0403DF">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29" w:leftChars="0"/>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 xml:space="preserve">268.380 </w:t>
            </w:r>
          </w:p>
        </w:tc>
        <w:tc>
          <w:tcPr>
            <w:tcW w:w="900" w:type="dxa"/>
            <w:vAlign w:val="top"/>
          </w:tcPr>
          <w:p w14:paraId="5C74F3D9">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29" w:leftChars="0"/>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 xml:space="preserve">418.67 </w:t>
            </w:r>
          </w:p>
        </w:tc>
        <w:tc>
          <w:tcPr>
            <w:tcW w:w="912" w:type="dxa"/>
            <w:vAlign w:val="center"/>
          </w:tcPr>
          <w:p w14:paraId="679CBFD1">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29" w:leftChars="0"/>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 xml:space="preserve">434.17 </w:t>
            </w:r>
          </w:p>
        </w:tc>
        <w:tc>
          <w:tcPr>
            <w:tcW w:w="705" w:type="dxa"/>
            <w:vAlign w:val="top"/>
          </w:tcPr>
          <w:p w14:paraId="2ED7BA1A">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29" w:leftChars="0"/>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5</w:t>
            </w:r>
          </w:p>
        </w:tc>
        <w:tc>
          <w:tcPr>
            <w:tcW w:w="816" w:type="dxa"/>
            <w:vAlign w:val="top"/>
          </w:tcPr>
          <w:p w14:paraId="489CFFA7">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29" w:leftChars="0"/>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1.536</w:t>
            </w:r>
          </w:p>
        </w:tc>
      </w:tr>
      <w:tr w14:paraId="2B371F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64" w:type="dxa"/>
            <w:vAlign w:val="top"/>
          </w:tcPr>
          <w:p w14:paraId="38326B80">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B</w:t>
            </w:r>
          </w:p>
        </w:tc>
        <w:tc>
          <w:tcPr>
            <w:tcW w:w="850" w:type="dxa"/>
            <w:vAlign w:val="top"/>
          </w:tcPr>
          <w:p w14:paraId="0814F1C0">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45" w:leftChars="0"/>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0</w:t>
            </w:r>
          </w:p>
        </w:tc>
        <w:tc>
          <w:tcPr>
            <w:tcW w:w="983" w:type="dxa"/>
            <w:vAlign w:val="top"/>
          </w:tcPr>
          <w:p w14:paraId="70944CF0">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29" w:leftChars="0"/>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1.6</w:t>
            </w:r>
          </w:p>
        </w:tc>
        <w:tc>
          <w:tcPr>
            <w:tcW w:w="900" w:type="dxa"/>
            <w:vAlign w:val="top"/>
          </w:tcPr>
          <w:p w14:paraId="7BF4BEBA">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46" w:leftChars="0"/>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1.6</w:t>
            </w:r>
          </w:p>
        </w:tc>
        <w:tc>
          <w:tcPr>
            <w:tcW w:w="900" w:type="dxa"/>
            <w:vAlign w:val="top"/>
          </w:tcPr>
          <w:p w14:paraId="256EC68D">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15</w:t>
            </w:r>
          </w:p>
        </w:tc>
        <w:tc>
          <w:tcPr>
            <w:tcW w:w="650" w:type="dxa"/>
            <w:vAlign w:val="top"/>
          </w:tcPr>
          <w:p w14:paraId="31782A70">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600</w:t>
            </w:r>
          </w:p>
        </w:tc>
        <w:tc>
          <w:tcPr>
            <w:tcW w:w="1121" w:type="dxa"/>
            <w:vAlign w:val="top"/>
          </w:tcPr>
          <w:p w14:paraId="169F500D">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29" w:leftChars="0"/>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 xml:space="preserve">268.380 </w:t>
            </w:r>
          </w:p>
        </w:tc>
        <w:tc>
          <w:tcPr>
            <w:tcW w:w="900" w:type="dxa"/>
            <w:vAlign w:val="top"/>
          </w:tcPr>
          <w:p w14:paraId="67AD0239">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29" w:leftChars="0"/>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 xml:space="preserve">391.30 </w:t>
            </w:r>
          </w:p>
        </w:tc>
        <w:tc>
          <w:tcPr>
            <w:tcW w:w="912" w:type="dxa"/>
            <w:vAlign w:val="center"/>
          </w:tcPr>
          <w:p w14:paraId="7C9CB25C">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29" w:leftChars="0"/>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 xml:space="preserve">434.17 </w:t>
            </w:r>
          </w:p>
        </w:tc>
        <w:tc>
          <w:tcPr>
            <w:tcW w:w="705" w:type="dxa"/>
            <w:vAlign w:val="top"/>
          </w:tcPr>
          <w:p w14:paraId="3A1B6F17">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29" w:leftChars="0"/>
              <w:jc w:val="center"/>
              <w:textAlignment w:val="baseline"/>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5</w:t>
            </w:r>
          </w:p>
        </w:tc>
        <w:tc>
          <w:tcPr>
            <w:tcW w:w="816" w:type="dxa"/>
            <w:vAlign w:val="top"/>
          </w:tcPr>
          <w:p w14:paraId="0F6C9F1C">
            <w:pPr>
              <w:pStyle w:val="53"/>
              <w:keepNext w:val="0"/>
              <w:keepLines w:val="0"/>
              <w:pageBreakBefore w:val="0"/>
              <w:widowControl/>
              <w:kinsoku w:val="0"/>
              <w:wordWrap/>
              <w:overflowPunct/>
              <w:topLinePunct w:val="0"/>
              <w:autoSpaceDE w:val="0"/>
              <w:autoSpaceDN w:val="0"/>
              <w:bidi w:val="0"/>
              <w:adjustRightInd w:val="0"/>
              <w:snapToGrid w:val="0"/>
              <w:spacing w:line="480" w:lineRule="exact"/>
              <w:ind w:left="129" w:leftChars="0"/>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 xml:space="preserve">1.536 </w:t>
            </w:r>
          </w:p>
        </w:tc>
      </w:tr>
    </w:tbl>
    <w:p w14:paraId="147DF198">
      <w:pPr>
        <w:numPr>
          <w:ilvl w:val="0"/>
          <w:numId w:val="0"/>
        </w:numPr>
        <w:spacing w:line="360" w:lineRule="auto"/>
        <w:ind w:leftChars="200"/>
        <w:jc w:val="center"/>
        <w:outlineLvl w:val="9"/>
        <w:rPr>
          <w:rFonts w:hint="eastAsia" w:ascii="仿宋" w:hAnsi="仿宋" w:eastAsia="仿宋" w:cs="仿宋"/>
          <w:color w:val="auto"/>
          <w:w w:val="95"/>
          <w:sz w:val="28"/>
          <w:szCs w:val="28"/>
          <w:lang w:val="en-US" w:eastAsia="zh-CN"/>
        </w:rPr>
      </w:pPr>
      <w:r>
        <w:drawing>
          <wp:inline distT="0" distB="0" distL="114300" distR="114300">
            <wp:extent cx="4063365" cy="4349115"/>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27"/>
                    <a:srcRect b="9297"/>
                    <a:stretch>
                      <a:fillRect/>
                    </a:stretch>
                  </pic:blipFill>
                  <pic:spPr>
                    <a:xfrm>
                      <a:off x="0" y="0"/>
                      <a:ext cx="4063365" cy="4349115"/>
                    </a:xfrm>
                    <a:prstGeom prst="rect">
                      <a:avLst/>
                    </a:prstGeom>
                    <a:noFill/>
                    <a:ln>
                      <a:noFill/>
                    </a:ln>
                  </pic:spPr>
                </pic:pic>
              </a:graphicData>
            </a:graphic>
          </wp:inline>
        </w:drawing>
      </w:r>
    </w:p>
    <w:p w14:paraId="417F273E">
      <w:pPr>
        <w:numPr>
          <w:ilvl w:val="0"/>
          <w:numId w:val="3"/>
        </w:numPr>
        <w:spacing w:line="360" w:lineRule="auto"/>
        <w:ind w:left="0" w:leftChars="0" w:firstLine="532" w:firstLineChars="200"/>
        <w:outlineLvl w:val="9"/>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瓦子坡路本次改造为临时道路，临时道路宽22m，本次建设DN800mm临时雨水管188m，雨水检查井5座，收集道路雨水，雨水由西向东排入溯源路市政雨水管。</w:t>
      </w:r>
    </w:p>
    <w:tbl>
      <w:tblPr>
        <w:tblStyle w:val="19"/>
        <w:tblW w:w="1011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1435"/>
        <w:gridCol w:w="737"/>
        <w:gridCol w:w="704"/>
        <w:gridCol w:w="704"/>
        <w:gridCol w:w="726"/>
        <w:gridCol w:w="913"/>
        <w:gridCol w:w="1393"/>
        <w:gridCol w:w="867"/>
        <w:gridCol w:w="846"/>
        <w:gridCol w:w="726"/>
        <w:gridCol w:w="1064"/>
      </w:tblGrid>
      <w:tr w14:paraId="4066AF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558" w:hRule="atLeast"/>
        </w:trPr>
        <w:tc>
          <w:tcPr>
            <w:tcW w:w="1591"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E48EE34">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p>
          <w:p w14:paraId="6D929336">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管段范围</w:t>
            </w:r>
          </w:p>
        </w:tc>
        <w:tc>
          <w:tcPr>
            <w:tcW w:w="77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6170160">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转输汇水面积(ha)</w:t>
            </w:r>
          </w:p>
        </w:tc>
        <w:tc>
          <w:tcPr>
            <w:tcW w:w="73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71DA737">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本段汇水面积</w:t>
            </w:r>
          </w:p>
          <w:p w14:paraId="453F16D1">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(ha)</w:t>
            </w:r>
          </w:p>
        </w:tc>
        <w:tc>
          <w:tcPr>
            <w:tcW w:w="73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1C0762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总汇水面积(ha)</w:t>
            </w:r>
          </w:p>
        </w:tc>
        <w:tc>
          <w:tcPr>
            <w:tcW w:w="681"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E976DE5">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集水时间t(min)</w:t>
            </w:r>
          </w:p>
        </w:tc>
        <w:tc>
          <w:tcPr>
            <w:tcW w:w="857"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745B739">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管径 （mm)</w:t>
            </w:r>
          </w:p>
        </w:tc>
        <w:tc>
          <w:tcPr>
            <w:tcW w:w="130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5108CC6">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暴雨强度 (L/s·ha)</w:t>
            </w:r>
          </w:p>
        </w:tc>
        <w:tc>
          <w:tcPr>
            <w:tcW w:w="87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7DA2BC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计算降雨量（L/S）</w:t>
            </w:r>
          </w:p>
        </w:tc>
        <w:tc>
          <w:tcPr>
            <w:tcW w:w="817"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D757E1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过流能  力（L/S）</w:t>
            </w:r>
          </w:p>
        </w:tc>
        <w:tc>
          <w:tcPr>
            <w:tcW w:w="75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74B63FC">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管道坡度(‰)</w:t>
            </w:r>
          </w:p>
        </w:tc>
        <w:tc>
          <w:tcPr>
            <w:tcW w:w="99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41C1D2A">
            <w:pPr>
              <w:pStyle w:val="16"/>
              <w:keepNext w:val="0"/>
              <w:keepLines w:val="0"/>
              <w:widowControl/>
              <w:suppressLineNumbers w:val="0"/>
              <w:kinsoku w:val="0"/>
              <w:wordWrap/>
              <w:overflowPunct/>
              <w:spacing w:beforeAutospacing="1" w:afterAutospacing="1"/>
              <w:jc w:val="center"/>
            </w:pPr>
            <w:r>
              <w:rPr>
                <w:rFonts w:hint="eastAsia" w:ascii="仿宋" w:hAnsi="仿宋" w:eastAsia="仿宋" w:cs="仿宋"/>
                <w:color w:val="000000"/>
                <w:sz w:val="28"/>
                <w:szCs w:val="28"/>
              </w:rPr>
              <w:t>流速 (m/s)</w:t>
            </w:r>
          </w:p>
        </w:tc>
      </w:tr>
      <w:tr w14:paraId="47F90B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809" w:hRule="atLeast"/>
        </w:trPr>
        <w:tc>
          <w:tcPr>
            <w:tcW w:w="1591"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F542A4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瓦子坡路</w:t>
            </w:r>
          </w:p>
        </w:tc>
        <w:tc>
          <w:tcPr>
            <w:tcW w:w="77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006BFB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0</w:t>
            </w:r>
          </w:p>
        </w:tc>
        <w:tc>
          <w:tcPr>
            <w:tcW w:w="73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73568E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3</w:t>
            </w:r>
          </w:p>
        </w:tc>
        <w:tc>
          <w:tcPr>
            <w:tcW w:w="73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A5EADA5">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3</w:t>
            </w:r>
          </w:p>
        </w:tc>
        <w:tc>
          <w:tcPr>
            <w:tcW w:w="681"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7E223C0">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15</w:t>
            </w:r>
          </w:p>
        </w:tc>
        <w:tc>
          <w:tcPr>
            <w:tcW w:w="857"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D8DB234">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800</w:t>
            </w:r>
          </w:p>
        </w:tc>
        <w:tc>
          <w:tcPr>
            <w:tcW w:w="1308" w:type="dxa"/>
            <w:tcBorders>
              <w:top w:val="single" w:color="000000" w:sz="2" w:space="0"/>
              <w:left w:val="single" w:color="000000" w:sz="2" w:space="0"/>
              <w:bottom w:val="single" w:color="000000" w:sz="2" w:space="0"/>
              <w:right w:val="single" w:color="000000" w:sz="2" w:space="0"/>
            </w:tcBorders>
            <w:shd w:val="clear" w:color="auto" w:fill="auto"/>
            <w:tcMar>
              <w:top w:w="15" w:type="dxa"/>
              <w:left w:w="15" w:type="dxa"/>
              <w:right w:w="15" w:type="dxa"/>
            </w:tcMar>
            <w:vAlign w:val="center"/>
          </w:tcPr>
          <w:p w14:paraId="1B12524D">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 xml:space="preserve">268.380 </w:t>
            </w:r>
          </w:p>
        </w:tc>
        <w:tc>
          <w:tcPr>
            <w:tcW w:w="870" w:type="dxa"/>
            <w:tcBorders>
              <w:top w:val="single" w:color="000000" w:sz="2" w:space="0"/>
              <w:left w:val="single" w:color="000000" w:sz="2" w:space="0"/>
              <w:bottom w:val="single" w:color="000000" w:sz="2" w:space="0"/>
              <w:right w:val="single" w:color="000000" w:sz="2" w:space="0"/>
            </w:tcBorders>
            <w:shd w:val="clear" w:color="auto" w:fill="auto"/>
            <w:tcMar>
              <w:top w:w="15" w:type="dxa"/>
              <w:left w:w="15" w:type="dxa"/>
              <w:right w:w="15" w:type="dxa"/>
            </w:tcMar>
            <w:vAlign w:val="center"/>
          </w:tcPr>
          <w:p w14:paraId="5826652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 xml:space="preserve">483.08 </w:t>
            </w:r>
          </w:p>
        </w:tc>
        <w:tc>
          <w:tcPr>
            <w:tcW w:w="817" w:type="dxa"/>
            <w:tcBorders>
              <w:top w:val="single" w:color="000000" w:sz="2" w:space="0"/>
              <w:left w:val="single" w:color="000000" w:sz="2" w:space="0"/>
              <w:bottom w:val="single" w:color="000000" w:sz="2" w:space="0"/>
              <w:right w:val="single" w:color="000000" w:sz="2" w:space="0"/>
            </w:tcBorders>
            <w:shd w:val="clear" w:color="auto" w:fill="auto"/>
            <w:tcMar>
              <w:top w:w="15" w:type="dxa"/>
              <w:left w:w="15" w:type="dxa"/>
              <w:right w:w="15" w:type="dxa"/>
            </w:tcMar>
            <w:vAlign w:val="center"/>
          </w:tcPr>
          <w:p w14:paraId="540AE9F8">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 xml:space="preserve">724.28 </w:t>
            </w:r>
          </w:p>
        </w:tc>
        <w:tc>
          <w:tcPr>
            <w:tcW w:w="75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5CA203F">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3</w:t>
            </w:r>
          </w:p>
        </w:tc>
        <w:tc>
          <w:tcPr>
            <w:tcW w:w="999" w:type="dxa"/>
            <w:tcBorders>
              <w:top w:val="single" w:color="000000" w:sz="2" w:space="0"/>
              <w:left w:val="single" w:color="000000" w:sz="2" w:space="0"/>
              <w:bottom w:val="single" w:color="000000" w:sz="2" w:space="0"/>
              <w:right w:val="single" w:color="000000" w:sz="2" w:space="0"/>
            </w:tcBorders>
            <w:shd w:val="clear" w:color="auto" w:fill="auto"/>
            <w:tcMar>
              <w:top w:w="15" w:type="dxa"/>
              <w:left w:w="15" w:type="dxa"/>
              <w:right w:w="15" w:type="dxa"/>
            </w:tcMar>
            <w:vAlign w:val="center"/>
          </w:tcPr>
          <w:p w14:paraId="5F773D13">
            <w:pPr>
              <w:pStyle w:val="16"/>
              <w:keepNext w:val="0"/>
              <w:keepLines w:val="0"/>
              <w:widowControl/>
              <w:suppressLineNumbers w:val="0"/>
              <w:kinsoku/>
              <w:wordWrap/>
              <w:overflowPunct/>
              <w:spacing w:beforeAutospacing="1" w:afterAutospacing="1"/>
              <w:jc w:val="center"/>
            </w:pPr>
            <w:r>
              <w:rPr>
                <w:rFonts w:hint="eastAsia" w:ascii="仿宋" w:hAnsi="仿宋" w:eastAsia="仿宋" w:cs="仿宋"/>
                <w:color w:val="000000"/>
                <w:sz w:val="28"/>
                <w:szCs w:val="28"/>
              </w:rPr>
              <w:t>1.</w:t>
            </w:r>
            <w:r>
              <w:rPr>
                <w:rFonts w:hint="eastAsia" w:ascii="仿宋" w:hAnsi="仿宋" w:eastAsia="仿宋" w:cs="仿宋"/>
                <w:color w:val="000000"/>
                <w:sz w:val="28"/>
                <w:szCs w:val="28"/>
                <w:lang w:val="en-US" w:eastAsia="zh-CN"/>
              </w:rPr>
              <w:t>441</w:t>
            </w:r>
            <w:r>
              <w:rPr>
                <w:rFonts w:hint="eastAsia" w:ascii="仿宋" w:hAnsi="仿宋" w:eastAsia="仿宋" w:cs="仿宋"/>
                <w:color w:val="000000"/>
                <w:sz w:val="28"/>
                <w:szCs w:val="28"/>
              </w:rPr>
              <w:t xml:space="preserve"> </w:t>
            </w:r>
          </w:p>
        </w:tc>
      </w:tr>
    </w:tbl>
    <w:p w14:paraId="281A51E1">
      <w:pPr>
        <w:spacing w:line="360" w:lineRule="auto"/>
        <w:ind w:firstLine="420" w:firstLineChars="200"/>
        <w:jc w:val="center"/>
        <w:outlineLvl w:val="9"/>
        <w:rPr>
          <w:rFonts w:hint="eastAsia" w:ascii="仿宋" w:hAnsi="仿宋" w:eastAsia="仿宋" w:cs="仿宋"/>
          <w:color w:val="auto"/>
          <w:w w:val="95"/>
          <w:sz w:val="28"/>
          <w:szCs w:val="28"/>
          <w:lang w:val="en-US" w:eastAsia="zh-CN"/>
        </w:rPr>
      </w:pPr>
      <w:r>
        <w:drawing>
          <wp:inline distT="0" distB="0" distL="114300" distR="114300">
            <wp:extent cx="4909185" cy="2493645"/>
            <wp:effectExtent l="0" t="0" r="5715" b="1905"/>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1"/>
                    </pic:cNvPicPr>
                  </pic:nvPicPr>
                  <pic:blipFill>
                    <a:blip r:embed="rId28"/>
                    <a:stretch>
                      <a:fillRect/>
                    </a:stretch>
                  </pic:blipFill>
                  <pic:spPr>
                    <a:xfrm>
                      <a:off x="0" y="0"/>
                      <a:ext cx="4909185" cy="2493645"/>
                    </a:xfrm>
                    <a:prstGeom prst="rect">
                      <a:avLst/>
                    </a:prstGeom>
                  </pic:spPr>
                </pic:pic>
              </a:graphicData>
            </a:graphic>
          </wp:inline>
        </w:drawing>
      </w:r>
    </w:p>
    <w:p w14:paraId="5BFD39B6">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77" w:name="_Toc29750"/>
      <w:r>
        <w:rPr>
          <w:rFonts w:hint="eastAsia" w:ascii="仿宋" w:hAnsi="仿宋" w:eastAsia="仿宋" w:cs="仿宋"/>
          <w:b/>
          <w:bCs/>
          <w:color w:val="auto"/>
          <w:sz w:val="28"/>
          <w:szCs w:val="28"/>
          <w:lang w:val="en-US" w:eastAsia="zh-CN"/>
        </w:rPr>
        <w:t>4.5 污水工程</w:t>
      </w:r>
      <w:bookmarkEnd w:id="77"/>
    </w:p>
    <w:p w14:paraId="77AA453A">
      <w:pPr>
        <w:pStyle w:val="16"/>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（1）污水管道设计参数</w:t>
      </w:r>
    </w:p>
    <w:p w14:paraId="35A9A4AB">
      <w:pPr>
        <w:pStyle w:val="9"/>
        <w:keepNext w:val="0"/>
        <w:keepLines w:val="0"/>
        <w:pageBreakBefore w:val="0"/>
        <w:widowControl/>
        <w:kinsoku w:val="0"/>
        <w:wordWrap/>
        <w:overflowPunct/>
        <w:topLinePunct w:val="0"/>
        <w:autoSpaceDE w:val="0"/>
        <w:autoSpaceDN w:val="0"/>
        <w:bidi w:val="0"/>
        <w:adjustRightInd w:val="0"/>
        <w:snapToGrid w:val="0"/>
        <w:spacing w:line="480" w:lineRule="exact"/>
        <w:ind w:firstLine="487"/>
        <w:textAlignment w:val="baseline"/>
        <w:rPr>
          <w:rFonts w:hint="eastAsia" w:ascii="仿宋" w:hAnsi="仿宋" w:eastAsia="仿宋" w:cs="仿宋"/>
          <w:sz w:val="28"/>
          <w:szCs w:val="28"/>
          <w:lang w:eastAsia="zh-CN"/>
        </w:rPr>
      </w:pPr>
      <w:r>
        <w:rPr>
          <w:rFonts w:hint="eastAsia" w:ascii="仿宋" w:hAnsi="仿宋" w:eastAsia="仿宋" w:cs="仿宋"/>
          <w:color w:val="auto"/>
          <w:w w:val="95"/>
          <w:kern w:val="2"/>
          <w:sz w:val="28"/>
          <w:szCs w:val="28"/>
          <w:lang w:val="en-US" w:eastAsia="zh-CN" w:bidi="ar-SA"/>
        </w:rPr>
        <w:t>①</w:t>
      </w:r>
      <w:r>
        <w:rPr>
          <w:rFonts w:hint="eastAsia" w:ascii="仿宋" w:hAnsi="仿宋" w:eastAsia="仿宋" w:cs="仿宋"/>
          <w:sz w:val="28"/>
          <w:szCs w:val="28"/>
          <w:lang w:eastAsia="zh-CN"/>
        </w:rPr>
        <w:t>计算参数</w:t>
      </w:r>
    </w:p>
    <w:p w14:paraId="45572BA7">
      <w:pPr>
        <w:pStyle w:val="9"/>
        <w:keepNext w:val="0"/>
        <w:keepLines w:val="0"/>
        <w:pageBreakBefore w:val="0"/>
        <w:widowControl/>
        <w:kinsoku w:val="0"/>
        <w:wordWrap/>
        <w:overflowPunct/>
        <w:topLinePunct w:val="0"/>
        <w:autoSpaceDE w:val="0"/>
        <w:autoSpaceDN w:val="0"/>
        <w:bidi w:val="0"/>
        <w:adjustRightInd w:val="0"/>
        <w:snapToGrid w:val="0"/>
        <w:spacing w:line="480" w:lineRule="exact"/>
        <w:ind w:firstLine="487"/>
        <w:textAlignment w:val="baseline"/>
        <w:rPr>
          <w:rFonts w:hint="eastAsia" w:ascii="仿宋" w:hAnsi="仿宋" w:eastAsia="仿宋" w:cs="仿宋"/>
          <w:sz w:val="28"/>
          <w:szCs w:val="28"/>
          <w:lang w:eastAsia="zh-CN"/>
        </w:rPr>
      </w:pPr>
      <w:r>
        <w:rPr>
          <w:rFonts w:hint="eastAsia" w:ascii="仿宋" w:hAnsi="仿宋" w:eastAsia="仿宋" w:cs="仿宋"/>
          <w:sz w:val="28"/>
          <w:szCs w:val="28"/>
          <w:lang w:eastAsia="zh-CN"/>
        </w:rPr>
        <w:t>设计综合生活污水流量按以下公式及参数进行计算：设计污水量公式： Q=K 总 qNs</w:t>
      </w:r>
    </w:p>
    <w:p w14:paraId="599FF1EA">
      <w:pPr>
        <w:pStyle w:val="9"/>
        <w:keepNext w:val="0"/>
        <w:keepLines w:val="0"/>
        <w:pageBreakBefore w:val="0"/>
        <w:widowControl/>
        <w:kinsoku w:val="0"/>
        <w:wordWrap/>
        <w:overflowPunct/>
        <w:topLinePunct w:val="0"/>
        <w:autoSpaceDE w:val="0"/>
        <w:autoSpaceDN w:val="0"/>
        <w:bidi w:val="0"/>
        <w:adjustRightInd w:val="0"/>
        <w:snapToGrid w:val="0"/>
        <w:spacing w:line="480" w:lineRule="exact"/>
        <w:ind w:firstLine="487"/>
        <w:textAlignment w:val="baseline"/>
        <w:rPr>
          <w:rFonts w:hint="eastAsia" w:ascii="仿宋" w:hAnsi="仿宋" w:eastAsia="仿宋" w:cs="仿宋"/>
          <w:sz w:val="28"/>
          <w:szCs w:val="28"/>
          <w:lang w:eastAsia="zh-CN"/>
        </w:rPr>
      </w:pPr>
      <w:r>
        <w:rPr>
          <w:rFonts w:hint="eastAsia" w:ascii="仿宋" w:hAnsi="仿宋" w:eastAsia="仿宋" w:cs="仿宋"/>
          <w:sz w:val="28"/>
          <w:szCs w:val="28"/>
          <w:lang w:eastAsia="zh-CN"/>
        </w:rPr>
        <w:t>其中： q―――人均综合生活污水量定额， q=</w:t>
      </w:r>
      <w:r>
        <w:rPr>
          <w:rFonts w:hint="eastAsia" w:ascii="仿宋" w:hAnsi="仿宋" w:eastAsia="仿宋" w:cs="仿宋"/>
          <w:sz w:val="28"/>
          <w:szCs w:val="28"/>
          <w:lang w:val="en-US" w:eastAsia="zh-CN"/>
        </w:rPr>
        <w:t>250</w:t>
      </w:r>
      <w:r>
        <w:rPr>
          <w:rFonts w:hint="eastAsia" w:ascii="仿宋" w:hAnsi="仿宋" w:eastAsia="仿宋" w:cs="仿宋"/>
          <w:sz w:val="28"/>
          <w:szCs w:val="28"/>
          <w:lang w:eastAsia="zh-CN"/>
        </w:rPr>
        <w:t>L/人·天</w:t>
      </w:r>
    </w:p>
    <w:p w14:paraId="2301D7BD">
      <w:pPr>
        <w:pStyle w:val="9"/>
        <w:keepNext w:val="0"/>
        <w:keepLines w:val="0"/>
        <w:pageBreakBefore w:val="0"/>
        <w:widowControl/>
        <w:kinsoku w:val="0"/>
        <w:wordWrap/>
        <w:overflowPunct/>
        <w:topLinePunct w:val="0"/>
        <w:autoSpaceDE w:val="0"/>
        <w:autoSpaceDN w:val="0"/>
        <w:bidi w:val="0"/>
        <w:adjustRightInd w:val="0"/>
        <w:snapToGrid w:val="0"/>
        <w:spacing w:line="480" w:lineRule="exact"/>
        <w:ind w:firstLine="487"/>
        <w:textAlignment w:val="baseline"/>
        <w:rPr>
          <w:rFonts w:hint="eastAsia" w:ascii="仿宋" w:hAnsi="仿宋" w:eastAsia="仿宋" w:cs="仿宋"/>
          <w:sz w:val="28"/>
          <w:szCs w:val="28"/>
          <w:lang w:eastAsia="zh-CN"/>
        </w:rPr>
      </w:pPr>
      <w:r>
        <w:rPr>
          <w:rFonts w:hint="eastAsia" w:ascii="仿宋" w:hAnsi="仿宋" w:eastAsia="仿宋" w:cs="仿宋"/>
          <w:sz w:val="28"/>
          <w:szCs w:val="28"/>
          <w:lang w:eastAsia="zh-CN"/>
        </w:rPr>
        <w:t>K 总―――污水量总变化系数</w:t>
      </w:r>
    </w:p>
    <w:p w14:paraId="3BD91C21">
      <w:pPr>
        <w:pStyle w:val="9"/>
        <w:keepNext w:val="0"/>
        <w:keepLines w:val="0"/>
        <w:pageBreakBefore w:val="0"/>
        <w:widowControl/>
        <w:kinsoku w:val="0"/>
        <w:wordWrap/>
        <w:overflowPunct/>
        <w:topLinePunct w:val="0"/>
        <w:autoSpaceDE w:val="0"/>
        <w:autoSpaceDN w:val="0"/>
        <w:bidi w:val="0"/>
        <w:adjustRightInd w:val="0"/>
        <w:snapToGrid w:val="0"/>
        <w:spacing w:line="480" w:lineRule="exact"/>
        <w:ind w:firstLine="487"/>
        <w:textAlignment w:val="baseline"/>
        <w:rPr>
          <w:rFonts w:hint="eastAsia" w:ascii="仿宋" w:hAnsi="仿宋" w:eastAsia="仿宋" w:cs="仿宋"/>
          <w:sz w:val="28"/>
          <w:szCs w:val="28"/>
          <w:lang w:eastAsia="zh-CN"/>
        </w:rPr>
      </w:pPr>
      <w:r>
        <w:rPr>
          <w:rFonts w:hint="eastAsia" w:ascii="仿宋" w:hAnsi="仿宋" w:eastAsia="仿宋" w:cs="仿宋"/>
          <w:sz w:val="28"/>
          <w:szCs w:val="28"/>
          <w:lang w:eastAsia="zh-CN"/>
        </w:rPr>
        <w:t>s ―――规划城市建设用地面积（hm2）</w:t>
      </w:r>
    </w:p>
    <w:p w14:paraId="2460519D">
      <w:pPr>
        <w:pStyle w:val="9"/>
        <w:keepNext w:val="0"/>
        <w:keepLines w:val="0"/>
        <w:pageBreakBefore w:val="0"/>
        <w:widowControl/>
        <w:kinsoku w:val="0"/>
        <w:wordWrap/>
        <w:overflowPunct/>
        <w:topLinePunct w:val="0"/>
        <w:autoSpaceDE w:val="0"/>
        <w:autoSpaceDN w:val="0"/>
        <w:bidi w:val="0"/>
        <w:adjustRightInd w:val="0"/>
        <w:snapToGrid w:val="0"/>
        <w:spacing w:line="480" w:lineRule="exact"/>
        <w:ind w:firstLine="487"/>
        <w:textAlignment w:val="baseline"/>
        <w:rPr>
          <w:rFonts w:hint="eastAsia" w:ascii="仿宋" w:hAnsi="仿宋" w:eastAsia="仿宋" w:cs="仿宋"/>
          <w:color w:val="auto"/>
          <w:w w:val="95"/>
          <w:kern w:val="2"/>
          <w:sz w:val="28"/>
          <w:szCs w:val="28"/>
          <w:lang w:val="en-US" w:eastAsia="zh-CN" w:bidi="ar-SA"/>
        </w:rPr>
      </w:pPr>
      <w:r>
        <w:rPr>
          <w:rFonts w:hint="eastAsia" w:ascii="仿宋" w:hAnsi="仿宋" w:eastAsia="仿宋" w:cs="仿宋"/>
          <w:sz w:val="28"/>
          <w:szCs w:val="28"/>
          <w:lang w:eastAsia="zh-CN"/>
        </w:rPr>
        <w:t>N ―――城市人口密度, 1</w:t>
      </w:r>
      <w:r>
        <w:rPr>
          <w:rFonts w:hint="eastAsia" w:ascii="仿宋" w:hAnsi="仿宋" w:eastAsia="仿宋" w:cs="仿宋"/>
          <w:sz w:val="28"/>
          <w:szCs w:val="28"/>
          <w:lang w:val="en-US" w:eastAsia="zh-CN"/>
        </w:rPr>
        <w:t>0</w:t>
      </w:r>
      <w:r>
        <w:rPr>
          <w:rFonts w:hint="eastAsia" w:ascii="仿宋" w:hAnsi="仿宋" w:eastAsia="仿宋" w:cs="仿宋"/>
          <w:sz w:val="28"/>
          <w:szCs w:val="28"/>
          <w:lang w:eastAsia="zh-CN"/>
        </w:rPr>
        <w:t>0 人/hm2</w:t>
      </w:r>
    </w:p>
    <w:p w14:paraId="53073BF6">
      <w:pPr>
        <w:pStyle w:val="16"/>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②管道坡度及充满度：结合设计道路地势以及污水干管高程，污水管道设计坡度的取值在合理范围内尽可能接近道路的设计坡度。</w:t>
      </w:r>
    </w:p>
    <w:p w14:paraId="78F152F2">
      <w:pPr>
        <w:pStyle w:val="16"/>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污水管道的最大充满度管道的设计充满度参照遵守《室外排水设计标准》（GB50014-2021）的规定。具体见下表：　　　</w:t>
      </w:r>
    </w:p>
    <w:tbl>
      <w:tblPr>
        <w:tblStyle w:val="19"/>
        <w:tblW w:w="0" w:type="auto"/>
        <w:jc w:val="center"/>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3147"/>
        <w:gridCol w:w="3147"/>
      </w:tblGrid>
      <w:tr w14:paraId="599B8076">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567" w:hRule="atLeast"/>
          <w:jc w:val="center"/>
        </w:trPr>
        <w:tc>
          <w:tcPr>
            <w:tcW w:w="3147" w:type="dxa"/>
            <w:tcBorders>
              <w:top w:val="thinThickSmallGap" w:color="auto" w:sz="12" w:space="0"/>
              <w:left w:val="thinThickSmallGap" w:color="auto" w:sz="12" w:space="0"/>
              <w:bottom w:val="single" w:color="auto" w:sz="6" w:space="0"/>
              <w:right w:val="single" w:color="auto" w:sz="6" w:space="0"/>
            </w:tcBorders>
            <w:noWrap w:val="0"/>
            <w:vAlign w:val="center"/>
          </w:tcPr>
          <w:p w14:paraId="1CE1F63D">
            <w:pPr>
              <w:widowControl/>
              <w:jc w:val="center"/>
              <w:rPr>
                <w:rFonts w:hint="eastAsia" w:ascii="仿宋" w:hAnsi="仿宋" w:eastAsia="仿宋" w:cs="仿宋"/>
                <w:kern w:val="0"/>
                <w:sz w:val="21"/>
                <w:szCs w:val="21"/>
              </w:rPr>
            </w:pPr>
            <w:r>
              <w:rPr>
                <w:rFonts w:hint="eastAsia" w:ascii="仿宋" w:hAnsi="仿宋" w:eastAsia="仿宋" w:cs="仿宋"/>
                <w:kern w:val="0"/>
                <w:sz w:val="21"/>
                <w:szCs w:val="21"/>
                <w:lang w:bidi="ar"/>
              </w:rPr>
              <w:t>管径（mm）</w:t>
            </w:r>
          </w:p>
        </w:tc>
        <w:tc>
          <w:tcPr>
            <w:tcW w:w="3147" w:type="dxa"/>
            <w:tcBorders>
              <w:top w:val="thinThickSmallGap" w:color="auto" w:sz="12" w:space="0"/>
              <w:left w:val="single" w:color="auto" w:sz="6" w:space="0"/>
              <w:bottom w:val="single" w:color="auto" w:sz="6" w:space="0"/>
              <w:right w:val="thickThinSmallGap" w:color="auto" w:sz="12" w:space="0"/>
            </w:tcBorders>
            <w:noWrap w:val="0"/>
            <w:vAlign w:val="center"/>
          </w:tcPr>
          <w:p w14:paraId="327EC17B">
            <w:pPr>
              <w:widowControl/>
              <w:jc w:val="center"/>
              <w:rPr>
                <w:rFonts w:hint="eastAsia" w:ascii="仿宋" w:hAnsi="仿宋" w:eastAsia="仿宋" w:cs="仿宋"/>
                <w:kern w:val="0"/>
                <w:sz w:val="21"/>
                <w:szCs w:val="21"/>
              </w:rPr>
            </w:pPr>
            <w:r>
              <w:rPr>
                <w:rFonts w:hint="eastAsia" w:ascii="仿宋" w:hAnsi="仿宋" w:eastAsia="仿宋" w:cs="仿宋"/>
                <w:kern w:val="0"/>
                <w:sz w:val="21"/>
                <w:szCs w:val="21"/>
                <w:lang w:bidi="ar"/>
              </w:rPr>
              <w:t>最大设计充满度</w:t>
            </w:r>
          </w:p>
        </w:tc>
      </w:tr>
      <w:tr w14:paraId="0C307126">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567" w:hRule="atLeast"/>
          <w:jc w:val="center"/>
        </w:trPr>
        <w:tc>
          <w:tcPr>
            <w:tcW w:w="3147" w:type="dxa"/>
            <w:tcBorders>
              <w:top w:val="single" w:color="auto" w:sz="6" w:space="0"/>
              <w:left w:val="thinThickSmallGap" w:color="auto" w:sz="12" w:space="0"/>
              <w:bottom w:val="single" w:color="auto" w:sz="6" w:space="0"/>
              <w:right w:val="single" w:color="auto" w:sz="6" w:space="0"/>
            </w:tcBorders>
            <w:noWrap w:val="0"/>
            <w:vAlign w:val="center"/>
          </w:tcPr>
          <w:p w14:paraId="690644EE">
            <w:pPr>
              <w:widowControl/>
              <w:jc w:val="center"/>
              <w:rPr>
                <w:rFonts w:hint="eastAsia" w:ascii="仿宋" w:hAnsi="仿宋" w:eastAsia="仿宋" w:cs="仿宋"/>
                <w:kern w:val="0"/>
                <w:sz w:val="21"/>
                <w:szCs w:val="21"/>
              </w:rPr>
            </w:pPr>
            <w:r>
              <w:rPr>
                <w:rFonts w:hint="eastAsia" w:ascii="仿宋" w:hAnsi="仿宋" w:eastAsia="仿宋" w:cs="仿宋"/>
                <w:kern w:val="0"/>
                <w:sz w:val="21"/>
                <w:szCs w:val="21"/>
                <w:lang w:bidi="ar"/>
              </w:rPr>
              <w:t>d≤300</w:t>
            </w:r>
          </w:p>
        </w:tc>
        <w:tc>
          <w:tcPr>
            <w:tcW w:w="3147" w:type="dxa"/>
            <w:tcBorders>
              <w:top w:val="single" w:color="auto" w:sz="6" w:space="0"/>
              <w:left w:val="single" w:color="auto" w:sz="6" w:space="0"/>
              <w:bottom w:val="single" w:color="auto" w:sz="6" w:space="0"/>
              <w:right w:val="thickThinSmallGap" w:color="auto" w:sz="12" w:space="0"/>
            </w:tcBorders>
            <w:noWrap w:val="0"/>
            <w:vAlign w:val="center"/>
          </w:tcPr>
          <w:p w14:paraId="17F5E4F9">
            <w:pPr>
              <w:widowControl/>
              <w:jc w:val="center"/>
              <w:rPr>
                <w:rFonts w:hint="eastAsia" w:ascii="仿宋" w:hAnsi="仿宋" w:eastAsia="仿宋" w:cs="仿宋"/>
                <w:kern w:val="0"/>
                <w:sz w:val="21"/>
                <w:szCs w:val="21"/>
              </w:rPr>
            </w:pPr>
            <w:r>
              <w:rPr>
                <w:rFonts w:hint="eastAsia" w:ascii="仿宋" w:hAnsi="仿宋" w:eastAsia="仿宋" w:cs="仿宋"/>
                <w:kern w:val="0"/>
                <w:sz w:val="21"/>
                <w:szCs w:val="21"/>
                <w:lang w:bidi="ar"/>
              </w:rPr>
              <w:t>0.55</w:t>
            </w:r>
          </w:p>
        </w:tc>
      </w:tr>
      <w:tr w14:paraId="28796ABC">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567" w:hRule="atLeast"/>
          <w:jc w:val="center"/>
        </w:trPr>
        <w:tc>
          <w:tcPr>
            <w:tcW w:w="3147" w:type="dxa"/>
            <w:tcBorders>
              <w:top w:val="single" w:color="auto" w:sz="6" w:space="0"/>
              <w:left w:val="thinThickSmallGap" w:color="auto" w:sz="12" w:space="0"/>
              <w:bottom w:val="single" w:color="auto" w:sz="6" w:space="0"/>
              <w:right w:val="single" w:color="auto" w:sz="6" w:space="0"/>
            </w:tcBorders>
            <w:noWrap w:val="0"/>
            <w:vAlign w:val="center"/>
          </w:tcPr>
          <w:p w14:paraId="29A373C6">
            <w:pPr>
              <w:widowControl/>
              <w:jc w:val="center"/>
              <w:rPr>
                <w:rFonts w:hint="eastAsia" w:ascii="仿宋" w:hAnsi="仿宋" w:eastAsia="仿宋" w:cs="仿宋"/>
                <w:kern w:val="0"/>
                <w:sz w:val="21"/>
                <w:szCs w:val="21"/>
              </w:rPr>
            </w:pPr>
            <w:r>
              <w:rPr>
                <w:rFonts w:hint="eastAsia" w:ascii="仿宋" w:hAnsi="仿宋" w:eastAsia="仿宋" w:cs="仿宋"/>
                <w:kern w:val="0"/>
                <w:sz w:val="21"/>
                <w:szCs w:val="21"/>
                <w:lang w:bidi="ar"/>
              </w:rPr>
              <w:t>d＝400</w:t>
            </w:r>
          </w:p>
        </w:tc>
        <w:tc>
          <w:tcPr>
            <w:tcW w:w="3147" w:type="dxa"/>
            <w:tcBorders>
              <w:top w:val="single" w:color="auto" w:sz="6" w:space="0"/>
              <w:left w:val="single" w:color="auto" w:sz="6" w:space="0"/>
              <w:bottom w:val="single" w:color="auto" w:sz="6" w:space="0"/>
              <w:right w:val="thickThinSmallGap" w:color="auto" w:sz="12" w:space="0"/>
            </w:tcBorders>
            <w:noWrap w:val="0"/>
            <w:vAlign w:val="center"/>
          </w:tcPr>
          <w:p w14:paraId="02127035">
            <w:pPr>
              <w:widowControl/>
              <w:jc w:val="center"/>
              <w:rPr>
                <w:rFonts w:hint="eastAsia" w:ascii="仿宋" w:hAnsi="仿宋" w:eastAsia="仿宋" w:cs="仿宋"/>
                <w:kern w:val="0"/>
                <w:sz w:val="21"/>
                <w:szCs w:val="21"/>
              </w:rPr>
            </w:pPr>
            <w:r>
              <w:rPr>
                <w:rFonts w:hint="eastAsia" w:ascii="仿宋" w:hAnsi="仿宋" w:eastAsia="仿宋" w:cs="仿宋"/>
                <w:kern w:val="0"/>
                <w:sz w:val="21"/>
                <w:szCs w:val="21"/>
                <w:lang w:bidi="ar"/>
              </w:rPr>
              <w:t>0.65</w:t>
            </w:r>
          </w:p>
        </w:tc>
      </w:tr>
      <w:tr w14:paraId="2FF98B8C">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567" w:hRule="atLeast"/>
          <w:jc w:val="center"/>
        </w:trPr>
        <w:tc>
          <w:tcPr>
            <w:tcW w:w="3147" w:type="dxa"/>
            <w:tcBorders>
              <w:top w:val="single" w:color="auto" w:sz="6" w:space="0"/>
              <w:left w:val="thinThickSmallGap" w:color="auto" w:sz="12" w:space="0"/>
              <w:bottom w:val="single" w:color="auto" w:sz="6" w:space="0"/>
              <w:right w:val="single" w:color="auto" w:sz="6" w:space="0"/>
            </w:tcBorders>
            <w:noWrap w:val="0"/>
            <w:vAlign w:val="center"/>
          </w:tcPr>
          <w:p w14:paraId="6A19A2F3">
            <w:pPr>
              <w:widowControl/>
              <w:jc w:val="center"/>
              <w:rPr>
                <w:rFonts w:hint="eastAsia" w:ascii="仿宋" w:hAnsi="仿宋" w:eastAsia="仿宋" w:cs="仿宋"/>
                <w:kern w:val="0"/>
                <w:sz w:val="21"/>
                <w:szCs w:val="21"/>
              </w:rPr>
            </w:pPr>
            <w:r>
              <w:rPr>
                <w:rFonts w:hint="eastAsia" w:ascii="仿宋" w:hAnsi="仿宋" w:eastAsia="仿宋" w:cs="仿宋"/>
                <w:kern w:val="0"/>
                <w:sz w:val="21"/>
                <w:szCs w:val="21"/>
                <w:lang w:bidi="ar"/>
              </w:rPr>
              <w:t>500≤d≤900</w:t>
            </w:r>
          </w:p>
        </w:tc>
        <w:tc>
          <w:tcPr>
            <w:tcW w:w="3147" w:type="dxa"/>
            <w:tcBorders>
              <w:top w:val="single" w:color="auto" w:sz="6" w:space="0"/>
              <w:left w:val="single" w:color="auto" w:sz="6" w:space="0"/>
              <w:bottom w:val="single" w:color="auto" w:sz="6" w:space="0"/>
              <w:right w:val="thickThinSmallGap" w:color="auto" w:sz="12" w:space="0"/>
            </w:tcBorders>
            <w:noWrap w:val="0"/>
            <w:vAlign w:val="center"/>
          </w:tcPr>
          <w:p w14:paraId="332FF026">
            <w:pPr>
              <w:widowControl/>
              <w:jc w:val="center"/>
              <w:rPr>
                <w:rFonts w:hint="eastAsia" w:ascii="仿宋" w:hAnsi="仿宋" w:eastAsia="仿宋" w:cs="仿宋"/>
                <w:kern w:val="0"/>
                <w:sz w:val="21"/>
                <w:szCs w:val="21"/>
              </w:rPr>
            </w:pPr>
            <w:r>
              <w:rPr>
                <w:rFonts w:hint="eastAsia" w:ascii="仿宋" w:hAnsi="仿宋" w:eastAsia="仿宋" w:cs="仿宋"/>
                <w:kern w:val="0"/>
                <w:sz w:val="21"/>
                <w:szCs w:val="21"/>
                <w:lang w:bidi="ar"/>
              </w:rPr>
              <w:t>0.70</w:t>
            </w:r>
          </w:p>
        </w:tc>
      </w:tr>
      <w:tr w14:paraId="7C5B5391">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567" w:hRule="atLeast"/>
          <w:jc w:val="center"/>
        </w:trPr>
        <w:tc>
          <w:tcPr>
            <w:tcW w:w="3147" w:type="dxa"/>
            <w:tcBorders>
              <w:top w:val="single" w:color="auto" w:sz="6" w:space="0"/>
              <w:left w:val="thinThickSmallGap" w:color="auto" w:sz="12" w:space="0"/>
              <w:bottom w:val="thickThinSmallGap" w:color="auto" w:sz="12" w:space="0"/>
              <w:right w:val="single" w:color="auto" w:sz="6" w:space="0"/>
            </w:tcBorders>
            <w:noWrap w:val="0"/>
            <w:vAlign w:val="center"/>
          </w:tcPr>
          <w:p w14:paraId="254A27BA">
            <w:pPr>
              <w:widowControl/>
              <w:jc w:val="center"/>
              <w:rPr>
                <w:rFonts w:hint="eastAsia" w:ascii="仿宋" w:hAnsi="仿宋" w:eastAsia="仿宋" w:cs="仿宋"/>
                <w:kern w:val="0"/>
                <w:sz w:val="21"/>
                <w:szCs w:val="21"/>
              </w:rPr>
            </w:pPr>
            <w:r>
              <w:rPr>
                <w:rFonts w:hint="eastAsia" w:ascii="仿宋" w:hAnsi="仿宋" w:eastAsia="仿宋" w:cs="仿宋"/>
                <w:kern w:val="0"/>
                <w:sz w:val="21"/>
                <w:szCs w:val="21"/>
                <w:lang w:bidi="ar"/>
              </w:rPr>
              <w:t>d＞1000</w:t>
            </w:r>
          </w:p>
        </w:tc>
        <w:tc>
          <w:tcPr>
            <w:tcW w:w="3147" w:type="dxa"/>
            <w:tcBorders>
              <w:top w:val="single" w:color="auto" w:sz="6" w:space="0"/>
              <w:left w:val="single" w:color="auto" w:sz="6" w:space="0"/>
              <w:bottom w:val="thickThinSmallGap" w:color="auto" w:sz="12" w:space="0"/>
              <w:right w:val="thickThinSmallGap" w:color="auto" w:sz="12" w:space="0"/>
            </w:tcBorders>
            <w:noWrap w:val="0"/>
            <w:vAlign w:val="center"/>
          </w:tcPr>
          <w:p w14:paraId="1205B279">
            <w:pPr>
              <w:widowControl/>
              <w:jc w:val="center"/>
              <w:rPr>
                <w:rFonts w:hint="eastAsia" w:ascii="仿宋" w:hAnsi="仿宋" w:eastAsia="仿宋" w:cs="仿宋"/>
                <w:kern w:val="0"/>
                <w:sz w:val="21"/>
                <w:szCs w:val="21"/>
              </w:rPr>
            </w:pPr>
            <w:r>
              <w:rPr>
                <w:rFonts w:hint="eastAsia" w:ascii="仿宋" w:hAnsi="仿宋" w:eastAsia="仿宋" w:cs="仿宋"/>
                <w:kern w:val="0"/>
                <w:sz w:val="21"/>
                <w:szCs w:val="21"/>
                <w:lang w:bidi="ar"/>
              </w:rPr>
              <w:t>0.75</w:t>
            </w:r>
          </w:p>
        </w:tc>
      </w:tr>
    </w:tbl>
    <w:p w14:paraId="44511FCF">
      <w:pPr>
        <w:numPr>
          <w:ilvl w:val="0"/>
          <w:numId w:val="0"/>
        </w:numPr>
        <w:spacing w:line="360" w:lineRule="auto"/>
        <w:ind w:right="84" w:rightChars="40" w:firstLine="532" w:firstLineChars="200"/>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污水管道过流能力满足区块最高日最高时的污水流量，。</w:t>
      </w:r>
    </w:p>
    <w:p w14:paraId="6B11AADA">
      <w:pPr>
        <w:pStyle w:val="16"/>
        <w:widowControl/>
        <w:numPr>
          <w:ilvl w:val="0"/>
          <w:numId w:val="4"/>
        </w:numPr>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污水管线布置</w:t>
      </w:r>
    </w:p>
    <w:p w14:paraId="7BCD26A3">
      <w:pPr>
        <w:numPr>
          <w:ilvl w:val="0"/>
          <w:numId w:val="5"/>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根据管网调查资料显示原合流管堵塞，本次在红盾新村小区内部道路上新建DN400mm污水主管155米，DN300mm污水支管689m，化粪池连接管655m，新建污水检查井84座，污水由北向南排入桐子岭路车行道已建DN600污水管。</w:t>
      </w:r>
    </w:p>
    <w:tbl>
      <w:tblPr>
        <w:tblStyle w:val="51"/>
        <w:tblW w:w="9966" w:type="dxa"/>
        <w:tblInd w:w="20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2"/>
        <w:gridCol w:w="1389"/>
        <w:gridCol w:w="1138"/>
        <w:gridCol w:w="521"/>
        <w:gridCol w:w="991"/>
        <w:gridCol w:w="755"/>
        <w:gridCol w:w="608"/>
        <w:gridCol w:w="637"/>
        <w:gridCol w:w="732"/>
        <w:gridCol w:w="732"/>
        <w:gridCol w:w="562"/>
        <w:gridCol w:w="769"/>
      </w:tblGrid>
      <w:tr w14:paraId="3BBEBC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5" w:hRule="atLeast"/>
        </w:trPr>
        <w:tc>
          <w:tcPr>
            <w:tcW w:w="1132" w:type="dxa"/>
            <w:vAlign w:val="top"/>
          </w:tcPr>
          <w:p w14:paraId="11A9D18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管段范围</w:t>
            </w:r>
          </w:p>
        </w:tc>
        <w:tc>
          <w:tcPr>
            <w:tcW w:w="1389" w:type="dxa"/>
            <w:vAlign w:val="top"/>
          </w:tcPr>
          <w:p w14:paraId="77F1ED27">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总服 务面 积  （ha)</w:t>
            </w:r>
          </w:p>
        </w:tc>
        <w:tc>
          <w:tcPr>
            <w:tcW w:w="1138" w:type="dxa"/>
            <w:vAlign w:val="top"/>
          </w:tcPr>
          <w:p w14:paraId="280F92F2">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平均日</w:t>
            </w:r>
          </w:p>
          <w:p w14:paraId="30F0C414">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污水量</w:t>
            </w:r>
          </w:p>
          <w:p w14:paraId="2C44B6CD">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（L/S)</w:t>
            </w:r>
          </w:p>
        </w:tc>
        <w:tc>
          <w:tcPr>
            <w:tcW w:w="521" w:type="dxa"/>
            <w:vAlign w:val="top"/>
          </w:tcPr>
          <w:p w14:paraId="577E30E7">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Kz</w:t>
            </w:r>
          </w:p>
        </w:tc>
        <w:tc>
          <w:tcPr>
            <w:tcW w:w="991" w:type="dxa"/>
            <w:vAlign w:val="top"/>
          </w:tcPr>
          <w:p w14:paraId="3EED5F06">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旱季设</w:t>
            </w:r>
          </w:p>
          <w:p w14:paraId="415C1257">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计污水</w:t>
            </w:r>
          </w:p>
          <w:p w14:paraId="6EAE4324">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量</w:t>
            </w:r>
          </w:p>
          <w:p w14:paraId="70D5DD1F">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（L/S)</w:t>
            </w:r>
          </w:p>
        </w:tc>
        <w:tc>
          <w:tcPr>
            <w:tcW w:w="755" w:type="dxa"/>
            <w:vAlign w:val="top"/>
          </w:tcPr>
          <w:p w14:paraId="1253D82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雨季设</w:t>
            </w:r>
          </w:p>
          <w:p w14:paraId="538CA7DA">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计污水</w:t>
            </w:r>
          </w:p>
          <w:p w14:paraId="37F1A1CC">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量</w:t>
            </w:r>
          </w:p>
          <w:p w14:paraId="6D78248C">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（L/S)</w:t>
            </w:r>
          </w:p>
        </w:tc>
        <w:tc>
          <w:tcPr>
            <w:tcW w:w="608" w:type="dxa"/>
            <w:vAlign w:val="top"/>
          </w:tcPr>
          <w:p w14:paraId="070EB0C5">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p>
          <w:p w14:paraId="566E8F3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管径 （mm)</w:t>
            </w:r>
          </w:p>
        </w:tc>
        <w:tc>
          <w:tcPr>
            <w:tcW w:w="637" w:type="dxa"/>
            <w:vAlign w:val="top"/>
          </w:tcPr>
          <w:p w14:paraId="4A4065E1">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p>
          <w:p w14:paraId="6547A621">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坡度</w:t>
            </w:r>
          </w:p>
        </w:tc>
        <w:tc>
          <w:tcPr>
            <w:tcW w:w="732" w:type="dxa"/>
            <w:vAlign w:val="top"/>
          </w:tcPr>
          <w:p w14:paraId="11375AD4">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default" w:ascii="仿宋" w:hAnsi="仿宋" w:eastAsia="仿宋" w:cs="仿宋"/>
                <w:color w:val="auto"/>
                <w:spacing w:val="-2"/>
                <w:sz w:val="24"/>
                <w:szCs w:val="24"/>
                <w:lang w:val="en-US" w:eastAsia="zh-CN"/>
              </w:rPr>
              <w:t>水力半径</w:t>
            </w:r>
          </w:p>
          <w:p w14:paraId="4DFD9965">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default" w:ascii="仿宋" w:hAnsi="仿宋" w:eastAsia="仿宋" w:cs="仿宋"/>
                <w:color w:val="auto"/>
                <w:spacing w:val="-2"/>
                <w:sz w:val="24"/>
                <w:szCs w:val="24"/>
                <w:lang w:val="en-US" w:eastAsia="zh-CN"/>
              </w:rPr>
              <w:t>R（m）</w:t>
            </w:r>
          </w:p>
        </w:tc>
        <w:tc>
          <w:tcPr>
            <w:tcW w:w="732" w:type="dxa"/>
            <w:vAlign w:val="top"/>
          </w:tcPr>
          <w:p w14:paraId="44608FE7">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充满</w:t>
            </w:r>
          </w:p>
          <w:p w14:paraId="5BD9F32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度</w:t>
            </w:r>
          </w:p>
        </w:tc>
        <w:tc>
          <w:tcPr>
            <w:tcW w:w="562" w:type="dxa"/>
            <w:vAlign w:val="top"/>
          </w:tcPr>
          <w:p w14:paraId="705FC5FC">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p>
          <w:p w14:paraId="252C0D3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流速 (m/s)</w:t>
            </w:r>
          </w:p>
        </w:tc>
        <w:tc>
          <w:tcPr>
            <w:tcW w:w="769" w:type="dxa"/>
            <w:vAlign w:val="top"/>
          </w:tcPr>
          <w:p w14:paraId="2F7D5A75">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排水能 力</w:t>
            </w:r>
          </w:p>
          <w:p w14:paraId="5CE999A1">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(L/S)</w:t>
            </w:r>
          </w:p>
        </w:tc>
      </w:tr>
      <w:tr w14:paraId="411C9F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18" w:hRule="atLeast"/>
        </w:trPr>
        <w:tc>
          <w:tcPr>
            <w:tcW w:w="1132" w:type="dxa"/>
            <w:vAlign w:val="top"/>
          </w:tcPr>
          <w:p w14:paraId="445FED61">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红盾新村</w:t>
            </w:r>
          </w:p>
        </w:tc>
        <w:tc>
          <w:tcPr>
            <w:tcW w:w="1389" w:type="dxa"/>
            <w:vAlign w:val="top"/>
          </w:tcPr>
          <w:p w14:paraId="7FFCEE24">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2.2</w:t>
            </w:r>
          </w:p>
        </w:tc>
        <w:tc>
          <w:tcPr>
            <w:tcW w:w="1138" w:type="dxa"/>
            <w:vAlign w:val="top"/>
          </w:tcPr>
          <w:p w14:paraId="404D91C2">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0.64</w:t>
            </w:r>
          </w:p>
        </w:tc>
        <w:tc>
          <w:tcPr>
            <w:tcW w:w="521" w:type="dxa"/>
            <w:vAlign w:val="top"/>
          </w:tcPr>
          <w:p w14:paraId="15A4AB32">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2.7</w:t>
            </w:r>
          </w:p>
        </w:tc>
        <w:tc>
          <w:tcPr>
            <w:tcW w:w="991" w:type="dxa"/>
            <w:shd w:val="clear" w:color="auto" w:fill="auto"/>
            <w:vAlign w:val="bottom"/>
          </w:tcPr>
          <w:p w14:paraId="4A132533">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 xml:space="preserve">1.78 </w:t>
            </w:r>
          </w:p>
        </w:tc>
        <w:tc>
          <w:tcPr>
            <w:tcW w:w="755" w:type="dxa"/>
            <w:vAlign w:val="top"/>
          </w:tcPr>
          <w:p w14:paraId="3B03A096">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5.35</w:t>
            </w:r>
          </w:p>
        </w:tc>
        <w:tc>
          <w:tcPr>
            <w:tcW w:w="608" w:type="dxa"/>
            <w:vAlign w:val="top"/>
          </w:tcPr>
          <w:p w14:paraId="565D7BE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400</w:t>
            </w:r>
          </w:p>
        </w:tc>
        <w:tc>
          <w:tcPr>
            <w:tcW w:w="637" w:type="dxa"/>
            <w:vAlign w:val="top"/>
          </w:tcPr>
          <w:p w14:paraId="41CE2F1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0.005</w:t>
            </w:r>
          </w:p>
        </w:tc>
        <w:tc>
          <w:tcPr>
            <w:tcW w:w="732" w:type="dxa"/>
            <w:vAlign w:val="top"/>
          </w:tcPr>
          <w:p w14:paraId="243B1467">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0.12</w:t>
            </w:r>
          </w:p>
        </w:tc>
        <w:tc>
          <w:tcPr>
            <w:tcW w:w="732" w:type="dxa"/>
            <w:vAlign w:val="top"/>
          </w:tcPr>
          <w:p w14:paraId="31E5D3E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0.55</w:t>
            </w:r>
          </w:p>
        </w:tc>
        <w:tc>
          <w:tcPr>
            <w:tcW w:w="562" w:type="dxa"/>
            <w:vAlign w:val="top"/>
          </w:tcPr>
          <w:p w14:paraId="3CDD92E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1.23</w:t>
            </w:r>
          </w:p>
        </w:tc>
        <w:tc>
          <w:tcPr>
            <w:tcW w:w="769" w:type="dxa"/>
            <w:vAlign w:val="top"/>
          </w:tcPr>
          <w:p w14:paraId="4C9C3071">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87.08</w:t>
            </w:r>
          </w:p>
        </w:tc>
      </w:tr>
    </w:tbl>
    <w:p w14:paraId="1EF84422">
      <w:pPr>
        <w:numPr>
          <w:ilvl w:val="0"/>
          <w:numId w:val="0"/>
        </w:numPr>
        <w:spacing w:line="360" w:lineRule="auto"/>
        <w:jc w:val="center"/>
        <w:rPr>
          <w:rFonts w:hint="eastAsia" w:ascii="仿宋" w:hAnsi="仿宋" w:eastAsia="仿宋" w:cs="仿宋"/>
          <w:color w:val="auto"/>
          <w:w w:val="95"/>
          <w:sz w:val="28"/>
          <w:szCs w:val="28"/>
          <w:lang w:val="en-US" w:eastAsia="zh-CN"/>
        </w:rPr>
      </w:pPr>
      <w:r>
        <w:drawing>
          <wp:inline distT="0" distB="0" distL="114300" distR="114300">
            <wp:extent cx="5987415" cy="4893945"/>
            <wp:effectExtent l="0" t="0" r="13335" b="1905"/>
            <wp:docPr id="2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3"/>
                    <pic:cNvPicPr>
                      <a:picLocks noChangeAspect="1"/>
                    </pic:cNvPicPr>
                  </pic:nvPicPr>
                  <pic:blipFill>
                    <a:blip r:embed="rId29"/>
                    <a:stretch>
                      <a:fillRect/>
                    </a:stretch>
                  </pic:blipFill>
                  <pic:spPr>
                    <a:xfrm>
                      <a:off x="0" y="0"/>
                      <a:ext cx="5987415" cy="4893945"/>
                    </a:xfrm>
                    <a:prstGeom prst="rect">
                      <a:avLst/>
                    </a:prstGeom>
                    <a:noFill/>
                    <a:ln>
                      <a:noFill/>
                    </a:ln>
                  </pic:spPr>
                </pic:pic>
              </a:graphicData>
            </a:graphic>
          </wp:inline>
        </w:drawing>
      </w:r>
    </w:p>
    <w:p w14:paraId="673CD05B">
      <w:pPr>
        <w:numPr>
          <w:ilvl w:val="0"/>
          <w:numId w:val="5"/>
        </w:numPr>
        <w:spacing w:line="360" w:lineRule="auto"/>
        <w:ind w:firstLine="532" w:firstLineChars="200"/>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梅子柿社区污水共设1个排口，A区在村路下新建DN400mm污水主管，在A区最低点设置一体化泵站，最终将污水抽排至双拥路DN600mm污水管。B区在村路下新建DN400mm污水主管，同样将设置一体化泵站，最终将污水抽排至双拥路DN600mm污水管。另外设计包含污水管的入户设计，主要负责收集居民的厨房出水和洗手间出水，通过DN200入户管收集至接户井，然后再由接户井输送至道路污水检查井内，现场可根据居民的分布情况和房屋的布局对入户管进行调整。</w:t>
      </w:r>
    </w:p>
    <w:tbl>
      <w:tblPr>
        <w:tblStyle w:val="51"/>
        <w:tblW w:w="9966" w:type="dxa"/>
        <w:tblInd w:w="20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2"/>
        <w:gridCol w:w="1389"/>
        <w:gridCol w:w="1138"/>
        <w:gridCol w:w="521"/>
        <w:gridCol w:w="991"/>
        <w:gridCol w:w="755"/>
        <w:gridCol w:w="608"/>
        <w:gridCol w:w="637"/>
        <w:gridCol w:w="732"/>
        <w:gridCol w:w="732"/>
        <w:gridCol w:w="562"/>
        <w:gridCol w:w="769"/>
      </w:tblGrid>
      <w:tr w14:paraId="40C516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5" w:hRule="atLeast"/>
        </w:trPr>
        <w:tc>
          <w:tcPr>
            <w:tcW w:w="1132" w:type="dxa"/>
            <w:vAlign w:val="top"/>
          </w:tcPr>
          <w:p w14:paraId="7A421B35">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管段范围</w:t>
            </w:r>
          </w:p>
        </w:tc>
        <w:tc>
          <w:tcPr>
            <w:tcW w:w="1389" w:type="dxa"/>
            <w:vAlign w:val="top"/>
          </w:tcPr>
          <w:p w14:paraId="6E47442A">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总服 务面 积  （ha)</w:t>
            </w:r>
          </w:p>
        </w:tc>
        <w:tc>
          <w:tcPr>
            <w:tcW w:w="1138" w:type="dxa"/>
            <w:vAlign w:val="top"/>
          </w:tcPr>
          <w:p w14:paraId="230ACBE0">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平均日</w:t>
            </w:r>
          </w:p>
          <w:p w14:paraId="4F46BE5A">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污水量</w:t>
            </w:r>
          </w:p>
          <w:p w14:paraId="7BE91F2D">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（L/S)</w:t>
            </w:r>
          </w:p>
        </w:tc>
        <w:tc>
          <w:tcPr>
            <w:tcW w:w="521" w:type="dxa"/>
            <w:vAlign w:val="top"/>
          </w:tcPr>
          <w:p w14:paraId="625B33D8">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Kz</w:t>
            </w:r>
          </w:p>
        </w:tc>
        <w:tc>
          <w:tcPr>
            <w:tcW w:w="991" w:type="dxa"/>
            <w:vAlign w:val="top"/>
          </w:tcPr>
          <w:p w14:paraId="5BFA4AAF">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旱季设</w:t>
            </w:r>
          </w:p>
          <w:p w14:paraId="05839545">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计污水</w:t>
            </w:r>
          </w:p>
          <w:p w14:paraId="101490E5">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量</w:t>
            </w:r>
          </w:p>
          <w:p w14:paraId="0EB943C1">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（L/S)</w:t>
            </w:r>
          </w:p>
        </w:tc>
        <w:tc>
          <w:tcPr>
            <w:tcW w:w="755" w:type="dxa"/>
            <w:vAlign w:val="top"/>
          </w:tcPr>
          <w:p w14:paraId="38868ABC">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雨季设</w:t>
            </w:r>
          </w:p>
          <w:p w14:paraId="7CFA723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计污水</w:t>
            </w:r>
          </w:p>
          <w:p w14:paraId="7CEDD4CF">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量</w:t>
            </w:r>
          </w:p>
          <w:p w14:paraId="0C894A5D">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（L/S)</w:t>
            </w:r>
          </w:p>
        </w:tc>
        <w:tc>
          <w:tcPr>
            <w:tcW w:w="608" w:type="dxa"/>
            <w:vAlign w:val="top"/>
          </w:tcPr>
          <w:p w14:paraId="12010CB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p>
          <w:p w14:paraId="54903D6C">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管径 （mm)</w:t>
            </w:r>
          </w:p>
        </w:tc>
        <w:tc>
          <w:tcPr>
            <w:tcW w:w="637" w:type="dxa"/>
            <w:vAlign w:val="top"/>
          </w:tcPr>
          <w:p w14:paraId="04E806CC">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p>
          <w:p w14:paraId="0551C0C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坡度</w:t>
            </w:r>
          </w:p>
        </w:tc>
        <w:tc>
          <w:tcPr>
            <w:tcW w:w="732" w:type="dxa"/>
            <w:vAlign w:val="top"/>
          </w:tcPr>
          <w:p w14:paraId="787844FA">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default" w:ascii="仿宋" w:hAnsi="仿宋" w:eastAsia="仿宋" w:cs="仿宋"/>
                <w:color w:val="auto"/>
                <w:spacing w:val="-2"/>
                <w:sz w:val="24"/>
                <w:szCs w:val="24"/>
                <w:lang w:val="en-US" w:eastAsia="zh-CN"/>
              </w:rPr>
              <w:t>水力半径</w:t>
            </w:r>
          </w:p>
          <w:p w14:paraId="495C21F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default" w:ascii="仿宋" w:hAnsi="仿宋" w:eastAsia="仿宋" w:cs="仿宋"/>
                <w:color w:val="auto"/>
                <w:spacing w:val="-2"/>
                <w:sz w:val="24"/>
                <w:szCs w:val="24"/>
                <w:lang w:val="en-US" w:eastAsia="zh-CN"/>
              </w:rPr>
              <w:t>R（m）</w:t>
            </w:r>
          </w:p>
        </w:tc>
        <w:tc>
          <w:tcPr>
            <w:tcW w:w="732" w:type="dxa"/>
            <w:vAlign w:val="top"/>
          </w:tcPr>
          <w:p w14:paraId="0DCBAF47">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充满</w:t>
            </w:r>
          </w:p>
          <w:p w14:paraId="6577238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度</w:t>
            </w:r>
          </w:p>
        </w:tc>
        <w:tc>
          <w:tcPr>
            <w:tcW w:w="562" w:type="dxa"/>
            <w:vAlign w:val="top"/>
          </w:tcPr>
          <w:p w14:paraId="71889107">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p>
          <w:p w14:paraId="38CE0133">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流速 (m/s)</w:t>
            </w:r>
          </w:p>
        </w:tc>
        <w:tc>
          <w:tcPr>
            <w:tcW w:w="769" w:type="dxa"/>
            <w:vAlign w:val="top"/>
          </w:tcPr>
          <w:p w14:paraId="0E5D11B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排水能 力</w:t>
            </w:r>
          </w:p>
          <w:p w14:paraId="2B89F18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(L/S)</w:t>
            </w:r>
          </w:p>
        </w:tc>
      </w:tr>
      <w:tr w14:paraId="350BA9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trPr>
        <w:tc>
          <w:tcPr>
            <w:tcW w:w="1132" w:type="dxa"/>
            <w:vAlign w:val="top"/>
          </w:tcPr>
          <w:p w14:paraId="24551D8D">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梅子柿子A</w:t>
            </w:r>
          </w:p>
        </w:tc>
        <w:tc>
          <w:tcPr>
            <w:tcW w:w="1389" w:type="dxa"/>
            <w:vAlign w:val="top"/>
          </w:tcPr>
          <w:p w14:paraId="0DF1B3B6">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8.48</w:t>
            </w:r>
          </w:p>
        </w:tc>
        <w:tc>
          <w:tcPr>
            <w:tcW w:w="1138" w:type="dxa"/>
            <w:shd w:val="clear" w:color="auto" w:fill="auto"/>
            <w:vAlign w:val="bottom"/>
          </w:tcPr>
          <w:p w14:paraId="47966802">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 xml:space="preserve">2.45 </w:t>
            </w:r>
          </w:p>
        </w:tc>
        <w:tc>
          <w:tcPr>
            <w:tcW w:w="521" w:type="dxa"/>
            <w:vAlign w:val="top"/>
          </w:tcPr>
          <w:p w14:paraId="2976CC6F">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2.7</w:t>
            </w:r>
          </w:p>
        </w:tc>
        <w:tc>
          <w:tcPr>
            <w:tcW w:w="991" w:type="dxa"/>
            <w:shd w:val="clear" w:color="auto" w:fill="auto"/>
            <w:vAlign w:val="bottom"/>
          </w:tcPr>
          <w:p w14:paraId="7C8D2AC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 xml:space="preserve">6.87 </w:t>
            </w:r>
          </w:p>
        </w:tc>
        <w:tc>
          <w:tcPr>
            <w:tcW w:w="755" w:type="dxa"/>
            <w:shd w:val="clear" w:color="auto" w:fill="auto"/>
            <w:vAlign w:val="bottom"/>
          </w:tcPr>
          <w:p w14:paraId="1AB3A092">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 xml:space="preserve">20.61 </w:t>
            </w:r>
          </w:p>
        </w:tc>
        <w:tc>
          <w:tcPr>
            <w:tcW w:w="608" w:type="dxa"/>
            <w:vAlign w:val="top"/>
          </w:tcPr>
          <w:p w14:paraId="77E3EADC">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400</w:t>
            </w:r>
          </w:p>
        </w:tc>
        <w:tc>
          <w:tcPr>
            <w:tcW w:w="637" w:type="dxa"/>
            <w:vAlign w:val="top"/>
          </w:tcPr>
          <w:p w14:paraId="2BB6A893">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0.005</w:t>
            </w:r>
          </w:p>
        </w:tc>
        <w:tc>
          <w:tcPr>
            <w:tcW w:w="732" w:type="dxa"/>
            <w:vAlign w:val="top"/>
          </w:tcPr>
          <w:p w14:paraId="67D7DED9">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0.12</w:t>
            </w:r>
          </w:p>
        </w:tc>
        <w:tc>
          <w:tcPr>
            <w:tcW w:w="732" w:type="dxa"/>
            <w:vAlign w:val="top"/>
          </w:tcPr>
          <w:p w14:paraId="78E08528">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0.55</w:t>
            </w:r>
          </w:p>
        </w:tc>
        <w:tc>
          <w:tcPr>
            <w:tcW w:w="562" w:type="dxa"/>
            <w:vAlign w:val="top"/>
          </w:tcPr>
          <w:p w14:paraId="1C4C11F7">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1.23</w:t>
            </w:r>
          </w:p>
        </w:tc>
        <w:tc>
          <w:tcPr>
            <w:tcW w:w="769" w:type="dxa"/>
            <w:vAlign w:val="top"/>
          </w:tcPr>
          <w:p w14:paraId="02D409E4">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87.08</w:t>
            </w:r>
          </w:p>
        </w:tc>
      </w:tr>
      <w:tr w14:paraId="3F3BB8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trPr>
        <w:tc>
          <w:tcPr>
            <w:tcW w:w="1132" w:type="dxa"/>
            <w:vAlign w:val="top"/>
          </w:tcPr>
          <w:p w14:paraId="274E3CBA">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梅子柿子B</w:t>
            </w:r>
          </w:p>
        </w:tc>
        <w:tc>
          <w:tcPr>
            <w:tcW w:w="1389" w:type="dxa"/>
            <w:vAlign w:val="top"/>
          </w:tcPr>
          <w:p w14:paraId="123D7A62">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7.5</w:t>
            </w:r>
          </w:p>
        </w:tc>
        <w:tc>
          <w:tcPr>
            <w:tcW w:w="1138" w:type="dxa"/>
            <w:shd w:val="clear" w:color="auto" w:fill="auto"/>
            <w:vAlign w:val="bottom"/>
          </w:tcPr>
          <w:p w14:paraId="1D055995">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 xml:space="preserve">2.17 </w:t>
            </w:r>
          </w:p>
        </w:tc>
        <w:tc>
          <w:tcPr>
            <w:tcW w:w="521" w:type="dxa"/>
            <w:vAlign w:val="top"/>
          </w:tcPr>
          <w:p w14:paraId="55A9C65C">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2.7</w:t>
            </w:r>
          </w:p>
        </w:tc>
        <w:tc>
          <w:tcPr>
            <w:tcW w:w="991" w:type="dxa"/>
            <w:shd w:val="clear" w:color="auto" w:fill="auto"/>
            <w:vAlign w:val="bottom"/>
          </w:tcPr>
          <w:p w14:paraId="1C6174A2">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6.08</w:t>
            </w:r>
          </w:p>
        </w:tc>
        <w:tc>
          <w:tcPr>
            <w:tcW w:w="755" w:type="dxa"/>
            <w:shd w:val="clear" w:color="auto" w:fill="auto"/>
            <w:vAlign w:val="bottom"/>
          </w:tcPr>
          <w:p w14:paraId="007D4B8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 xml:space="preserve">18.23 </w:t>
            </w:r>
          </w:p>
        </w:tc>
        <w:tc>
          <w:tcPr>
            <w:tcW w:w="608" w:type="dxa"/>
            <w:shd w:val="clear" w:color="auto" w:fill="auto"/>
            <w:vAlign w:val="top"/>
          </w:tcPr>
          <w:p w14:paraId="42A87005">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400</w:t>
            </w:r>
          </w:p>
        </w:tc>
        <w:tc>
          <w:tcPr>
            <w:tcW w:w="637" w:type="dxa"/>
            <w:shd w:val="clear" w:color="auto" w:fill="auto"/>
            <w:vAlign w:val="top"/>
          </w:tcPr>
          <w:p w14:paraId="3DC28E6A">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0.005</w:t>
            </w:r>
          </w:p>
        </w:tc>
        <w:tc>
          <w:tcPr>
            <w:tcW w:w="732" w:type="dxa"/>
            <w:shd w:val="clear" w:color="auto" w:fill="auto"/>
            <w:vAlign w:val="top"/>
          </w:tcPr>
          <w:p w14:paraId="5A147C4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0.12</w:t>
            </w:r>
          </w:p>
        </w:tc>
        <w:tc>
          <w:tcPr>
            <w:tcW w:w="732" w:type="dxa"/>
            <w:shd w:val="clear" w:color="auto" w:fill="auto"/>
            <w:vAlign w:val="top"/>
          </w:tcPr>
          <w:p w14:paraId="2ED3274F">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kern w:val="2"/>
                <w:sz w:val="24"/>
                <w:szCs w:val="24"/>
                <w:lang w:val="en-US" w:eastAsia="zh-CN" w:bidi="ar-SA"/>
              </w:rPr>
            </w:pPr>
            <w:r>
              <w:rPr>
                <w:rFonts w:hint="eastAsia" w:ascii="仿宋" w:hAnsi="仿宋" w:eastAsia="仿宋" w:cs="仿宋"/>
                <w:color w:val="auto"/>
                <w:spacing w:val="-2"/>
                <w:sz w:val="24"/>
                <w:szCs w:val="24"/>
                <w:lang w:val="en-US" w:eastAsia="zh-CN"/>
              </w:rPr>
              <w:t>0.55</w:t>
            </w:r>
          </w:p>
        </w:tc>
        <w:tc>
          <w:tcPr>
            <w:tcW w:w="562" w:type="dxa"/>
            <w:shd w:val="clear" w:color="auto" w:fill="auto"/>
            <w:vAlign w:val="top"/>
          </w:tcPr>
          <w:p w14:paraId="1D591F89">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kern w:val="2"/>
                <w:sz w:val="24"/>
                <w:szCs w:val="24"/>
                <w:lang w:val="en-US" w:eastAsia="zh-CN" w:bidi="ar-SA"/>
              </w:rPr>
            </w:pPr>
            <w:r>
              <w:rPr>
                <w:rFonts w:hint="eastAsia" w:ascii="仿宋" w:hAnsi="仿宋" w:eastAsia="仿宋" w:cs="仿宋"/>
                <w:color w:val="auto"/>
                <w:spacing w:val="-2"/>
                <w:sz w:val="24"/>
                <w:szCs w:val="24"/>
                <w:lang w:val="en-US" w:eastAsia="zh-CN"/>
              </w:rPr>
              <w:t>1.23</w:t>
            </w:r>
          </w:p>
        </w:tc>
        <w:tc>
          <w:tcPr>
            <w:tcW w:w="769" w:type="dxa"/>
            <w:shd w:val="clear" w:color="auto" w:fill="auto"/>
            <w:vAlign w:val="top"/>
          </w:tcPr>
          <w:p w14:paraId="35739802">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kern w:val="2"/>
                <w:sz w:val="24"/>
                <w:szCs w:val="24"/>
                <w:lang w:val="en-US" w:eastAsia="zh-CN" w:bidi="ar-SA"/>
              </w:rPr>
            </w:pPr>
            <w:r>
              <w:rPr>
                <w:rFonts w:hint="eastAsia" w:ascii="仿宋" w:hAnsi="仿宋" w:eastAsia="仿宋" w:cs="仿宋"/>
                <w:color w:val="auto"/>
                <w:spacing w:val="-2"/>
                <w:sz w:val="24"/>
                <w:szCs w:val="24"/>
                <w:lang w:val="en-US" w:eastAsia="zh-CN"/>
              </w:rPr>
              <w:t>87.08</w:t>
            </w:r>
          </w:p>
        </w:tc>
      </w:tr>
    </w:tbl>
    <w:p w14:paraId="4375225E">
      <w:pPr>
        <w:numPr>
          <w:ilvl w:val="0"/>
          <w:numId w:val="0"/>
        </w:numPr>
        <w:spacing w:line="360" w:lineRule="auto"/>
        <w:jc w:val="center"/>
        <w:rPr>
          <w:rFonts w:hint="default" w:ascii="仿宋" w:hAnsi="仿宋" w:eastAsia="仿宋" w:cs="仿宋"/>
          <w:color w:val="auto"/>
          <w:w w:val="95"/>
          <w:sz w:val="28"/>
          <w:szCs w:val="28"/>
          <w:lang w:val="en-US" w:eastAsia="zh-CN"/>
        </w:rPr>
      </w:pPr>
      <w:r>
        <w:drawing>
          <wp:inline distT="0" distB="0" distL="114300" distR="114300">
            <wp:extent cx="4301490" cy="4906645"/>
            <wp:effectExtent l="0" t="0" r="3810" b="8255"/>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30"/>
                    <a:stretch>
                      <a:fillRect/>
                    </a:stretch>
                  </pic:blipFill>
                  <pic:spPr>
                    <a:xfrm>
                      <a:off x="0" y="0"/>
                      <a:ext cx="4301490" cy="4906645"/>
                    </a:xfrm>
                    <a:prstGeom prst="rect">
                      <a:avLst/>
                    </a:prstGeom>
                    <a:noFill/>
                    <a:ln>
                      <a:noFill/>
                    </a:ln>
                  </pic:spPr>
                </pic:pic>
              </a:graphicData>
            </a:graphic>
          </wp:inline>
        </w:drawing>
      </w:r>
    </w:p>
    <w:p w14:paraId="32F9DCF2">
      <w:pPr>
        <w:numPr>
          <w:ilvl w:val="0"/>
          <w:numId w:val="0"/>
        </w:numPr>
        <w:spacing w:line="360" w:lineRule="auto"/>
        <w:jc w:val="center"/>
      </w:pPr>
    </w:p>
    <w:p w14:paraId="4A39B405">
      <w:pPr>
        <w:numPr>
          <w:ilvl w:val="0"/>
          <w:numId w:val="5"/>
        </w:numPr>
        <w:spacing w:line="360" w:lineRule="auto"/>
        <w:ind w:firstLine="532" w:firstLineChars="200"/>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本次在西塘镇村道路上修复重建DN600mm污水主管580米，重建污水检查井19座，污水由西向东排入已建污水处理厂。</w:t>
      </w:r>
    </w:p>
    <w:p w14:paraId="429CDBDE">
      <w:pPr>
        <w:numPr>
          <w:ilvl w:val="0"/>
          <w:numId w:val="0"/>
        </w:numPr>
        <w:spacing w:line="360" w:lineRule="auto"/>
        <w:jc w:val="center"/>
        <w:rPr>
          <w:rFonts w:hint="default" w:ascii="仿宋" w:hAnsi="仿宋" w:eastAsia="仿宋" w:cs="仿宋"/>
          <w:color w:val="auto"/>
          <w:w w:val="95"/>
          <w:sz w:val="28"/>
          <w:szCs w:val="28"/>
          <w:lang w:val="en-US" w:eastAsia="zh-CN"/>
        </w:rPr>
      </w:pPr>
      <w:r>
        <w:drawing>
          <wp:inline distT="0" distB="0" distL="114300" distR="114300">
            <wp:extent cx="4874260" cy="3444875"/>
            <wp:effectExtent l="0" t="0" r="2540" b="317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4874260" cy="3444875"/>
                    </a:xfrm>
                    <a:prstGeom prst="rect">
                      <a:avLst/>
                    </a:prstGeom>
                    <a:noFill/>
                    <a:ln>
                      <a:noFill/>
                    </a:ln>
                  </pic:spPr>
                </pic:pic>
              </a:graphicData>
            </a:graphic>
          </wp:inline>
        </w:drawing>
      </w:r>
    </w:p>
    <w:p w14:paraId="6891EB99">
      <w:pPr>
        <w:numPr>
          <w:ilvl w:val="0"/>
          <w:numId w:val="5"/>
        </w:numPr>
        <w:spacing w:line="360" w:lineRule="auto"/>
        <w:ind w:firstLine="532" w:firstLineChars="200"/>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根据管网调查资料显示大桥新城原污水支管堵塞、错位、坍塌，导致污水溢流，改建D300mm污水支管608米，清淤936米，新建污水检查井65座，污水接入保留的主管，最终由北向南接入王家畈路市政主污水管。</w:t>
      </w:r>
    </w:p>
    <w:tbl>
      <w:tblPr>
        <w:tblStyle w:val="51"/>
        <w:tblW w:w="9966" w:type="dxa"/>
        <w:tblInd w:w="20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2"/>
        <w:gridCol w:w="1389"/>
        <w:gridCol w:w="1138"/>
        <w:gridCol w:w="521"/>
        <w:gridCol w:w="991"/>
        <w:gridCol w:w="755"/>
        <w:gridCol w:w="608"/>
        <w:gridCol w:w="637"/>
        <w:gridCol w:w="732"/>
        <w:gridCol w:w="732"/>
        <w:gridCol w:w="562"/>
        <w:gridCol w:w="769"/>
      </w:tblGrid>
      <w:tr w14:paraId="2CC67C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5" w:hRule="atLeast"/>
        </w:trPr>
        <w:tc>
          <w:tcPr>
            <w:tcW w:w="1132" w:type="dxa"/>
            <w:vAlign w:val="top"/>
          </w:tcPr>
          <w:p w14:paraId="7A12E185">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管段范围</w:t>
            </w:r>
          </w:p>
        </w:tc>
        <w:tc>
          <w:tcPr>
            <w:tcW w:w="1389" w:type="dxa"/>
            <w:vAlign w:val="top"/>
          </w:tcPr>
          <w:p w14:paraId="679DFFC8">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总服 务面 积  （ha)</w:t>
            </w:r>
          </w:p>
        </w:tc>
        <w:tc>
          <w:tcPr>
            <w:tcW w:w="1138" w:type="dxa"/>
            <w:vAlign w:val="top"/>
          </w:tcPr>
          <w:p w14:paraId="3C21665C">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平均日</w:t>
            </w:r>
          </w:p>
          <w:p w14:paraId="2B1D0EDD">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污水量</w:t>
            </w:r>
          </w:p>
          <w:p w14:paraId="545E8209">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（L/S)</w:t>
            </w:r>
          </w:p>
        </w:tc>
        <w:tc>
          <w:tcPr>
            <w:tcW w:w="521" w:type="dxa"/>
            <w:vAlign w:val="top"/>
          </w:tcPr>
          <w:p w14:paraId="4B016ECF">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Kz</w:t>
            </w:r>
          </w:p>
        </w:tc>
        <w:tc>
          <w:tcPr>
            <w:tcW w:w="991" w:type="dxa"/>
            <w:vAlign w:val="top"/>
          </w:tcPr>
          <w:p w14:paraId="62F3E458">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旱季设</w:t>
            </w:r>
          </w:p>
          <w:p w14:paraId="64601012">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计污水</w:t>
            </w:r>
          </w:p>
          <w:p w14:paraId="2341A66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量</w:t>
            </w:r>
          </w:p>
          <w:p w14:paraId="06CD7E73">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（L/S)</w:t>
            </w:r>
          </w:p>
        </w:tc>
        <w:tc>
          <w:tcPr>
            <w:tcW w:w="755" w:type="dxa"/>
            <w:vAlign w:val="top"/>
          </w:tcPr>
          <w:p w14:paraId="1AD47A4F">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雨季设</w:t>
            </w:r>
          </w:p>
          <w:p w14:paraId="5BFA67F0">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计污水</w:t>
            </w:r>
          </w:p>
          <w:p w14:paraId="2A60469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量</w:t>
            </w:r>
          </w:p>
          <w:p w14:paraId="59809FF6">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（L/S)</w:t>
            </w:r>
          </w:p>
        </w:tc>
        <w:tc>
          <w:tcPr>
            <w:tcW w:w="608" w:type="dxa"/>
            <w:vAlign w:val="top"/>
          </w:tcPr>
          <w:p w14:paraId="7916CD12">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p>
          <w:p w14:paraId="00E4D6F8">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管径 （mm)</w:t>
            </w:r>
          </w:p>
        </w:tc>
        <w:tc>
          <w:tcPr>
            <w:tcW w:w="637" w:type="dxa"/>
            <w:vAlign w:val="top"/>
          </w:tcPr>
          <w:p w14:paraId="66E02CB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p>
          <w:p w14:paraId="4B2A75E9">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坡度</w:t>
            </w:r>
          </w:p>
        </w:tc>
        <w:tc>
          <w:tcPr>
            <w:tcW w:w="732" w:type="dxa"/>
            <w:vAlign w:val="top"/>
          </w:tcPr>
          <w:p w14:paraId="37181EF9">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default" w:ascii="仿宋" w:hAnsi="仿宋" w:eastAsia="仿宋" w:cs="仿宋"/>
                <w:color w:val="auto"/>
                <w:spacing w:val="-2"/>
                <w:sz w:val="24"/>
                <w:szCs w:val="24"/>
                <w:lang w:val="en-US" w:eastAsia="zh-CN"/>
              </w:rPr>
              <w:t>水力半径</w:t>
            </w:r>
          </w:p>
          <w:p w14:paraId="64C2C388">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default" w:ascii="仿宋" w:hAnsi="仿宋" w:eastAsia="仿宋" w:cs="仿宋"/>
                <w:color w:val="auto"/>
                <w:spacing w:val="-2"/>
                <w:sz w:val="24"/>
                <w:szCs w:val="24"/>
                <w:lang w:val="en-US" w:eastAsia="zh-CN"/>
              </w:rPr>
              <w:t>R（m）</w:t>
            </w:r>
          </w:p>
        </w:tc>
        <w:tc>
          <w:tcPr>
            <w:tcW w:w="732" w:type="dxa"/>
            <w:vAlign w:val="top"/>
          </w:tcPr>
          <w:p w14:paraId="2D0306DD">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充满</w:t>
            </w:r>
          </w:p>
          <w:p w14:paraId="03A9FBE4">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度</w:t>
            </w:r>
          </w:p>
        </w:tc>
        <w:tc>
          <w:tcPr>
            <w:tcW w:w="562" w:type="dxa"/>
            <w:vAlign w:val="top"/>
          </w:tcPr>
          <w:p w14:paraId="4C2CAAD3">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p>
          <w:p w14:paraId="5C41B808">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流速 (m/s)</w:t>
            </w:r>
          </w:p>
        </w:tc>
        <w:tc>
          <w:tcPr>
            <w:tcW w:w="769" w:type="dxa"/>
            <w:vAlign w:val="top"/>
          </w:tcPr>
          <w:p w14:paraId="3C7380F0">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排水能 力</w:t>
            </w:r>
          </w:p>
          <w:p w14:paraId="270834C9">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(L/S)</w:t>
            </w:r>
          </w:p>
        </w:tc>
      </w:tr>
      <w:tr w14:paraId="5C3C19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18" w:hRule="atLeast"/>
        </w:trPr>
        <w:tc>
          <w:tcPr>
            <w:tcW w:w="1132" w:type="dxa"/>
            <w:vAlign w:val="top"/>
          </w:tcPr>
          <w:p w14:paraId="2C994FE9">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大桥新城</w:t>
            </w:r>
          </w:p>
        </w:tc>
        <w:tc>
          <w:tcPr>
            <w:tcW w:w="1389" w:type="dxa"/>
            <w:vAlign w:val="top"/>
          </w:tcPr>
          <w:p w14:paraId="1F706D38">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1.4</w:t>
            </w:r>
          </w:p>
        </w:tc>
        <w:tc>
          <w:tcPr>
            <w:tcW w:w="1138" w:type="dxa"/>
            <w:shd w:val="clear"/>
            <w:vAlign w:val="bottom"/>
          </w:tcPr>
          <w:p w14:paraId="06ED19CD">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 xml:space="preserve">0.41 </w:t>
            </w:r>
          </w:p>
        </w:tc>
        <w:tc>
          <w:tcPr>
            <w:tcW w:w="521" w:type="dxa"/>
            <w:vAlign w:val="top"/>
          </w:tcPr>
          <w:p w14:paraId="6A16955C">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2.7</w:t>
            </w:r>
          </w:p>
        </w:tc>
        <w:tc>
          <w:tcPr>
            <w:tcW w:w="991" w:type="dxa"/>
            <w:shd w:val="clear"/>
            <w:vAlign w:val="bottom"/>
          </w:tcPr>
          <w:p w14:paraId="3F4A9C87">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 xml:space="preserve">1.13 </w:t>
            </w:r>
          </w:p>
        </w:tc>
        <w:tc>
          <w:tcPr>
            <w:tcW w:w="755" w:type="dxa"/>
            <w:shd w:val="clear"/>
            <w:vAlign w:val="bottom"/>
          </w:tcPr>
          <w:p w14:paraId="375390BA">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 xml:space="preserve">3.40 </w:t>
            </w:r>
          </w:p>
        </w:tc>
        <w:tc>
          <w:tcPr>
            <w:tcW w:w="608" w:type="dxa"/>
            <w:vAlign w:val="top"/>
          </w:tcPr>
          <w:p w14:paraId="7CDAE86C">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300</w:t>
            </w:r>
          </w:p>
        </w:tc>
        <w:tc>
          <w:tcPr>
            <w:tcW w:w="637" w:type="dxa"/>
            <w:vAlign w:val="top"/>
          </w:tcPr>
          <w:p w14:paraId="1E65C0DA">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0.003</w:t>
            </w:r>
          </w:p>
        </w:tc>
        <w:tc>
          <w:tcPr>
            <w:tcW w:w="732" w:type="dxa"/>
            <w:shd w:val="clear"/>
            <w:vAlign w:val="bottom"/>
          </w:tcPr>
          <w:p w14:paraId="4F0C21B6">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 xml:space="preserve">0.09 </w:t>
            </w:r>
          </w:p>
        </w:tc>
        <w:tc>
          <w:tcPr>
            <w:tcW w:w="732" w:type="dxa"/>
            <w:vAlign w:val="top"/>
          </w:tcPr>
          <w:p w14:paraId="178CC4C2">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0.55</w:t>
            </w:r>
          </w:p>
        </w:tc>
        <w:tc>
          <w:tcPr>
            <w:tcW w:w="562" w:type="dxa"/>
            <w:vAlign w:val="top"/>
          </w:tcPr>
          <w:p w14:paraId="4692FFE6">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0.72</w:t>
            </w:r>
          </w:p>
        </w:tc>
        <w:tc>
          <w:tcPr>
            <w:tcW w:w="769" w:type="dxa"/>
            <w:shd w:val="clear"/>
            <w:vAlign w:val="bottom"/>
          </w:tcPr>
          <w:p w14:paraId="4D7ED043">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 xml:space="preserve">28.59 </w:t>
            </w:r>
          </w:p>
        </w:tc>
      </w:tr>
    </w:tbl>
    <w:p w14:paraId="6D0B19C1">
      <w:pPr>
        <w:numPr>
          <w:ilvl w:val="0"/>
          <w:numId w:val="0"/>
        </w:numPr>
        <w:spacing w:line="360" w:lineRule="auto"/>
        <w:jc w:val="center"/>
        <w:rPr>
          <w:rFonts w:hint="default" w:ascii="仿宋" w:hAnsi="仿宋" w:eastAsia="仿宋" w:cs="仿宋"/>
          <w:color w:val="auto"/>
          <w:w w:val="95"/>
          <w:sz w:val="28"/>
          <w:szCs w:val="28"/>
          <w:lang w:val="en-US" w:eastAsia="zh-CN"/>
        </w:rPr>
      </w:pPr>
      <w:r>
        <w:drawing>
          <wp:inline distT="0" distB="0" distL="114300" distR="114300">
            <wp:extent cx="4091305" cy="4973320"/>
            <wp:effectExtent l="0" t="0" r="4445" b="17780"/>
            <wp:docPr id="2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6"/>
                    <pic:cNvPicPr>
                      <a:picLocks noChangeAspect="1"/>
                    </pic:cNvPicPr>
                  </pic:nvPicPr>
                  <pic:blipFill>
                    <a:blip r:embed="rId32"/>
                    <a:srcRect b="7994"/>
                    <a:stretch>
                      <a:fillRect/>
                    </a:stretch>
                  </pic:blipFill>
                  <pic:spPr>
                    <a:xfrm>
                      <a:off x="0" y="0"/>
                      <a:ext cx="4091305" cy="4973320"/>
                    </a:xfrm>
                    <a:prstGeom prst="rect">
                      <a:avLst/>
                    </a:prstGeom>
                    <a:noFill/>
                    <a:ln>
                      <a:noFill/>
                    </a:ln>
                  </pic:spPr>
                </pic:pic>
              </a:graphicData>
            </a:graphic>
          </wp:inline>
        </w:drawing>
      </w:r>
    </w:p>
    <w:p w14:paraId="631734DE">
      <w:pPr>
        <w:numPr>
          <w:ilvl w:val="0"/>
          <w:numId w:val="5"/>
        </w:numPr>
        <w:spacing w:line="360" w:lineRule="auto"/>
        <w:ind w:firstLine="532" w:firstLineChars="200"/>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廖家小区内部污水改造：本次改造在内部道路下已建的破损污水管，重建DN400mm污水主管626米，新建污水检查井23座，污水由北向南排入已建市政污水管。</w:t>
      </w:r>
    </w:p>
    <w:tbl>
      <w:tblPr>
        <w:tblStyle w:val="51"/>
        <w:tblW w:w="9966" w:type="dxa"/>
        <w:tblInd w:w="20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2"/>
        <w:gridCol w:w="1389"/>
        <w:gridCol w:w="1138"/>
        <w:gridCol w:w="521"/>
        <w:gridCol w:w="991"/>
        <w:gridCol w:w="755"/>
        <w:gridCol w:w="608"/>
        <w:gridCol w:w="637"/>
        <w:gridCol w:w="732"/>
        <w:gridCol w:w="732"/>
        <w:gridCol w:w="562"/>
        <w:gridCol w:w="769"/>
      </w:tblGrid>
      <w:tr w14:paraId="05C9C8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5" w:hRule="atLeast"/>
        </w:trPr>
        <w:tc>
          <w:tcPr>
            <w:tcW w:w="1132" w:type="dxa"/>
            <w:vAlign w:val="top"/>
          </w:tcPr>
          <w:p w14:paraId="63045C95">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管段范围</w:t>
            </w:r>
          </w:p>
        </w:tc>
        <w:tc>
          <w:tcPr>
            <w:tcW w:w="1389" w:type="dxa"/>
            <w:vAlign w:val="top"/>
          </w:tcPr>
          <w:p w14:paraId="6714AED9">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总服 务面 积  （ha)</w:t>
            </w:r>
          </w:p>
        </w:tc>
        <w:tc>
          <w:tcPr>
            <w:tcW w:w="1138" w:type="dxa"/>
            <w:vAlign w:val="top"/>
          </w:tcPr>
          <w:p w14:paraId="2B8FB0F7">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平均日</w:t>
            </w:r>
          </w:p>
          <w:p w14:paraId="49717D56">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污水量</w:t>
            </w:r>
          </w:p>
          <w:p w14:paraId="5B875CC2">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（L/S)</w:t>
            </w:r>
          </w:p>
        </w:tc>
        <w:tc>
          <w:tcPr>
            <w:tcW w:w="521" w:type="dxa"/>
            <w:vAlign w:val="top"/>
          </w:tcPr>
          <w:p w14:paraId="144B1BE0">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Kz</w:t>
            </w:r>
          </w:p>
        </w:tc>
        <w:tc>
          <w:tcPr>
            <w:tcW w:w="991" w:type="dxa"/>
            <w:vAlign w:val="top"/>
          </w:tcPr>
          <w:p w14:paraId="0CFA6400">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旱季设</w:t>
            </w:r>
          </w:p>
          <w:p w14:paraId="34A5DD19">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计污水</w:t>
            </w:r>
          </w:p>
          <w:p w14:paraId="6402E21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量</w:t>
            </w:r>
          </w:p>
          <w:p w14:paraId="176AA90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（L/S)</w:t>
            </w:r>
          </w:p>
        </w:tc>
        <w:tc>
          <w:tcPr>
            <w:tcW w:w="755" w:type="dxa"/>
            <w:vAlign w:val="top"/>
          </w:tcPr>
          <w:p w14:paraId="3C1409F9">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雨季设</w:t>
            </w:r>
          </w:p>
          <w:p w14:paraId="31295FCA">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计污水</w:t>
            </w:r>
          </w:p>
          <w:p w14:paraId="15EAC2D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量</w:t>
            </w:r>
          </w:p>
          <w:p w14:paraId="6AE3900A">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（L/S)</w:t>
            </w:r>
          </w:p>
        </w:tc>
        <w:tc>
          <w:tcPr>
            <w:tcW w:w="608" w:type="dxa"/>
            <w:vAlign w:val="top"/>
          </w:tcPr>
          <w:p w14:paraId="31E20CC0">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p>
          <w:p w14:paraId="46F9CD16">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管径 （mm)</w:t>
            </w:r>
          </w:p>
        </w:tc>
        <w:tc>
          <w:tcPr>
            <w:tcW w:w="637" w:type="dxa"/>
            <w:vAlign w:val="top"/>
          </w:tcPr>
          <w:p w14:paraId="678E335A">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p>
          <w:p w14:paraId="2F739183">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坡度</w:t>
            </w:r>
          </w:p>
        </w:tc>
        <w:tc>
          <w:tcPr>
            <w:tcW w:w="732" w:type="dxa"/>
            <w:vAlign w:val="top"/>
          </w:tcPr>
          <w:p w14:paraId="568D325E">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default" w:ascii="仿宋" w:hAnsi="仿宋" w:eastAsia="仿宋" w:cs="仿宋"/>
                <w:color w:val="auto"/>
                <w:spacing w:val="-2"/>
                <w:sz w:val="24"/>
                <w:szCs w:val="24"/>
                <w:lang w:val="en-US" w:eastAsia="zh-CN"/>
              </w:rPr>
              <w:t>水力半径</w:t>
            </w:r>
          </w:p>
          <w:p w14:paraId="05C66A8C">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default" w:ascii="仿宋" w:hAnsi="仿宋" w:eastAsia="仿宋" w:cs="仿宋"/>
                <w:color w:val="auto"/>
                <w:spacing w:val="-2"/>
                <w:sz w:val="24"/>
                <w:szCs w:val="24"/>
                <w:lang w:val="en-US" w:eastAsia="zh-CN"/>
              </w:rPr>
              <w:t>R（m）</w:t>
            </w:r>
          </w:p>
        </w:tc>
        <w:tc>
          <w:tcPr>
            <w:tcW w:w="732" w:type="dxa"/>
            <w:vAlign w:val="top"/>
          </w:tcPr>
          <w:p w14:paraId="6DF6B6B8">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充满</w:t>
            </w:r>
          </w:p>
          <w:p w14:paraId="3642900A">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度</w:t>
            </w:r>
          </w:p>
        </w:tc>
        <w:tc>
          <w:tcPr>
            <w:tcW w:w="562" w:type="dxa"/>
            <w:vAlign w:val="top"/>
          </w:tcPr>
          <w:p w14:paraId="73B47A5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p>
          <w:p w14:paraId="6297185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流速 (m/s)</w:t>
            </w:r>
          </w:p>
        </w:tc>
        <w:tc>
          <w:tcPr>
            <w:tcW w:w="769" w:type="dxa"/>
            <w:vAlign w:val="top"/>
          </w:tcPr>
          <w:p w14:paraId="2F0BA2C3">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排水能 力</w:t>
            </w:r>
          </w:p>
          <w:p w14:paraId="1FBAAA18">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(L/S)</w:t>
            </w:r>
          </w:p>
        </w:tc>
      </w:tr>
      <w:tr w14:paraId="2F3F2A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18" w:hRule="atLeast"/>
        </w:trPr>
        <w:tc>
          <w:tcPr>
            <w:tcW w:w="1132" w:type="dxa"/>
            <w:vAlign w:val="top"/>
          </w:tcPr>
          <w:p w14:paraId="7A7C34C1">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廖家小区</w:t>
            </w:r>
          </w:p>
        </w:tc>
        <w:tc>
          <w:tcPr>
            <w:tcW w:w="1389" w:type="dxa"/>
            <w:shd w:val="clear" w:color="auto" w:fill="auto"/>
            <w:vAlign w:val="bottom"/>
          </w:tcPr>
          <w:p w14:paraId="399B5761">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 xml:space="preserve">5.03 </w:t>
            </w:r>
          </w:p>
        </w:tc>
        <w:tc>
          <w:tcPr>
            <w:tcW w:w="1138" w:type="dxa"/>
            <w:shd w:val="clear" w:color="auto" w:fill="auto"/>
            <w:vAlign w:val="bottom"/>
          </w:tcPr>
          <w:p w14:paraId="74F7A5E7">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 xml:space="preserve">1.60 </w:t>
            </w:r>
          </w:p>
        </w:tc>
        <w:tc>
          <w:tcPr>
            <w:tcW w:w="521" w:type="dxa"/>
            <w:vAlign w:val="top"/>
          </w:tcPr>
          <w:p w14:paraId="0E0CB875">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2.7</w:t>
            </w:r>
          </w:p>
        </w:tc>
        <w:tc>
          <w:tcPr>
            <w:tcW w:w="991" w:type="dxa"/>
            <w:shd w:val="clear" w:color="auto" w:fill="auto"/>
            <w:vAlign w:val="bottom"/>
          </w:tcPr>
          <w:p w14:paraId="0DA2EEB4">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 xml:space="preserve">4.48 </w:t>
            </w:r>
          </w:p>
        </w:tc>
        <w:tc>
          <w:tcPr>
            <w:tcW w:w="755" w:type="dxa"/>
            <w:shd w:val="clear" w:color="auto" w:fill="auto"/>
            <w:vAlign w:val="bottom"/>
          </w:tcPr>
          <w:p w14:paraId="17CD1468">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 xml:space="preserve">13.45 </w:t>
            </w:r>
          </w:p>
        </w:tc>
        <w:tc>
          <w:tcPr>
            <w:tcW w:w="608" w:type="dxa"/>
            <w:vAlign w:val="top"/>
          </w:tcPr>
          <w:p w14:paraId="6566B3B9">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400</w:t>
            </w:r>
          </w:p>
        </w:tc>
        <w:tc>
          <w:tcPr>
            <w:tcW w:w="637" w:type="dxa"/>
            <w:vAlign w:val="top"/>
          </w:tcPr>
          <w:p w14:paraId="0BA6C143">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eastAsia"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0.005</w:t>
            </w:r>
          </w:p>
        </w:tc>
        <w:tc>
          <w:tcPr>
            <w:tcW w:w="732" w:type="dxa"/>
            <w:vAlign w:val="top"/>
          </w:tcPr>
          <w:p w14:paraId="086BE026">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0.12</w:t>
            </w:r>
          </w:p>
        </w:tc>
        <w:tc>
          <w:tcPr>
            <w:tcW w:w="732" w:type="dxa"/>
            <w:vAlign w:val="top"/>
          </w:tcPr>
          <w:p w14:paraId="76DF3DC4">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0.55</w:t>
            </w:r>
          </w:p>
        </w:tc>
        <w:tc>
          <w:tcPr>
            <w:tcW w:w="562" w:type="dxa"/>
            <w:vAlign w:val="top"/>
          </w:tcPr>
          <w:p w14:paraId="0D7020FB">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1.23</w:t>
            </w:r>
          </w:p>
        </w:tc>
        <w:tc>
          <w:tcPr>
            <w:tcW w:w="769" w:type="dxa"/>
            <w:vAlign w:val="top"/>
          </w:tcPr>
          <w:p w14:paraId="4E260F9F">
            <w:pPr>
              <w:pStyle w:val="53"/>
              <w:keepNext w:val="0"/>
              <w:keepLines w:val="0"/>
              <w:pageBreakBefore w:val="0"/>
              <w:widowControl/>
              <w:kinsoku w:val="0"/>
              <w:wordWrap/>
              <w:overflowPunct/>
              <w:topLinePunct w:val="0"/>
              <w:autoSpaceDE w:val="0"/>
              <w:autoSpaceDN w:val="0"/>
              <w:bidi w:val="0"/>
              <w:adjustRightInd w:val="0"/>
              <w:snapToGrid w:val="0"/>
              <w:spacing w:line="480" w:lineRule="exact"/>
              <w:jc w:val="center"/>
              <w:textAlignment w:val="baseline"/>
              <w:rPr>
                <w:rFonts w:hint="default" w:ascii="仿宋" w:hAnsi="仿宋" w:eastAsia="仿宋" w:cs="仿宋"/>
                <w:color w:val="auto"/>
                <w:spacing w:val="-2"/>
                <w:sz w:val="24"/>
                <w:szCs w:val="24"/>
                <w:lang w:val="en-US" w:eastAsia="zh-CN"/>
              </w:rPr>
            </w:pPr>
            <w:r>
              <w:rPr>
                <w:rFonts w:hint="eastAsia" w:ascii="仿宋" w:hAnsi="仿宋" w:eastAsia="仿宋" w:cs="仿宋"/>
                <w:color w:val="auto"/>
                <w:spacing w:val="-2"/>
                <w:sz w:val="24"/>
                <w:szCs w:val="24"/>
                <w:lang w:val="en-US" w:eastAsia="zh-CN"/>
              </w:rPr>
              <w:t>87.08</w:t>
            </w:r>
          </w:p>
        </w:tc>
      </w:tr>
    </w:tbl>
    <w:p w14:paraId="20FDC25C">
      <w:pPr>
        <w:numPr>
          <w:ilvl w:val="0"/>
          <w:numId w:val="0"/>
        </w:numPr>
        <w:spacing w:line="360" w:lineRule="auto"/>
        <w:rPr>
          <w:rFonts w:hint="default" w:ascii="仿宋" w:hAnsi="仿宋" w:eastAsia="仿宋" w:cs="仿宋"/>
          <w:color w:val="auto"/>
          <w:w w:val="95"/>
          <w:sz w:val="28"/>
          <w:szCs w:val="28"/>
          <w:lang w:val="en-US" w:eastAsia="zh-CN"/>
        </w:rPr>
      </w:pPr>
    </w:p>
    <w:p w14:paraId="1F4A9C93">
      <w:pPr>
        <w:numPr>
          <w:ilvl w:val="0"/>
          <w:numId w:val="0"/>
        </w:numPr>
        <w:spacing w:line="360" w:lineRule="auto"/>
        <w:jc w:val="center"/>
        <w:rPr>
          <w:rFonts w:hint="default" w:ascii="仿宋" w:hAnsi="仿宋" w:eastAsia="仿宋" w:cs="仿宋"/>
          <w:color w:val="auto"/>
          <w:w w:val="95"/>
          <w:sz w:val="28"/>
          <w:szCs w:val="28"/>
          <w:lang w:val="en-US" w:eastAsia="zh-CN"/>
        </w:rPr>
      </w:pPr>
      <w:r>
        <w:drawing>
          <wp:inline distT="0" distB="0" distL="114300" distR="114300">
            <wp:extent cx="4328160" cy="4333240"/>
            <wp:effectExtent l="0" t="0" r="15240" b="1016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33"/>
                    <a:stretch>
                      <a:fillRect/>
                    </a:stretch>
                  </pic:blipFill>
                  <pic:spPr>
                    <a:xfrm>
                      <a:off x="0" y="0"/>
                      <a:ext cx="4328160" cy="4333240"/>
                    </a:xfrm>
                    <a:prstGeom prst="rect">
                      <a:avLst/>
                    </a:prstGeom>
                    <a:noFill/>
                    <a:ln>
                      <a:noFill/>
                    </a:ln>
                  </pic:spPr>
                </pic:pic>
              </a:graphicData>
            </a:graphic>
          </wp:inline>
        </w:drawing>
      </w:r>
    </w:p>
    <w:p w14:paraId="14DDAD92">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78" w:name="_Toc14653"/>
      <w:r>
        <w:rPr>
          <w:rFonts w:hint="eastAsia" w:ascii="仿宋" w:hAnsi="仿宋" w:eastAsia="仿宋" w:cs="仿宋"/>
          <w:b/>
          <w:bCs/>
          <w:color w:val="auto"/>
          <w:sz w:val="28"/>
          <w:szCs w:val="28"/>
          <w:lang w:val="en-US" w:eastAsia="zh-CN"/>
        </w:rPr>
        <w:t>4.6管道材质的确定</w:t>
      </w:r>
      <w:bookmarkEnd w:id="78"/>
      <w:r>
        <w:rPr>
          <w:rFonts w:hint="eastAsia" w:ascii="仿宋" w:hAnsi="仿宋" w:eastAsia="仿宋" w:cs="仿宋"/>
          <w:b/>
          <w:bCs/>
          <w:color w:val="auto"/>
          <w:sz w:val="28"/>
          <w:szCs w:val="28"/>
          <w:lang w:val="en-US" w:eastAsia="zh-CN"/>
        </w:rPr>
        <w:t xml:space="preserve"> </w:t>
      </w:r>
    </w:p>
    <w:p w14:paraId="2AE3541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w:t>
      </w:r>
      <w:r>
        <w:rPr>
          <w:rFonts w:hint="default" w:ascii="仿宋" w:hAnsi="仿宋" w:eastAsia="仿宋" w:cs="仿宋"/>
          <w:color w:val="auto"/>
          <w:w w:val="95"/>
          <w:sz w:val="28"/>
          <w:szCs w:val="28"/>
          <w:lang w:val="en-US" w:eastAsia="zh-CN"/>
        </w:rPr>
        <w:t>1</w:t>
      </w:r>
      <w:r>
        <w:rPr>
          <w:rFonts w:hint="eastAsia" w:ascii="仿宋" w:hAnsi="仿宋" w:eastAsia="仿宋" w:cs="仿宋"/>
          <w:color w:val="auto"/>
          <w:w w:val="95"/>
          <w:sz w:val="28"/>
          <w:szCs w:val="28"/>
          <w:lang w:val="en-US" w:eastAsia="zh-CN"/>
        </w:rPr>
        <w:t xml:space="preserve">）管材选择原则 </w:t>
      </w:r>
    </w:p>
    <w:p w14:paraId="29B5BF9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排水管渠的材料必须满足具备长期稳定性，才能保证正常的排水功能。</w:t>
      </w:r>
    </w:p>
    <w:p w14:paraId="57E32D8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① 排水管渠必须具有足够的强度，以承受外部荷载和内部的水压。 </w:t>
      </w:r>
    </w:p>
    <w:p w14:paraId="65CB7AC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② 排水管渠必须能抵抗污水中杂质冲刷和磨琢。也应有抗腐蚀的功能，特别对有某些腐蚀性的工业废水。 </w:t>
      </w:r>
    </w:p>
    <w:p w14:paraId="265E679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③ 排水管渠的内壁应平整光滑，使水流阻力尽量减小。 </w:t>
      </w:r>
    </w:p>
    <w:p w14:paraId="684BA86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④ 排水管渠应尽量就地取材，并考虑到预制管件及快速施工的可能，减少运输和施工费用。 </w:t>
      </w:r>
    </w:p>
    <w:p w14:paraId="764E953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w:t>
      </w:r>
      <w:r>
        <w:rPr>
          <w:rFonts w:hint="default" w:ascii="仿宋" w:hAnsi="仿宋" w:eastAsia="仿宋" w:cs="仿宋"/>
          <w:color w:val="auto"/>
          <w:w w:val="95"/>
          <w:sz w:val="28"/>
          <w:szCs w:val="28"/>
          <w:lang w:val="en-US" w:eastAsia="zh-CN"/>
        </w:rPr>
        <w:t>2</w:t>
      </w:r>
      <w:r>
        <w:rPr>
          <w:rFonts w:hint="eastAsia" w:ascii="仿宋" w:hAnsi="仿宋" w:eastAsia="仿宋" w:cs="仿宋"/>
          <w:color w:val="auto"/>
          <w:w w:val="95"/>
          <w:sz w:val="28"/>
          <w:szCs w:val="28"/>
          <w:lang w:val="en-US" w:eastAsia="zh-CN"/>
        </w:rPr>
        <w:t>）排水管材的发展趋势很长时间来，用于市政排水的管材大多采用钢筋混凝土管、铸铁管。其特点是重量重、接口多、施工困难。管道一般采用水泥接口刚性连接。采用水泥砂浆接口的平口钢筋混凝土管存在渗漏问题。污水的渗漏造成地下的污染，严重危害环境和人民身体健康。因而开发和优先使用无渗漏，使用寿命长的排水管道已成当务之急。国家和地方已出台了一批限用或禁用混凝土管、钢筋混凝土管和铸铁管的政府文件。</w:t>
      </w:r>
      <w:r>
        <w:rPr>
          <w:rFonts w:hint="default" w:ascii="仿宋" w:hAnsi="仿宋" w:eastAsia="仿宋" w:cs="仿宋"/>
          <w:color w:val="auto"/>
          <w:w w:val="95"/>
          <w:sz w:val="28"/>
          <w:szCs w:val="28"/>
          <w:lang w:val="en-US" w:eastAsia="zh-CN"/>
        </w:rPr>
        <w:t xml:space="preserve">2004 </w:t>
      </w:r>
      <w:r>
        <w:rPr>
          <w:rFonts w:hint="eastAsia" w:ascii="仿宋" w:hAnsi="仿宋" w:eastAsia="仿宋" w:cs="仿宋"/>
          <w:color w:val="auto"/>
          <w:w w:val="95"/>
          <w:sz w:val="28"/>
          <w:szCs w:val="28"/>
          <w:lang w:val="en-US" w:eastAsia="zh-CN"/>
        </w:rPr>
        <w:t xml:space="preserve">年 </w:t>
      </w:r>
      <w:r>
        <w:rPr>
          <w:rFonts w:hint="default" w:ascii="仿宋" w:hAnsi="仿宋" w:eastAsia="仿宋" w:cs="仿宋"/>
          <w:color w:val="auto"/>
          <w:w w:val="95"/>
          <w:sz w:val="28"/>
          <w:szCs w:val="28"/>
          <w:lang w:val="en-US" w:eastAsia="zh-CN"/>
        </w:rPr>
        <w:t xml:space="preserve">4 </w:t>
      </w:r>
      <w:r>
        <w:rPr>
          <w:rFonts w:hint="eastAsia" w:ascii="仿宋" w:hAnsi="仿宋" w:eastAsia="仿宋" w:cs="仿宋"/>
          <w:color w:val="auto"/>
          <w:w w:val="95"/>
          <w:sz w:val="28"/>
          <w:szCs w:val="28"/>
          <w:lang w:val="en-US" w:eastAsia="zh-CN"/>
        </w:rPr>
        <w:t xml:space="preserve">月，建设部发布了《推广应用和限制禁止使用技术公告》，明文规定推广采用城镇塑料排水管道系统，禁止使用 </w:t>
      </w:r>
      <w:r>
        <w:rPr>
          <w:rFonts w:hint="default" w:ascii="仿宋" w:hAnsi="仿宋" w:eastAsia="仿宋" w:cs="仿宋"/>
          <w:color w:val="auto"/>
          <w:w w:val="95"/>
          <w:sz w:val="28"/>
          <w:szCs w:val="28"/>
          <w:lang w:val="en-US" w:eastAsia="zh-CN"/>
        </w:rPr>
        <w:t xml:space="preserve">DN&lt;500 </w:t>
      </w:r>
      <w:r>
        <w:rPr>
          <w:rFonts w:hint="eastAsia" w:ascii="仿宋" w:hAnsi="仿宋" w:eastAsia="仿宋" w:cs="仿宋"/>
          <w:color w:val="auto"/>
          <w:w w:val="95"/>
          <w:sz w:val="28"/>
          <w:szCs w:val="28"/>
          <w:lang w:val="en-US" w:eastAsia="zh-CN"/>
        </w:rPr>
        <w:t xml:space="preserve">的平口、企口混凝土排水管。建设部有关文件指出：塑料排水管管材重量轻、耐腐蚀。管材环刚度可设计，接口密封性能好，可防止地下水的污染。包括高密度聚乙烯双壁波纹管、硬聚氯乙烯双壁波纹管、硬聚氯乙烯环形肋管、高密度聚乙烯缠绕结构壁管、玻璃钢夹砂管。近年来，塑料排水管的特性及其优势已开始被人们认识和接受。 </w:t>
      </w:r>
    </w:p>
    <w:p w14:paraId="7931D0B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w:t>
      </w:r>
      <w:r>
        <w:rPr>
          <w:rFonts w:hint="default" w:ascii="仿宋" w:hAnsi="仿宋" w:eastAsia="仿宋" w:cs="仿宋"/>
          <w:color w:val="auto"/>
          <w:w w:val="95"/>
          <w:sz w:val="28"/>
          <w:szCs w:val="28"/>
          <w:lang w:val="en-US" w:eastAsia="zh-CN"/>
        </w:rPr>
        <w:t>3</w:t>
      </w:r>
      <w:r>
        <w:rPr>
          <w:rFonts w:hint="eastAsia" w:ascii="仿宋" w:hAnsi="仿宋" w:eastAsia="仿宋" w:cs="仿宋"/>
          <w:color w:val="auto"/>
          <w:w w:val="95"/>
          <w:sz w:val="28"/>
          <w:szCs w:val="28"/>
          <w:lang w:val="en-US" w:eastAsia="zh-CN"/>
        </w:rPr>
        <w:t xml:space="preserve">）排水管材类型 </w:t>
      </w:r>
    </w:p>
    <w:p w14:paraId="64491FD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目前，常用的排水管材有以下几种： </w:t>
      </w:r>
    </w:p>
    <w:p w14:paraId="72CB3FD0">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① 钢筋混凝土管 </w:t>
      </w:r>
      <w:r>
        <w:rPr>
          <w:rFonts w:hint="default" w:ascii="仿宋" w:hAnsi="仿宋" w:eastAsia="仿宋" w:cs="仿宋"/>
          <w:color w:val="auto"/>
          <w:w w:val="95"/>
          <w:sz w:val="28"/>
          <w:szCs w:val="28"/>
          <w:lang w:val="en-US" w:eastAsia="zh-CN"/>
        </w:rPr>
        <w:t>(PCP)</w:t>
      </w:r>
    </w:p>
    <w:p w14:paraId="3958630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这种管道，制作方便，工艺成熟，造价低，在排水管道中应用很广。但缺点是抗渗性能差、管节短、接口多、重量大和搬运不便等。钢筋混凝土管口径一般在 </w:t>
      </w:r>
      <w:r>
        <w:rPr>
          <w:rFonts w:hint="default" w:ascii="仿宋" w:hAnsi="仿宋" w:eastAsia="仿宋" w:cs="仿宋"/>
          <w:color w:val="auto"/>
          <w:w w:val="95"/>
          <w:sz w:val="28"/>
          <w:szCs w:val="28"/>
          <w:lang w:val="en-US" w:eastAsia="zh-CN"/>
        </w:rPr>
        <w:t xml:space="preserve">300mm </w:t>
      </w:r>
      <w:r>
        <w:rPr>
          <w:rFonts w:hint="eastAsia" w:ascii="仿宋" w:hAnsi="仿宋" w:eastAsia="仿宋" w:cs="仿宋"/>
          <w:color w:val="auto"/>
          <w:w w:val="95"/>
          <w:sz w:val="28"/>
          <w:szCs w:val="28"/>
          <w:lang w:val="en-US" w:eastAsia="zh-CN"/>
        </w:rPr>
        <w:t xml:space="preserve">以上，长度在 </w:t>
      </w:r>
      <w:r>
        <w:rPr>
          <w:rFonts w:hint="default" w:ascii="仿宋" w:hAnsi="仿宋" w:eastAsia="仿宋" w:cs="仿宋"/>
          <w:color w:val="auto"/>
          <w:w w:val="95"/>
          <w:sz w:val="28"/>
          <w:szCs w:val="28"/>
          <w:lang w:val="en-US" w:eastAsia="zh-CN"/>
        </w:rPr>
        <w:t>1m</w:t>
      </w:r>
      <w:r>
        <w:rPr>
          <w:rFonts w:hint="eastAsia" w:ascii="仿宋" w:hAnsi="仿宋" w:eastAsia="仿宋" w:cs="仿宋"/>
          <w:color w:val="auto"/>
          <w:w w:val="95"/>
          <w:sz w:val="28"/>
          <w:szCs w:val="28"/>
          <w:lang w:val="en-US" w:eastAsia="zh-CN"/>
        </w:rPr>
        <w:t>～</w:t>
      </w:r>
      <w:r>
        <w:rPr>
          <w:rFonts w:hint="default" w:ascii="仿宋" w:hAnsi="仿宋" w:eastAsia="仿宋" w:cs="仿宋"/>
          <w:color w:val="auto"/>
          <w:w w:val="95"/>
          <w:sz w:val="28"/>
          <w:szCs w:val="28"/>
          <w:lang w:val="en-US" w:eastAsia="zh-CN"/>
        </w:rPr>
        <w:t>3m</w:t>
      </w:r>
      <w:r>
        <w:rPr>
          <w:rFonts w:hint="eastAsia" w:ascii="仿宋" w:hAnsi="仿宋" w:eastAsia="仿宋" w:cs="仿宋"/>
          <w:color w:val="auto"/>
          <w:w w:val="95"/>
          <w:sz w:val="28"/>
          <w:szCs w:val="28"/>
          <w:lang w:val="en-US" w:eastAsia="zh-CN"/>
        </w:rPr>
        <w:t>。其接口形式有承插式、企口式和平口式。企口式钢筋混凝土排水管是经悬辊工艺生产制造成型，并采用</w:t>
      </w:r>
      <w:r>
        <w:rPr>
          <w:rFonts w:hint="default" w:ascii="仿宋" w:hAnsi="仿宋" w:eastAsia="仿宋" w:cs="仿宋"/>
          <w:color w:val="auto"/>
          <w:w w:val="95"/>
          <w:sz w:val="28"/>
          <w:szCs w:val="28"/>
          <w:lang w:val="en-US" w:eastAsia="zh-CN"/>
        </w:rPr>
        <w:t>“q”</w:t>
      </w:r>
      <w:r>
        <w:rPr>
          <w:rFonts w:hint="eastAsia" w:ascii="仿宋" w:hAnsi="仿宋" w:eastAsia="仿宋" w:cs="仿宋"/>
          <w:color w:val="auto"/>
          <w:w w:val="95"/>
          <w:sz w:val="28"/>
          <w:szCs w:val="28"/>
          <w:lang w:val="en-US" w:eastAsia="zh-CN"/>
        </w:rPr>
        <w:t>型或</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楔</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 xml:space="preserve">型橡胶密封圈密封的柔性接口管材，具有管壁厚，混凝土强度高，抗压荷载大等优点。应用于市政重力流工程是比较经济合适的。 </w:t>
      </w:r>
    </w:p>
    <w:p w14:paraId="3166D52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② 钢管 </w:t>
      </w:r>
    </w:p>
    <w:p w14:paraId="2553CB7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钢管有较好的机械强度，耐高压，耐振动，重量较轻，单管长度大，接口方便，有较强的适应性，但耐腐蚀性差，防腐造价高。钢管一般多用于大口径（</w:t>
      </w:r>
      <w:r>
        <w:rPr>
          <w:rFonts w:hint="default" w:ascii="仿宋" w:hAnsi="仿宋" w:eastAsia="仿宋" w:cs="仿宋"/>
          <w:color w:val="auto"/>
          <w:w w:val="95"/>
          <w:sz w:val="28"/>
          <w:szCs w:val="28"/>
          <w:lang w:val="en-US" w:eastAsia="zh-CN"/>
        </w:rPr>
        <w:t xml:space="preserve">1.2m </w:t>
      </w:r>
      <w:r>
        <w:rPr>
          <w:rFonts w:hint="eastAsia" w:ascii="仿宋" w:hAnsi="仿宋" w:eastAsia="仿宋" w:cs="仿宋"/>
          <w:color w:val="auto"/>
          <w:w w:val="95"/>
          <w:sz w:val="28"/>
          <w:szCs w:val="28"/>
          <w:lang w:val="en-US" w:eastAsia="zh-CN"/>
        </w:rPr>
        <w:t xml:space="preserve">以上）、高压处、因地质、地形条件限制、穿越铁路、河谷和地震区。一般在污水管道中钢管宜少用，以延长整个管网系统的耐久性。 </w:t>
      </w:r>
    </w:p>
    <w:p w14:paraId="21D4028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③ 排水铸铁管 </w:t>
      </w:r>
    </w:p>
    <w:p w14:paraId="1426D4F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排水铸铁管具有强度高、抗渗性好、内壁光滑、抗压、抗震性强，且管节长，接头少。但价格昂贵，耐酸碱腐蚀性差。 </w:t>
      </w:r>
    </w:p>
    <w:p w14:paraId="304D955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④ 玻璃钢夹砂管（</w:t>
      </w:r>
      <w:r>
        <w:rPr>
          <w:rFonts w:hint="default" w:ascii="仿宋" w:hAnsi="仿宋" w:eastAsia="仿宋" w:cs="仿宋"/>
          <w:color w:val="auto"/>
          <w:w w:val="95"/>
          <w:sz w:val="28"/>
          <w:szCs w:val="28"/>
          <w:lang w:val="en-US" w:eastAsia="zh-CN"/>
        </w:rPr>
        <w:t>FRP</w:t>
      </w:r>
      <w:r>
        <w:rPr>
          <w:rFonts w:hint="eastAsia" w:ascii="仿宋" w:hAnsi="仿宋" w:eastAsia="仿宋" w:cs="仿宋"/>
          <w:color w:val="auto"/>
          <w:w w:val="95"/>
          <w:sz w:val="28"/>
          <w:szCs w:val="28"/>
          <w:lang w:val="en-US" w:eastAsia="zh-CN"/>
        </w:rPr>
        <w:t xml:space="preserve">） </w:t>
      </w:r>
    </w:p>
    <w:p w14:paraId="39F84B9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玻璃钢夹砂管重量轻，管节长，运输安装方便、内阻小、耐腐蚀性强，抗渗好，使用寿命可达 </w:t>
      </w:r>
      <w:r>
        <w:rPr>
          <w:rFonts w:hint="default" w:ascii="仿宋" w:hAnsi="仿宋" w:eastAsia="仿宋" w:cs="仿宋"/>
          <w:color w:val="auto"/>
          <w:w w:val="95"/>
          <w:sz w:val="28"/>
          <w:szCs w:val="28"/>
          <w:lang w:val="en-US" w:eastAsia="zh-CN"/>
        </w:rPr>
        <w:t xml:space="preserve">50 </w:t>
      </w:r>
      <w:r>
        <w:rPr>
          <w:rFonts w:hint="eastAsia" w:ascii="仿宋" w:hAnsi="仿宋" w:eastAsia="仿宋" w:cs="仿宋"/>
          <w:color w:val="auto"/>
          <w:w w:val="95"/>
          <w:sz w:val="28"/>
          <w:szCs w:val="28"/>
          <w:lang w:val="en-US" w:eastAsia="zh-CN"/>
        </w:rPr>
        <w:t xml:space="preserve">年以上。但价格略高。国外已广泛使用，给水压力管大多采用直径 </w:t>
      </w:r>
      <w:r>
        <w:rPr>
          <w:rFonts w:hint="default" w:ascii="仿宋" w:hAnsi="仿宋" w:eastAsia="仿宋" w:cs="仿宋"/>
          <w:color w:val="auto"/>
          <w:w w:val="95"/>
          <w:sz w:val="28"/>
          <w:szCs w:val="28"/>
          <w:lang w:val="en-US" w:eastAsia="zh-CN"/>
        </w:rPr>
        <w:t xml:space="preserve">1000mm </w:t>
      </w:r>
      <w:r>
        <w:rPr>
          <w:rFonts w:hint="eastAsia" w:ascii="仿宋" w:hAnsi="仿宋" w:eastAsia="仿宋" w:cs="仿宋"/>
          <w:color w:val="auto"/>
          <w:w w:val="95"/>
          <w:sz w:val="28"/>
          <w:szCs w:val="28"/>
          <w:lang w:val="en-US" w:eastAsia="zh-CN"/>
        </w:rPr>
        <w:t xml:space="preserve">以下管道。无压管已有采用直径大于 </w:t>
      </w:r>
      <w:r>
        <w:rPr>
          <w:rFonts w:hint="default" w:ascii="仿宋" w:hAnsi="仿宋" w:eastAsia="仿宋" w:cs="仿宋"/>
          <w:color w:val="auto"/>
          <w:w w:val="95"/>
          <w:sz w:val="28"/>
          <w:szCs w:val="28"/>
          <w:lang w:val="en-US" w:eastAsia="zh-CN"/>
        </w:rPr>
        <w:t xml:space="preserve">3600mm </w:t>
      </w:r>
      <w:r>
        <w:rPr>
          <w:rFonts w:hint="eastAsia" w:ascii="仿宋" w:hAnsi="仿宋" w:eastAsia="仿宋" w:cs="仿宋"/>
          <w:color w:val="auto"/>
          <w:w w:val="95"/>
          <w:sz w:val="28"/>
          <w:szCs w:val="28"/>
          <w:lang w:val="en-US" w:eastAsia="zh-CN"/>
        </w:rPr>
        <w:t>的例子</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 xml:space="preserve">它是一种很有发展前途的管材。 </w:t>
      </w:r>
    </w:p>
    <w:p w14:paraId="4C31B37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⑤ 高密度聚乙烯管（</w:t>
      </w:r>
      <w:r>
        <w:rPr>
          <w:rFonts w:hint="default" w:ascii="仿宋" w:hAnsi="仿宋" w:eastAsia="仿宋" w:cs="仿宋"/>
          <w:color w:val="auto"/>
          <w:w w:val="95"/>
          <w:sz w:val="28"/>
          <w:szCs w:val="28"/>
          <w:lang w:val="en-US" w:eastAsia="zh-CN"/>
        </w:rPr>
        <w:t>HDPE</w:t>
      </w:r>
      <w:r>
        <w:rPr>
          <w:rFonts w:hint="eastAsia" w:ascii="仿宋" w:hAnsi="仿宋" w:eastAsia="仿宋" w:cs="仿宋"/>
          <w:color w:val="auto"/>
          <w:w w:val="95"/>
          <w:sz w:val="28"/>
          <w:szCs w:val="28"/>
          <w:lang w:val="en-US" w:eastAsia="zh-CN"/>
        </w:rPr>
        <w:t xml:space="preserve">） </w:t>
      </w:r>
    </w:p>
    <w:p w14:paraId="47DDF04F">
      <w:pPr>
        <w:spacing w:line="360" w:lineRule="auto"/>
        <w:ind w:firstLine="532" w:firstLineChars="200"/>
        <w:rPr>
          <w:rFonts w:hint="eastAsia"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 xml:space="preserve">HDPE </w:t>
      </w:r>
      <w:r>
        <w:rPr>
          <w:rFonts w:hint="eastAsia" w:ascii="仿宋" w:hAnsi="仿宋" w:eastAsia="仿宋" w:cs="仿宋"/>
          <w:color w:val="auto"/>
          <w:w w:val="95"/>
          <w:sz w:val="28"/>
          <w:szCs w:val="28"/>
          <w:lang w:val="en-US" w:eastAsia="zh-CN"/>
        </w:rPr>
        <w:t>管内壁光滑、耐腐蚀性强、柔韧性好、管节长、重量轻</w:t>
      </w:r>
      <w:r>
        <w:rPr>
          <w:rFonts w:hint="default" w:ascii="仿宋" w:hAnsi="仿宋" w:eastAsia="仿宋" w:cs="仿宋"/>
          <w:color w:val="auto"/>
          <w:w w:val="95"/>
          <w:sz w:val="28"/>
          <w:szCs w:val="28"/>
          <w:lang w:val="en-US" w:eastAsia="zh-CN"/>
        </w:rPr>
        <w:t xml:space="preserve">, </w:t>
      </w:r>
      <w:r>
        <w:rPr>
          <w:rFonts w:hint="eastAsia" w:ascii="仿宋" w:hAnsi="仿宋" w:eastAsia="仿宋" w:cs="仿宋"/>
          <w:color w:val="auto"/>
          <w:w w:val="95"/>
          <w:sz w:val="28"/>
          <w:szCs w:val="28"/>
          <w:lang w:val="en-US" w:eastAsia="zh-CN"/>
        </w:rPr>
        <w:t xml:space="preserve">运输、施工方便，寿命可达 </w:t>
      </w:r>
      <w:r>
        <w:rPr>
          <w:rFonts w:hint="default" w:ascii="仿宋" w:hAnsi="仿宋" w:eastAsia="仿宋" w:cs="仿宋"/>
          <w:color w:val="auto"/>
          <w:w w:val="95"/>
          <w:sz w:val="28"/>
          <w:szCs w:val="28"/>
          <w:lang w:val="en-US" w:eastAsia="zh-CN"/>
        </w:rPr>
        <w:t xml:space="preserve">50 </w:t>
      </w:r>
      <w:r>
        <w:rPr>
          <w:rFonts w:hint="eastAsia" w:ascii="仿宋" w:hAnsi="仿宋" w:eastAsia="仿宋" w:cs="仿宋"/>
          <w:color w:val="auto"/>
          <w:w w:val="95"/>
          <w:sz w:val="28"/>
          <w:szCs w:val="28"/>
          <w:lang w:val="en-US" w:eastAsia="zh-CN"/>
        </w:rPr>
        <w:t xml:space="preserve">年以上，采用热熔粘接性等多种接口,对管道基础要求低。 </w:t>
      </w:r>
    </w:p>
    <w:p w14:paraId="372AD5E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⑥ 双壁波纹管（</w:t>
      </w:r>
      <w:r>
        <w:rPr>
          <w:rFonts w:hint="default" w:ascii="仿宋" w:hAnsi="仿宋" w:eastAsia="仿宋" w:cs="仿宋"/>
          <w:color w:val="auto"/>
          <w:w w:val="95"/>
          <w:sz w:val="28"/>
          <w:szCs w:val="28"/>
          <w:lang w:val="en-US" w:eastAsia="zh-CN"/>
        </w:rPr>
        <w:t>UPVC</w:t>
      </w:r>
      <w:r>
        <w:rPr>
          <w:rFonts w:hint="eastAsia" w:ascii="仿宋" w:hAnsi="仿宋" w:eastAsia="仿宋" w:cs="仿宋"/>
          <w:color w:val="auto"/>
          <w:w w:val="95"/>
          <w:sz w:val="28"/>
          <w:szCs w:val="28"/>
          <w:lang w:val="en-US" w:eastAsia="zh-CN"/>
        </w:rPr>
        <w:t xml:space="preserve">） </w:t>
      </w:r>
    </w:p>
    <w:p w14:paraId="65B9B7F4">
      <w:pPr>
        <w:spacing w:line="360" w:lineRule="auto"/>
        <w:ind w:firstLine="532" w:firstLineChars="200"/>
        <w:rPr>
          <w:rFonts w:hint="eastAsia"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 xml:space="preserve">UPVC </w:t>
      </w:r>
      <w:r>
        <w:rPr>
          <w:rFonts w:hint="eastAsia" w:ascii="仿宋" w:hAnsi="仿宋" w:eastAsia="仿宋" w:cs="仿宋"/>
          <w:color w:val="auto"/>
          <w:w w:val="95"/>
          <w:sz w:val="28"/>
          <w:szCs w:val="28"/>
          <w:lang w:val="en-US" w:eastAsia="zh-CN"/>
        </w:rPr>
        <w:t xml:space="preserve">管内壁光滑、耐腐蚀性强、柔韧性好、重量轻，运输方便，施工便捷。采用橡胶圈承插柔性接口，对管道基础要求低，但抗外压冲击性能较差。 </w:t>
      </w:r>
    </w:p>
    <w:p w14:paraId="4BDFFA0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⑦ 陶土管 </w:t>
      </w:r>
    </w:p>
    <w:p w14:paraId="76CAAD9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陶土管由塑性粘土焙烧而成，带釉的陶土管内外壁光滑，水流阻力小，不透水性好，耐磨损，抗腐蚀。但质脆易碎，抗弯抗拉强度低，不宜敷在松土中或埋深较大的地方。另外管节短，施工不便。陶土管直径不大于 </w:t>
      </w:r>
      <w:r>
        <w:rPr>
          <w:rFonts w:hint="default" w:ascii="仿宋" w:hAnsi="仿宋" w:eastAsia="仿宋" w:cs="仿宋"/>
          <w:color w:val="auto"/>
          <w:w w:val="95"/>
          <w:sz w:val="28"/>
          <w:szCs w:val="28"/>
          <w:lang w:val="en-US" w:eastAsia="zh-CN"/>
        </w:rPr>
        <w:t>600mm</w:t>
      </w:r>
      <w:r>
        <w:rPr>
          <w:rFonts w:hint="eastAsia" w:ascii="仿宋" w:hAnsi="仿宋" w:eastAsia="仿宋" w:cs="仿宋"/>
          <w:color w:val="auto"/>
          <w:w w:val="95"/>
          <w:sz w:val="28"/>
          <w:szCs w:val="28"/>
          <w:lang w:val="en-US" w:eastAsia="zh-CN"/>
        </w:rPr>
        <w:t xml:space="preserve">，其管长为 </w:t>
      </w:r>
      <w:r>
        <w:rPr>
          <w:rFonts w:hint="default" w:ascii="仿宋" w:hAnsi="仿宋" w:eastAsia="仿宋" w:cs="仿宋"/>
          <w:color w:val="auto"/>
          <w:w w:val="95"/>
          <w:sz w:val="28"/>
          <w:szCs w:val="28"/>
          <w:lang w:val="en-US" w:eastAsia="zh-CN"/>
        </w:rPr>
        <w:t>0.8m</w:t>
      </w:r>
      <w:r>
        <w:rPr>
          <w:rFonts w:hint="eastAsia" w:ascii="仿宋" w:hAnsi="仿宋" w:eastAsia="仿宋" w:cs="仿宋"/>
          <w:color w:val="auto"/>
          <w:w w:val="95"/>
          <w:sz w:val="28"/>
          <w:szCs w:val="28"/>
          <w:lang w:val="en-US" w:eastAsia="zh-CN"/>
        </w:rPr>
        <w:t>～</w:t>
      </w:r>
      <w:r>
        <w:rPr>
          <w:rFonts w:hint="default" w:ascii="仿宋" w:hAnsi="仿宋" w:eastAsia="仿宋" w:cs="仿宋"/>
          <w:color w:val="auto"/>
          <w:w w:val="95"/>
          <w:sz w:val="28"/>
          <w:szCs w:val="28"/>
          <w:lang w:val="en-US" w:eastAsia="zh-CN"/>
        </w:rPr>
        <w:t>1.0m</w:t>
      </w:r>
      <w:r>
        <w:rPr>
          <w:rFonts w:hint="eastAsia" w:ascii="仿宋" w:hAnsi="仿宋" w:eastAsia="仿宋" w:cs="仿宋"/>
          <w:color w:val="auto"/>
          <w:w w:val="95"/>
          <w:sz w:val="28"/>
          <w:szCs w:val="28"/>
          <w:lang w:val="en-US" w:eastAsia="zh-CN"/>
        </w:rPr>
        <w:t xml:space="preserve">。由于陶土管抗酸碱腐蚀，在各种塑料管问世以前，世界各国广泛采用于排除酸碱废水。接口有承插式和平口式。 </w:t>
      </w:r>
    </w:p>
    <w:p w14:paraId="5F5E3DE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⑧ 大型排水管渠 </w:t>
      </w:r>
    </w:p>
    <w:p w14:paraId="40744BB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排水管道的预制管管径一般小于 </w:t>
      </w:r>
      <w:r>
        <w:rPr>
          <w:rFonts w:hint="default" w:ascii="仿宋" w:hAnsi="仿宋" w:eastAsia="仿宋" w:cs="仿宋"/>
          <w:color w:val="auto"/>
          <w:w w:val="95"/>
          <w:sz w:val="28"/>
          <w:szCs w:val="28"/>
          <w:lang w:val="en-US" w:eastAsia="zh-CN"/>
        </w:rPr>
        <w:t>2m</w:t>
      </w:r>
      <w:r>
        <w:rPr>
          <w:rFonts w:hint="eastAsia" w:ascii="仿宋" w:hAnsi="仿宋" w:eastAsia="仿宋" w:cs="仿宋"/>
          <w:color w:val="auto"/>
          <w:w w:val="95"/>
          <w:sz w:val="28"/>
          <w:szCs w:val="28"/>
          <w:lang w:val="en-US" w:eastAsia="zh-CN"/>
        </w:rPr>
        <w:t xml:space="preserve">。当排水需要更大的口径时，可建造大型排水渠道，常用建材有砖、石、混凝土块或现浇钢筋混凝土构件等，一般多采用矩形、拱形等断面，主要在现场浇制、铺砌和安装。 </w:t>
      </w:r>
    </w:p>
    <w:p w14:paraId="2069A38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w:t>
      </w:r>
      <w:r>
        <w:rPr>
          <w:rFonts w:hint="default" w:ascii="仿宋" w:hAnsi="仿宋" w:eastAsia="仿宋" w:cs="仿宋"/>
          <w:color w:val="auto"/>
          <w:w w:val="95"/>
          <w:sz w:val="28"/>
          <w:szCs w:val="28"/>
          <w:lang w:val="en-US" w:eastAsia="zh-CN"/>
        </w:rPr>
        <w:t>4</w:t>
      </w:r>
      <w:r>
        <w:rPr>
          <w:rFonts w:hint="eastAsia" w:ascii="仿宋" w:hAnsi="仿宋" w:eastAsia="仿宋" w:cs="仿宋"/>
          <w:color w:val="auto"/>
          <w:w w:val="95"/>
          <w:sz w:val="28"/>
          <w:szCs w:val="28"/>
          <w:lang w:val="en-US" w:eastAsia="zh-CN"/>
        </w:rPr>
        <w:t xml:space="preserve">）常用排水管材比较 </w:t>
      </w:r>
    </w:p>
    <w:p w14:paraId="34A7279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几种常用管材的技术性能比较见下表。</w:t>
      </w:r>
    </w:p>
    <w:tbl>
      <w:tblPr>
        <w:tblStyle w:val="19"/>
        <w:tblW w:w="0" w:type="auto"/>
        <w:tblInd w:w="102" w:type="dxa"/>
        <w:tblLayout w:type="fixed"/>
        <w:tblCellMar>
          <w:top w:w="0" w:type="dxa"/>
          <w:left w:w="0" w:type="dxa"/>
          <w:bottom w:w="0" w:type="dxa"/>
          <w:right w:w="0" w:type="dxa"/>
        </w:tblCellMar>
      </w:tblPr>
      <w:tblGrid>
        <w:gridCol w:w="1729"/>
        <w:gridCol w:w="1856"/>
        <w:gridCol w:w="1856"/>
        <w:gridCol w:w="1800"/>
        <w:gridCol w:w="2194"/>
      </w:tblGrid>
      <w:tr w14:paraId="39280C31">
        <w:tblPrEx>
          <w:tblCellMar>
            <w:top w:w="0" w:type="dxa"/>
            <w:left w:w="0" w:type="dxa"/>
            <w:bottom w:w="0" w:type="dxa"/>
            <w:right w:w="0" w:type="dxa"/>
          </w:tblCellMar>
        </w:tblPrEx>
        <w:trPr>
          <w:trHeight w:val="1007" w:hRule="exact"/>
        </w:trPr>
        <w:tc>
          <w:tcPr>
            <w:tcW w:w="1729" w:type="dxa"/>
            <w:tcBorders>
              <w:top w:val="single" w:color="000000" w:sz="4" w:space="0"/>
              <w:left w:val="single" w:color="000000" w:sz="4" w:space="0"/>
              <w:bottom w:val="single" w:color="000000" w:sz="4" w:space="0"/>
              <w:right w:val="single" w:color="000000" w:sz="4" w:space="0"/>
            </w:tcBorders>
          </w:tcPr>
          <w:p w14:paraId="285C2A0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管材</w:t>
            </w:r>
          </w:p>
          <w:p w14:paraId="3900F26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性能</w:t>
            </w:r>
          </w:p>
        </w:tc>
        <w:tc>
          <w:tcPr>
            <w:tcW w:w="1856" w:type="dxa"/>
            <w:tcBorders>
              <w:top w:val="single" w:color="000000" w:sz="4" w:space="0"/>
              <w:left w:val="single" w:color="000000" w:sz="4" w:space="0"/>
              <w:bottom w:val="single" w:color="000000" w:sz="4" w:space="0"/>
              <w:right w:val="single" w:color="000000" w:sz="4" w:space="0"/>
            </w:tcBorders>
          </w:tcPr>
          <w:p w14:paraId="0789AE3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PCP 管</w:t>
            </w:r>
          </w:p>
        </w:tc>
        <w:tc>
          <w:tcPr>
            <w:tcW w:w="1856" w:type="dxa"/>
            <w:tcBorders>
              <w:top w:val="single" w:color="000000" w:sz="4" w:space="0"/>
              <w:left w:val="single" w:color="000000" w:sz="4" w:space="0"/>
              <w:bottom w:val="single" w:color="000000" w:sz="4" w:space="0"/>
              <w:right w:val="single" w:color="000000" w:sz="4" w:space="0"/>
            </w:tcBorders>
          </w:tcPr>
          <w:p w14:paraId="0F1447D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UPVC 管</w:t>
            </w:r>
          </w:p>
        </w:tc>
        <w:tc>
          <w:tcPr>
            <w:tcW w:w="1800" w:type="dxa"/>
            <w:tcBorders>
              <w:top w:val="single" w:color="000000" w:sz="4" w:space="0"/>
              <w:left w:val="single" w:color="000000" w:sz="4" w:space="0"/>
              <w:bottom w:val="single" w:color="000000" w:sz="4" w:space="0"/>
              <w:right w:val="single" w:color="000000" w:sz="4" w:space="0"/>
            </w:tcBorders>
          </w:tcPr>
          <w:p w14:paraId="748A181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HDPE 管</w:t>
            </w:r>
          </w:p>
        </w:tc>
        <w:tc>
          <w:tcPr>
            <w:tcW w:w="2194" w:type="dxa"/>
            <w:tcBorders>
              <w:top w:val="single" w:color="000000" w:sz="4" w:space="0"/>
              <w:left w:val="single" w:color="000000" w:sz="4" w:space="0"/>
              <w:bottom w:val="single" w:color="000000" w:sz="4" w:space="0"/>
              <w:right w:val="single" w:color="000000" w:sz="4" w:space="0"/>
            </w:tcBorders>
          </w:tcPr>
          <w:p w14:paraId="0C9DE96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UHMW-PTE</w:t>
            </w:r>
          </w:p>
          <w:p w14:paraId="318743C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方型增强管</w:t>
            </w:r>
          </w:p>
        </w:tc>
      </w:tr>
      <w:tr w14:paraId="386D5ED3">
        <w:tblPrEx>
          <w:tblCellMar>
            <w:top w:w="0" w:type="dxa"/>
            <w:left w:w="0" w:type="dxa"/>
            <w:bottom w:w="0" w:type="dxa"/>
            <w:right w:w="0" w:type="dxa"/>
          </w:tblCellMar>
        </w:tblPrEx>
        <w:trPr>
          <w:trHeight w:val="227" w:hRule="atLeast"/>
        </w:trPr>
        <w:tc>
          <w:tcPr>
            <w:tcW w:w="1729" w:type="dxa"/>
            <w:tcBorders>
              <w:top w:val="single" w:color="000000" w:sz="4" w:space="0"/>
              <w:left w:val="single" w:color="000000" w:sz="4" w:space="0"/>
              <w:bottom w:val="single" w:color="000000" w:sz="4" w:space="0"/>
              <w:right w:val="single" w:color="000000" w:sz="4" w:space="0"/>
            </w:tcBorders>
            <w:vAlign w:val="top"/>
          </w:tcPr>
          <w:p w14:paraId="0D3ADA8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水力学性能</w:t>
            </w:r>
          </w:p>
        </w:tc>
        <w:tc>
          <w:tcPr>
            <w:tcW w:w="1856" w:type="dxa"/>
            <w:tcBorders>
              <w:top w:val="single" w:color="000000" w:sz="4" w:space="0"/>
              <w:left w:val="single" w:color="000000" w:sz="4" w:space="0"/>
              <w:bottom w:val="single" w:color="000000" w:sz="4" w:space="0"/>
              <w:right w:val="single" w:color="000000" w:sz="4" w:space="0"/>
            </w:tcBorders>
            <w:vAlign w:val="top"/>
          </w:tcPr>
          <w:p w14:paraId="7DB0A63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内壁粗糙</w:t>
            </w:r>
          </w:p>
          <w:p w14:paraId="110576D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易结垢</w:t>
            </w:r>
          </w:p>
        </w:tc>
        <w:tc>
          <w:tcPr>
            <w:tcW w:w="1856" w:type="dxa"/>
            <w:tcBorders>
              <w:top w:val="single" w:color="000000" w:sz="4" w:space="0"/>
              <w:left w:val="single" w:color="000000" w:sz="4" w:space="0"/>
              <w:bottom w:val="single" w:color="000000" w:sz="4" w:space="0"/>
              <w:right w:val="single" w:color="000000" w:sz="4" w:space="0"/>
            </w:tcBorders>
            <w:vAlign w:val="top"/>
          </w:tcPr>
          <w:p w14:paraId="3997C2F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内壁光滑</w:t>
            </w:r>
          </w:p>
          <w:p w14:paraId="5327AAD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不结垢</w:t>
            </w:r>
          </w:p>
        </w:tc>
        <w:tc>
          <w:tcPr>
            <w:tcW w:w="1800" w:type="dxa"/>
            <w:tcBorders>
              <w:top w:val="single" w:color="000000" w:sz="4" w:space="0"/>
              <w:left w:val="single" w:color="000000" w:sz="4" w:space="0"/>
              <w:bottom w:val="single" w:color="000000" w:sz="4" w:space="0"/>
              <w:right w:val="single" w:color="000000" w:sz="4" w:space="0"/>
            </w:tcBorders>
            <w:vAlign w:val="top"/>
          </w:tcPr>
          <w:p w14:paraId="7690E71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内壁光滑</w:t>
            </w:r>
          </w:p>
          <w:p w14:paraId="5401380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不结垢</w:t>
            </w:r>
          </w:p>
        </w:tc>
        <w:tc>
          <w:tcPr>
            <w:tcW w:w="2194" w:type="dxa"/>
            <w:tcBorders>
              <w:top w:val="single" w:color="000000" w:sz="4" w:space="0"/>
              <w:left w:val="single" w:color="000000" w:sz="4" w:space="0"/>
              <w:bottom w:val="single" w:color="000000" w:sz="4" w:space="0"/>
              <w:right w:val="single" w:color="000000" w:sz="4" w:space="0"/>
            </w:tcBorders>
            <w:vAlign w:val="top"/>
          </w:tcPr>
          <w:p w14:paraId="79267AE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内壁光滑</w:t>
            </w:r>
          </w:p>
          <w:p w14:paraId="1E35507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不结垢</w:t>
            </w:r>
          </w:p>
        </w:tc>
      </w:tr>
      <w:tr w14:paraId="1F25AC81">
        <w:tblPrEx>
          <w:tblCellMar>
            <w:top w:w="0" w:type="dxa"/>
            <w:left w:w="0" w:type="dxa"/>
            <w:bottom w:w="0" w:type="dxa"/>
            <w:right w:w="0" w:type="dxa"/>
          </w:tblCellMar>
        </w:tblPrEx>
        <w:trPr>
          <w:trHeight w:val="227" w:hRule="atLeast"/>
        </w:trPr>
        <w:tc>
          <w:tcPr>
            <w:tcW w:w="1729" w:type="dxa"/>
            <w:tcBorders>
              <w:top w:val="single" w:color="000000" w:sz="4" w:space="0"/>
              <w:left w:val="single" w:color="000000" w:sz="4" w:space="0"/>
              <w:bottom w:val="single" w:color="000000" w:sz="4" w:space="0"/>
              <w:right w:val="single" w:color="000000" w:sz="4" w:space="0"/>
            </w:tcBorders>
            <w:vAlign w:val="top"/>
          </w:tcPr>
          <w:p w14:paraId="451237E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抗渗性能</w:t>
            </w:r>
          </w:p>
        </w:tc>
        <w:tc>
          <w:tcPr>
            <w:tcW w:w="1856" w:type="dxa"/>
            <w:tcBorders>
              <w:top w:val="single" w:color="000000" w:sz="4" w:space="0"/>
              <w:left w:val="single" w:color="000000" w:sz="4" w:space="0"/>
              <w:bottom w:val="single" w:color="000000" w:sz="4" w:space="0"/>
              <w:right w:val="single" w:color="000000" w:sz="4" w:space="0"/>
            </w:tcBorders>
            <w:vAlign w:val="top"/>
          </w:tcPr>
          <w:p w14:paraId="3192B0C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较弱</w:t>
            </w:r>
          </w:p>
        </w:tc>
        <w:tc>
          <w:tcPr>
            <w:tcW w:w="1856" w:type="dxa"/>
            <w:tcBorders>
              <w:top w:val="single" w:color="000000" w:sz="4" w:space="0"/>
              <w:left w:val="single" w:color="000000" w:sz="4" w:space="0"/>
              <w:bottom w:val="single" w:color="000000" w:sz="4" w:space="0"/>
              <w:right w:val="single" w:color="000000" w:sz="4" w:space="0"/>
            </w:tcBorders>
            <w:vAlign w:val="top"/>
          </w:tcPr>
          <w:p w14:paraId="41F2D45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较强</w:t>
            </w:r>
          </w:p>
        </w:tc>
        <w:tc>
          <w:tcPr>
            <w:tcW w:w="1800" w:type="dxa"/>
            <w:tcBorders>
              <w:top w:val="single" w:color="000000" w:sz="4" w:space="0"/>
              <w:left w:val="single" w:color="000000" w:sz="4" w:space="0"/>
              <w:bottom w:val="single" w:color="000000" w:sz="4" w:space="0"/>
              <w:right w:val="single" w:color="000000" w:sz="4" w:space="0"/>
            </w:tcBorders>
            <w:vAlign w:val="top"/>
          </w:tcPr>
          <w:p w14:paraId="0638FBB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强</w:t>
            </w:r>
          </w:p>
        </w:tc>
        <w:tc>
          <w:tcPr>
            <w:tcW w:w="2194" w:type="dxa"/>
            <w:tcBorders>
              <w:top w:val="single" w:color="000000" w:sz="4" w:space="0"/>
              <w:left w:val="single" w:color="000000" w:sz="4" w:space="0"/>
              <w:bottom w:val="single" w:color="000000" w:sz="4" w:space="0"/>
              <w:right w:val="single" w:color="000000" w:sz="4" w:space="0"/>
            </w:tcBorders>
            <w:vAlign w:val="top"/>
          </w:tcPr>
          <w:p w14:paraId="28A4C50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强</w:t>
            </w:r>
          </w:p>
        </w:tc>
      </w:tr>
      <w:tr w14:paraId="34382181">
        <w:tblPrEx>
          <w:tblCellMar>
            <w:top w:w="0" w:type="dxa"/>
            <w:left w:w="0" w:type="dxa"/>
            <w:bottom w:w="0" w:type="dxa"/>
            <w:right w:w="0" w:type="dxa"/>
          </w:tblCellMar>
        </w:tblPrEx>
        <w:trPr>
          <w:trHeight w:val="227" w:hRule="atLeast"/>
        </w:trPr>
        <w:tc>
          <w:tcPr>
            <w:tcW w:w="1729" w:type="dxa"/>
            <w:tcBorders>
              <w:top w:val="single" w:color="000000" w:sz="4" w:space="0"/>
              <w:left w:val="single" w:color="000000" w:sz="4" w:space="0"/>
              <w:bottom w:val="single" w:color="000000" w:sz="4" w:space="0"/>
              <w:right w:val="single" w:color="000000" w:sz="4" w:space="0"/>
            </w:tcBorders>
            <w:vAlign w:val="top"/>
          </w:tcPr>
          <w:p w14:paraId="069B9BB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耐腐蚀性</w:t>
            </w:r>
          </w:p>
        </w:tc>
        <w:tc>
          <w:tcPr>
            <w:tcW w:w="1856" w:type="dxa"/>
            <w:tcBorders>
              <w:top w:val="single" w:color="000000" w:sz="4" w:space="0"/>
              <w:left w:val="single" w:color="000000" w:sz="4" w:space="0"/>
              <w:bottom w:val="single" w:color="000000" w:sz="4" w:space="0"/>
              <w:right w:val="single" w:color="000000" w:sz="4" w:space="0"/>
            </w:tcBorders>
            <w:vAlign w:val="top"/>
          </w:tcPr>
          <w:p w14:paraId="225BA95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一般</w:t>
            </w:r>
          </w:p>
        </w:tc>
        <w:tc>
          <w:tcPr>
            <w:tcW w:w="1856" w:type="dxa"/>
            <w:tcBorders>
              <w:top w:val="single" w:color="000000" w:sz="4" w:space="0"/>
              <w:left w:val="single" w:color="000000" w:sz="4" w:space="0"/>
              <w:bottom w:val="single" w:color="000000" w:sz="4" w:space="0"/>
              <w:right w:val="single" w:color="000000" w:sz="4" w:space="0"/>
            </w:tcBorders>
            <w:vAlign w:val="top"/>
          </w:tcPr>
          <w:p w14:paraId="1DD39EA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较好</w:t>
            </w:r>
          </w:p>
        </w:tc>
        <w:tc>
          <w:tcPr>
            <w:tcW w:w="1800" w:type="dxa"/>
            <w:tcBorders>
              <w:top w:val="single" w:color="000000" w:sz="4" w:space="0"/>
              <w:left w:val="single" w:color="000000" w:sz="4" w:space="0"/>
              <w:bottom w:val="single" w:color="000000" w:sz="4" w:space="0"/>
              <w:right w:val="single" w:color="000000" w:sz="4" w:space="0"/>
            </w:tcBorders>
            <w:vAlign w:val="top"/>
          </w:tcPr>
          <w:p w14:paraId="4012730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好</w:t>
            </w:r>
          </w:p>
        </w:tc>
        <w:tc>
          <w:tcPr>
            <w:tcW w:w="2194" w:type="dxa"/>
            <w:tcBorders>
              <w:top w:val="single" w:color="000000" w:sz="4" w:space="0"/>
              <w:left w:val="single" w:color="000000" w:sz="4" w:space="0"/>
              <w:bottom w:val="single" w:color="000000" w:sz="4" w:space="0"/>
              <w:right w:val="single" w:color="000000" w:sz="4" w:space="0"/>
            </w:tcBorders>
            <w:vAlign w:val="top"/>
          </w:tcPr>
          <w:p w14:paraId="66260F2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好</w:t>
            </w:r>
          </w:p>
        </w:tc>
      </w:tr>
      <w:tr w14:paraId="495ECAFE">
        <w:tblPrEx>
          <w:tblCellMar>
            <w:top w:w="0" w:type="dxa"/>
            <w:left w:w="0" w:type="dxa"/>
            <w:bottom w:w="0" w:type="dxa"/>
            <w:right w:w="0" w:type="dxa"/>
          </w:tblCellMar>
        </w:tblPrEx>
        <w:trPr>
          <w:trHeight w:val="227" w:hRule="atLeast"/>
        </w:trPr>
        <w:tc>
          <w:tcPr>
            <w:tcW w:w="1729" w:type="dxa"/>
            <w:tcBorders>
              <w:top w:val="single" w:color="000000" w:sz="4" w:space="0"/>
              <w:left w:val="single" w:color="000000" w:sz="4" w:space="0"/>
              <w:bottom w:val="single" w:color="000000" w:sz="4" w:space="0"/>
              <w:right w:val="single" w:color="000000" w:sz="4" w:space="0"/>
            </w:tcBorders>
            <w:vAlign w:val="top"/>
          </w:tcPr>
          <w:p w14:paraId="582636A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耐冲击性</w:t>
            </w:r>
          </w:p>
        </w:tc>
        <w:tc>
          <w:tcPr>
            <w:tcW w:w="1856" w:type="dxa"/>
            <w:tcBorders>
              <w:top w:val="single" w:color="000000" w:sz="4" w:space="0"/>
              <w:left w:val="single" w:color="000000" w:sz="4" w:space="0"/>
              <w:bottom w:val="single" w:color="000000" w:sz="4" w:space="0"/>
              <w:right w:val="single" w:color="000000" w:sz="4" w:space="0"/>
            </w:tcBorders>
            <w:vAlign w:val="top"/>
          </w:tcPr>
          <w:p w14:paraId="6C88DC9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好</w:t>
            </w:r>
          </w:p>
        </w:tc>
        <w:tc>
          <w:tcPr>
            <w:tcW w:w="1856" w:type="dxa"/>
            <w:tcBorders>
              <w:top w:val="single" w:color="000000" w:sz="4" w:space="0"/>
              <w:left w:val="single" w:color="000000" w:sz="4" w:space="0"/>
              <w:bottom w:val="single" w:color="000000" w:sz="4" w:space="0"/>
              <w:right w:val="single" w:color="000000" w:sz="4" w:space="0"/>
            </w:tcBorders>
            <w:vAlign w:val="top"/>
          </w:tcPr>
          <w:p w14:paraId="53B3383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在硬物冲击下破裂断裂危险</w:t>
            </w:r>
          </w:p>
        </w:tc>
        <w:tc>
          <w:tcPr>
            <w:tcW w:w="1800" w:type="dxa"/>
            <w:tcBorders>
              <w:top w:val="single" w:color="000000" w:sz="4" w:space="0"/>
              <w:left w:val="single" w:color="000000" w:sz="4" w:space="0"/>
              <w:bottom w:val="single" w:color="000000" w:sz="4" w:space="0"/>
              <w:right w:val="single" w:color="000000" w:sz="4" w:space="0"/>
            </w:tcBorders>
            <w:vAlign w:val="top"/>
          </w:tcPr>
          <w:p w14:paraId="1442092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好</w:t>
            </w:r>
          </w:p>
        </w:tc>
        <w:tc>
          <w:tcPr>
            <w:tcW w:w="2194" w:type="dxa"/>
            <w:tcBorders>
              <w:top w:val="single" w:color="000000" w:sz="4" w:space="0"/>
              <w:left w:val="single" w:color="000000" w:sz="4" w:space="0"/>
              <w:bottom w:val="single" w:color="000000" w:sz="4" w:space="0"/>
              <w:right w:val="single" w:color="000000" w:sz="4" w:space="0"/>
            </w:tcBorders>
            <w:vAlign w:val="top"/>
          </w:tcPr>
          <w:p w14:paraId="5DDA087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好</w:t>
            </w:r>
          </w:p>
        </w:tc>
      </w:tr>
      <w:tr w14:paraId="5ECF7BD8">
        <w:tblPrEx>
          <w:tblCellMar>
            <w:top w:w="0" w:type="dxa"/>
            <w:left w:w="0" w:type="dxa"/>
            <w:bottom w:w="0" w:type="dxa"/>
            <w:right w:w="0" w:type="dxa"/>
          </w:tblCellMar>
        </w:tblPrEx>
        <w:trPr>
          <w:trHeight w:val="227" w:hRule="atLeast"/>
        </w:trPr>
        <w:tc>
          <w:tcPr>
            <w:tcW w:w="1729" w:type="dxa"/>
            <w:tcBorders>
              <w:top w:val="single" w:color="000000" w:sz="4" w:space="0"/>
              <w:left w:val="single" w:color="000000" w:sz="4" w:space="0"/>
              <w:bottom w:val="single" w:color="000000" w:sz="4" w:space="0"/>
              <w:right w:val="single" w:color="000000" w:sz="4" w:space="0"/>
            </w:tcBorders>
            <w:vAlign w:val="top"/>
          </w:tcPr>
          <w:p w14:paraId="6C140D8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柔韧性</w:t>
            </w:r>
          </w:p>
        </w:tc>
        <w:tc>
          <w:tcPr>
            <w:tcW w:w="1856" w:type="dxa"/>
            <w:tcBorders>
              <w:top w:val="single" w:color="000000" w:sz="4" w:space="0"/>
              <w:left w:val="single" w:color="000000" w:sz="4" w:space="0"/>
              <w:bottom w:val="single" w:color="000000" w:sz="4" w:space="0"/>
              <w:right w:val="single" w:color="000000" w:sz="4" w:space="0"/>
            </w:tcBorders>
            <w:vAlign w:val="top"/>
          </w:tcPr>
          <w:p w14:paraId="312D4A7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差</w:t>
            </w:r>
          </w:p>
        </w:tc>
        <w:tc>
          <w:tcPr>
            <w:tcW w:w="1856" w:type="dxa"/>
            <w:tcBorders>
              <w:top w:val="single" w:color="000000" w:sz="4" w:space="0"/>
              <w:left w:val="single" w:color="000000" w:sz="4" w:space="0"/>
              <w:bottom w:val="single" w:color="000000" w:sz="4" w:space="0"/>
              <w:right w:val="single" w:color="000000" w:sz="4" w:space="0"/>
            </w:tcBorders>
            <w:vAlign w:val="top"/>
          </w:tcPr>
          <w:p w14:paraId="0CB3AC9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较差</w:t>
            </w:r>
          </w:p>
        </w:tc>
        <w:tc>
          <w:tcPr>
            <w:tcW w:w="1800" w:type="dxa"/>
            <w:tcBorders>
              <w:top w:val="single" w:color="000000" w:sz="4" w:space="0"/>
              <w:left w:val="single" w:color="000000" w:sz="4" w:space="0"/>
              <w:bottom w:val="single" w:color="000000" w:sz="4" w:space="0"/>
              <w:right w:val="single" w:color="000000" w:sz="4" w:space="0"/>
            </w:tcBorders>
            <w:vAlign w:val="top"/>
          </w:tcPr>
          <w:p w14:paraId="472D1A6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较差</w:t>
            </w:r>
          </w:p>
        </w:tc>
        <w:tc>
          <w:tcPr>
            <w:tcW w:w="2194" w:type="dxa"/>
            <w:tcBorders>
              <w:top w:val="single" w:color="000000" w:sz="4" w:space="0"/>
              <w:left w:val="single" w:color="000000" w:sz="4" w:space="0"/>
              <w:bottom w:val="single" w:color="000000" w:sz="4" w:space="0"/>
              <w:right w:val="single" w:color="000000" w:sz="4" w:space="0"/>
            </w:tcBorders>
            <w:vAlign w:val="top"/>
          </w:tcPr>
          <w:p w14:paraId="6F287A7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较好</w:t>
            </w:r>
          </w:p>
        </w:tc>
      </w:tr>
      <w:tr w14:paraId="4BE04651">
        <w:tblPrEx>
          <w:tblCellMar>
            <w:top w:w="0" w:type="dxa"/>
            <w:left w:w="0" w:type="dxa"/>
            <w:bottom w:w="0" w:type="dxa"/>
            <w:right w:w="0" w:type="dxa"/>
          </w:tblCellMar>
        </w:tblPrEx>
        <w:trPr>
          <w:trHeight w:val="227" w:hRule="atLeast"/>
        </w:trPr>
        <w:tc>
          <w:tcPr>
            <w:tcW w:w="1729" w:type="dxa"/>
            <w:tcBorders>
              <w:top w:val="single" w:color="000000" w:sz="4" w:space="0"/>
              <w:left w:val="single" w:color="000000" w:sz="4" w:space="0"/>
              <w:bottom w:val="single" w:color="000000" w:sz="4" w:space="0"/>
              <w:right w:val="single" w:color="000000" w:sz="4" w:space="0"/>
            </w:tcBorders>
            <w:vAlign w:val="top"/>
          </w:tcPr>
          <w:p w14:paraId="2934323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热力学性能</w:t>
            </w:r>
          </w:p>
        </w:tc>
        <w:tc>
          <w:tcPr>
            <w:tcW w:w="1856" w:type="dxa"/>
            <w:tcBorders>
              <w:top w:val="single" w:color="000000" w:sz="4" w:space="0"/>
              <w:left w:val="single" w:color="000000" w:sz="4" w:space="0"/>
              <w:bottom w:val="single" w:color="000000" w:sz="4" w:space="0"/>
              <w:right w:val="single" w:color="000000" w:sz="4" w:space="0"/>
            </w:tcBorders>
            <w:vAlign w:val="top"/>
          </w:tcPr>
          <w:p w14:paraId="17D9D2E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一般</w:t>
            </w:r>
          </w:p>
        </w:tc>
        <w:tc>
          <w:tcPr>
            <w:tcW w:w="1856" w:type="dxa"/>
            <w:tcBorders>
              <w:top w:val="single" w:color="000000" w:sz="4" w:space="0"/>
              <w:left w:val="single" w:color="000000" w:sz="4" w:space="0"/>
              <w:bottom w:val="single" w:color="000000" w:sz="4" w:space="0"/>
              <w:right w:val="single" w:color="000000" w:sz="4" w:space="0"/>
            </w:tcBorders>
            <w:vAlign w:val="top"/>
          </w:tcPr>
          <w:p w14:paraId="2BF86D4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较好</w:t>
            </w:r>
          </w:p>
        </w:tc>
        <w:tc>
          <w:tcPr>
            <w:tcW w:w="1800" w:type="dxa"/>
            <w:tcBorders>
              <w:top w:val="single" w:color="000000" w:sz="4" w:space="0"/>
              <w:left w:val="single" w:color="000000" w:sz="4" w:space="0"/>
              <w:bottom w:val="single" w:color="000000" w:sz="4" w:space="0"/>
              <w:right w:val="single" w:color="000000" w:sz="4" w:space="0"/>
            </w:tcBorders>
            <w:vAlign w:val="top"/>
          </w:tcPr>
          <w:p w14:paraId="226B6A6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好</w:t>
            </w:r>
          </w:p>
        </w:tc>
        <w:tc>
          <w:tcPr>
            <w:tcW w:w="2194" w:type="dxa"/>
            <w:tcBorders>
              <w:top w:val="single" w:color="000000" w:sz="4" w:space="0"/>
              <w:left w:val="single" w:color="000000" w:sz="4" w:space="0"/>
              <w:bottom w:val="single" w:color="000000" w:sz="4" w:space="0"/>
              <w:right w:val="single" w:color="000000" w:sz="4" w:space="0"/>
            </w:tcBorders>
            <w:vAlign w:val="top"/>
          </w:tcPr>
          <w:p w14:paraId="043855C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好</w:t>
            </w:r>
          </w:p>
        </w:tc>
      </w:tr>
      <w:tr w14:paraId="6EC843AA">
        <w:tblPrEx>
          <w:tblCellMar>
            <w:top w:w="0" w:type="dxa"/>
            <w:left w:w="0" w:type="dxa"/>
            <w:bottom w:w="0" w:type="dxa"/>
            <w:right w:w="0" w:type="dxa"/>
          </w:tblCellMar>
        </w:tblPrEx>
        <w:trPr>
          <w:trHeight w:val="227" w:hRule="atLeast"/>
        </w:trPr>
        <w:tc>
          <w:tcPr>
            <w:tcW w:w="1729" w:type="dxa"/>
            <w:tcBorders>
              <w:top w:val="single" w:color="000000" w:sz="4" w:space="0"/>
              <w:left w:val="single" w:color="000000" w:sz="4" w:space="0"/>
              <w:bottom w:val="single" w:color="000000" w:sz="4" w:space="0"/>
              <w:right w:val="single" w:color="000000" w:sz="4" w:space="0"/>
            </w:tcBorders>
            <w:vAlign w:val="top"/>
          </w:tcPr>
          <w:p w14:paraId="56E7856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摩阻系数</w:t>
            </w:r>
          </w:p>
        </w:tc>
        <w:tc>
          <w:tcPr>
            <w:tcW w:w="1856" w:type="dxa"/>
            <w:tcBorders>
              <w:top w:val="single" w:color="000000" w:sz="4" w:space="0"/>
              <w:left w:val="single" w:color="000000" w:sz="4" w:space="0"/>
              <w:bottom w:val="single" w:color="000000" w:sz="4" w:space="0"/>
              <w:right w:val="single" w:color="000000" w:sz="4" w:space="0"/>
            </w:tcBorders>
            <w:vAlign w:val="top"/>
          </w:tcPr>
          <w:p w14:paraId="784729B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0.014</w:t>
            </w:r>
          </w:p>
        </w:tc>
        <w:tc>
          <w:tcPr>
            <w:tcW w:w="1856" w:type="dxa"/>
            <w:tcBorders>
              <w:top w:val="single" w:color="000000" w:sz="4" w:space="0"/>
              <w:left w:val="single" w:color="000000" w:sz="4" w:space="0"/>
              <w:bottom w:val="single" w:color="000000" w:sz="4" w:space="0"/>
              <w:right w:val="single" w:color="000000" w:sz="4" w:space="0"/>
            </w:tcBorders>
            <w:vAlign w:val="top"/>
          </w:tcPr>
          <w:p w14:paraId="3814801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0.01</w:t>
            </w:r>
          </w:p>
        </w:tc>
        <w:tc>
          <w:tcPr>
            <w:tcW w:w="1800" w:type="dxa"/>
            <w:tcBorders>
              <w:top w:val="single" w:color="000000" w:sz="4" w:space="0"/>
              <w:left w:val="single" w:color="000000" w:sz="4" w:space="0"/>
              <w:bottom w:val="single" w:color="000000" w:sz="4" w:space="0"/>
              <w:right w:val="single" w:color="000000" w:sz="4" w:space="0"/>
            </w:tcBorders>
            <w:vAlign w:val="top"/>
          </w:tcPr>
          <w:p w14:paraId="3049F21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0.01</w:t>
            </w:r>
          </w:p>
        </w:tc>
        <w:tc>
          <w:tcPr>
            <w:tcW w:w="2194" w:type="dxa"/>
            <w:tcBorders>
              <w:top w:val="single" w:color="000000" w:sz="4" w:space="0"/>
              <w:left w:val="single" w:color="000000" w:sz="4" w:space="0"/>
              <w:bottom w:val="single" w:color="000000" w:sz="4" w:space="0"/>
              <w:right w:val="single" w:color="000000" w:sz="4" w:space="0"/>
            </w:tcBorders>
            <w:vAlign w:val="top"/>
          </w:tcPr>
          <w:p w14:paraId="406AD31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0.01</w:t>
            </w:r>
          </w:p>
        </w:tc>
      </w:tr>
      <w:tr w14:paraId="5750B292">
        <w:tblPrEx>
          <w:tblCellMar>
            <w:top w:w="0" w:type="dxa"/>
            <w:left w:w="0" w:type="dxa"/>
            <w:bottom w:w="0" w:type="dxa"/>
            <w:right w:w="0" w:type="dxa"/>
          </w:tblCellMar>
        </w:tblPrEx>
        <w:trPr>
          <w:trHeight w:val="227" w:hRule="atLeast"/>
        </w:trPr>
        <w:tc>
          <w:tcPr>
            <w:tcW w:w="1729" w:type="dxa"/>
            <w:tcBorders>
              <w:top w:val="single" w:color="000000" w:sz="4" w:space="0"/>
              <w:left w:val="single" w:color="000000" w:sz="4" w:space="0"/>
              <w:bottom w:val="single" w:color="000000" w:sz="4" w:space="0"/>
              <w:right w:val="single" w:color="000000" w:sz="4" w:space="0"/>
            </w:tcBorders>
            <w:vAlign w:val="top"/>
          </w:tcPr>
          <w:p w14:paraId="5607AEA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水头损失</w:t>
            </w:r>
          </w:p>
        </w:tc>
        <w:tc>
          <w:tcPr>
            <w:tcW w:w="1856" w:type="dxa"/>
            <w:tcBorders>
              <w:top w:val="single" w:color="000000" w:sz="4" w:space="0"/>
              <w:left w:val="single" w:color="000000" w:sz="4" w:space="0"/>
              <w:bottom w:val="single" w:color="000000" w:sz="4" w:space="0"/>
              <w:right w:val="single" w:color="000000" w:sz="4" w:space="0"/>
            </w:tcBorders>
            <w:vAlign w:val="top"/>
          </w:tcPr>
          <w:p w14:paraId="3CB84A0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较大</w:t>
            </w:r>
          </w:p>
        </w:tc>
        <w:tc>
          <w:tcPr>
            <w:tcW w:w="1856" w:type="dxa"/>
            <w:tcBorders>
              <w:top w:val="single" w:color="000000" w:sz="4" w:space="0"/>
              <w:left w:val="single" w:color="000000" w:sz="4" w:space="0"/>
              <w:bottom w:val="single" w:color="000000" w:sz="4" w:space="0"/>
              <w:right w:val="single" w:color="000000" w:sz="4" w:space="0"/>
            </w:tcBorders>
            <w:vAlign w:val="top"/>
          </w:tcPr>
          <w:p w14:paraId="6F9FBA4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较小</w:t>
            </w:r>
          </w:p>
        </w:tc>
        <w:tc>
          <w:tcPr>
            <w:tcW w:w="1800" w:type="dxa"/>
            <w:tcBorders>
              <w:top w:val="single" w:color="000000" w:sz="4" w:space="0"/>
              <w:left w:val="single" w:color="000000" w:sz="4" w:space="0"/>
              <w:bottom w:val="single" w:color="000000" w:sz="4" w:space="0"/>
              <w:right w:val="single" w:color="000000" w:sz="4" w:space="0"/>
            </w:tcBorders>
            <w:vAlign w:val="top"/>
          </w:tcPr>
          <w:p w14:paraId="7D8DC96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较小</w:t>
            </w:r>
          </w:p>
        </w:tc>
        <w:tc>
          <w:tcPr>
            <w:tcW w:w="2194" w:type="dxa"/>
            <w:tcBorders>
              <w:top w:val="single" w:color="000000" w:sz="4" w:space="0"/>
              <w:left w:val="single" w:color="000000" w:sz="4" w:space="0"/>
              <w:bottom w:val="single" w:color="000000" w:sz="4" w:space="0"/>
              <w:right w:val="single" w:color="000000" w:sz="4" w:space="0"/>
            </w:tcBorders>
            <w:vAlign w:val="top"/>
          </w:tcPr>
          <w:p w14:paraId="1B6807C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较小</w:t>
            </w:r>
          </w:p>
        </w:tc>
      </w:tr>
      <w:tr w14:paraId="11BB0DA7">
        <w:tblPrEx>
          <w:tblCellMar>
            <w:top w:w="0" w:type="dxa"/>
            <w:left w:w="0" w:type="dxa"/>
            <w:bottom w:w="0" w:type="dxa"/>
            <w:right w:w="0" w:type="dxa"/>
          </w:tblCellMar>
        </w:tblPrEx>
        <w:trPr>
          <w:trHeight w:val="227" w:hRule="atLeast"/>
        </w:trPr>
        <w:tc>
          <w:tcPr>
            <w:tcW w:w="1729" w:type="dxa"/>
            <w:tcBorders>
              <w:top w:val="single" w:color="000000" w:sz="4" w:space="0"/>
              <w:left w:val="single" w:color="000000" w:sz="4" w:space="0"/>
              <w:bottom w:val="single" w:color="000000" w:sz="4" w:space="0"/>
              <w:right w:val="single" w:color="000000" w:sz="4" w:space="0"/>
            </w:tcBorders>
            <w:vAlign w:val="top"/>
          </w:tcPr>
          <w:p w14:paraId="383E9BE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重量及运输</w:t>
            </w:r>
          </w:p>
          <w:p w14:paraId="071AE59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安装</w:t>
            </w:r>
          </w:p>
        </w:tc>
        <w:tc>
          <w:tcPr>
            <w:tcW w:w="1856" w:type="dxa"/>
            <w:tcBorders>
              <w:top w:val="single" w:color="000000" w:sz="4" w:space="0"/>
              <w:left w:val="single" w:color="000000" w:sz="4" w:space="0"/>
              <w:bottom w:val="single" w:color="000000" w:sz="4" w:space="0"/>
              <w:right w:val="single" w:color="000000" w:sz="4" w:space="0"/>
            </w:tcBorders>
            <w:vAlign w:val="top"/>
          </w:tcPr>
          <w:p w14:paraId="3A7DE76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重，麻烦</w:t>
            </w:r>
          </w:p>
        </w:tc>
        <w:tc>
          <w:tcPr>
            <w:tcW w:w="1856" w:type="dxa"/>
            <w:tcBorders>
              <w:top w:val="single" w:color="000000" w:sz="4" w:space="0"/>
              <w:left w:val="single" w:color="000000" w:sz="4" w:space="0"/>
              <w:bottom w:val="single" w:color="000000" w:sz="4" w:space="0"/>
              <w:right w:val="single" w:color="000000" w:sz="4" w:space="0"/>
            </w:tcBorders>
            <w:vAlign w:val="top"/>
          </w:tcPr>
          <w:p w14:paraId="28F1901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轻，方便</w:t>
            </w:r>
          </w:p>
        </w:tc>
        <w:tc>
          <w:tcPr>
            <w:tcW w:w="1800" w:type="dxa"/>
            <w:tcBorders>
              <w:top w:val="single" w:color="000000" w:sz="4" w:space="0"/>
              <w:left w:val="single" w:color="000000" w:sz="4" w:space="0"/>
              <w:bottom w:val="single" w:color="000000" w:sz="4" w:space="0"/>
              <w:right w:val="single" w:color="000000" w:sz="4" w:space="0"/>
            </w:tcBorders>
            <w:vAlign w:val="top"/>
          </w:tcPr>
          <w:p w14:paraId="4265D58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轻，方便</w:t>
            </w:r>
          </w:p>
        </w:tc>
        <w:tc>
          <w:tcPr>
            <w:tcW w:w="2194" w:type="dxa"/>
            <w:tcBorders>
              <w:top w:val="single" w:color="000000" w:sz="4" w:space="0"/>
              <w:left w:val="single" w:color="000000" w:sz="4" w:space="0"/>
              <w:bottom w:val="single" w:color="000000" w:sz="4" w:space="0"/>
              <w:right w:val="single" w:color="000000" w:sz="4" w:space="0"/>
            </w:tcBorders>
            <w:vAlign w:val="top"/>
          </w:tcPr>
          <w:p w14:paraId="2B5BEAE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轻，方便</w:t>
            </w:r>
          </w:p>
        </w:tc>
      </w:tr>
      <w:tr w14:paraId="06560AC1">
        <w:tblPrEx>
          <w:tblCellMar>
            <w:top w:w="0" w:type="dxa"/>
            <w:left w:w="0" w:type="dxa"/>
            <w:bottom w:w="0" w:type="dxa"/>
            <w:right w:w="0" w:type="dxa"/>
          </w:tblCellMar>
        </w:tblPrEx>
        <w:trPr>
          <w:trHeight w:val="227" w:hRule="atLeast"/>
        </w:trPr>
        <w:tc>
          <w:tcPr>
            <w:tcW w:w="1729" w:type="dxa"/>
            <w:tcBorders>
              <w:top w:val="single" w:color="000000" w:sz="4" w:space="0"/>
              <w:left w:val="single" w:color="000000" w:sz="4" w:space="0"/>
              <w:bottom w:val="single" w:color="000000" w:sz="4" w:space="0"/>
              <w:right w:val="single" w:color="000000" w:sz="4" w:space="0"/>
            </w:tcBorders>
            <w:vAlign w:val="top"/>
          </w:tcPr>
          <w:p w14:paraId="29BB757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施工难易</w:t>
            </w:r>
          </w:p>
        </w:tc>
        <w:tc>
          <w:tcPr>
            <w:tcW w:w="1856" w:type="dxa"/>
            <w:tcBorders>
              <w:top w:val="single" w:color="000000" w:sz="4" w:space="0"/>
              <w:left w:val="single" w:color="000000" w:sz="4" w:space="0"/>
              <w:bottom w:val="single" w:color="000000" w:sz="4" w:space="0"/>
              <w:right w:val="single" w:color="000000" w:sz="4" w:space="0"/>
            </w:tcBorders>
            <w:vAlign w:val="top"/>
          </w:tcPr>
          <w:p w14:paraId="22A8335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较难</w:t>
            </w:r>
          </w:p>
        </w:tc>
        <w:tc>
          <w:tcPr>
            <w:tcW w:w="1856" w:type="dxa"/>
            <w:tcBorders>
              <w:top w:val="single" w:color="000000" w:sz="4" w:space="0"/>
              <w:left w:val="single" w:color="000000" w:sz="4" w:space="0"/>
              <w:bottom w:val="single" w:color="000000" w:sz="4" w:space="0"/>
              <w:right w:val="single" w:color="000000" w:sz="4" w:space="0"/>
            </w:tcBorders>
            <w:vAlign w:val="top"/>
          </w:tcPr>
          <w:p w14:paraId="78B00C9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容易</w:t>
            </w:r>
          </w:p>
        </w:tc>
        <w:tc>
          <w:tcPr>
            <w:tcW w:w="1800" w:type="dxa"/>
            <w:tcBorders>
              <w:top w:val="single" w:color="000000" w:sz="4" w:space="0"/>
              <w:left w:val="single" w:color="000000" w:sz="4" w:space="0"/>
              <w:bottom w:val="single" w:color="000000" w:sz="4" w:space="0"/>
              <w:right w:val="single" w:color="000000" w:sz="4" w:space="0"/>
            </w:tcBorders>
            <w:vAlign w:val="top"/>
          </w:tcPr>
          <w:p w14:paraId="7301D94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容易</w:t>
            </w:r>
          </w:p>
        </w:tc>
        <w:tc>
          <w:tcPr>
            <w:tcW w:w="2194" w:type="dxa"/>
            <w:tcBorders>
              <w:top w:val="single" w:color="000000" w:sz="4" w:space="0"/>
              <w:left w:val="single" w:color="000000" w:sz="4" w:space="0"/>
              <w:bottom w:val="single" w:color="000000" w:sz="4" w:space="0"/>
              <w:right w:val="single" w:color="000000" w:sz="4" w:space="0"/>
            </w:tcBorders>
            <w:vAlign w:val="top"/>
          </w:tcPr>
          <w:p w14:paraId="2B095AC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容易</w:t>
            </w:r>
          </w:p>
        </w:tc>
      </w:tr>
      <w:tr w14:paraId="09F98DD0">
        <w:tblPrEx>
          <w:tblCellMar>
            <w:top w:w="0" w:type="dxa"/>
            <w:left w:w="0" w:type="dxa"/>
            <w:bottom w:w="0" w:type="dxa"/>
            <w:right w:w="0" w:type="dxa"/>
          </w:tblCellMar>
        </w:tblPrEx>
        <w:trPr>
          <w:trHeight w:val="227" w:hRule="atLeast"/>
        </w:trPr>
        <w:tc>
          <w:tcPr>
            <w:tcW w:w="1729" w:type="dxa"/>
            <w:tcBorders>
              <w:top w:val="single" w:color="000000" w:sz="4" w:space="0"/>
              <w:left w:val="single" w:color="000000" w:sz="4" w:space="0"/>
              <w:bottom w:val="single" w:color="000000" w:sz="4" w:space="0"/>
              <w:right w:val="single" w:color="000000" w:sz="4" w:space="0"/>
            </w:tcBorders>
            <w:vAlign w:val="top"/>
          </w:tcPr>
          <w:p w14:paraId="7235433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基础处理要求</w:t>
            </w:r>
          </w:p>
        </w:tc>
        <w:tc>
          <w:tcPr>
            <w:tcW w:w="1856" w:type="dxa"/>
            <w:tcBorders>
              <w:top w:val="single" w:color="000000" w:sz="4" w:space="0"/>
              <w:left w:val="single" w:color="000000" w:sz="4" w:space="0"/>
              <w:bottom w:val="single" w:color="000000" w:sz="4" w:space="0"/>
              <w:right w:val="single" w:color="000000" w:sz="4" w:space="0"/>
            </w:tcBorders>
            <w:vAlign w:val="top"/>
          </w:tcPr>
          <w:p w14:paraId="6F90159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较高</w:t>
            </w:r>
          </w:p>
        </w:tc>
        <w:tc>
          <w:tcPr>
            <w:tcW w:w="1856" w:type="dxa"/>
            <w:tcBorders>
              <w:top w:val="single" w:color="000000" w:sz="4" w:space="0"/>
              <w:left w:val="single" w:color="000000" w:sz="4" w:space="0"/>
              <w:bottom w:val="single" w:color="000000" w:sz="4" w:space="0"/>
              <w:right w:val="single" w:color="000000" w:sz="4" w:space="0"/>
            </w:tcBorders>
            <w:vAlign w:val="top"/>
          </w:tcPr>
          <w:p w14:paraId="69AACE9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较低</w:t>
            </w:r>
          </w:p>
        </w:tc>
        <w:tc>
          <w:tcPr>
            <w:tcW w:w="1800" w:type="dxa"/>
            <w:tcBorders>
              <w:top w:val="single" w:color="000000" w:sz="4" w:space="0"/>
              <w:left w:val="single" w:color="000000" w:sz="4" w:space="0"/>
              <w:bottom w:val="single" w:color="000000" w:sz="4" w:space="0"/>
              <w:right w:val="single" w:color="000000" w:sz="4" w:space="0"/>
            </w:tcBorders>
            <w:vAlign w:val="top"/>
          </w:tcPr>
          <w:p w14:paraId="0FF60BF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较低</w:t>
            </w:r>
          </w:p>
        </w:tc>
        <w:tc>
          <w:tcPr>
            <w:tcW w:w="2194" w:type="dxa"/>
            <w:tcBorders>
              <w:top w:val="single" w:color="000000" w:sz="4" w:space="0"/>
              <w:left w:val="single" w:color="000000" w:sz="4" w:space="0"/>
              <w:bottom w:val="single" w:color="000000" w:sz="4" w:space="0"/>
              <w:right w:val="single" w:color="000000" w:sz="4" w:space="0"/>
            </w:tcBorders>
            <w:vAlign w:val="top"/>
          </w:tcPr>
          <w:p w14:paraId="3E1C84F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较低</w:t>
            </w:r>
          </w:p>
        </w:tc>
      </w:tr>
      <w:tr w14:paraId="55060201">
        <w:tblPrEx>
          <w:tblCellMar>
            <w:top w:w="0" w:type="dxa"/>
            <w:left w:w="0" w:type="dxa"/>
            <w:bottom w:w="0" w:type="dxa"/>
            <w:right w:w="0" w:type="dxa"/>
          </w:tblCellMar>
        </w:tblPrEx>
        <w:trPr>
          <w:trHeight w:val="227" w:hRule="atLeast"/>
        </w:trPr>
        <w:tc>
          <w:tcPr>
            <w:tcW w:w="1729" w:type="dxa"/>
            <w:tcBorders>
              <w:top w:val="single" w:color="000000" w:sz="4" w:space="0"/>
              <w:left w:val="single" w:color="000000" w:sz="4" w:space="0"/>
              <w:bottom w:val="single" w:color="000000" w:sz="4" w:space="0"/>
              <w:right w:val="single" w:color="000000" w:sz="4" w:space="0"/>
            </w:tcBorders>
            <w:vAlign w:val="top"/>
          </w:tcPr>
          <w:p w14:paraId="091ADDC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管材价格</w:t>
            </w:r>
          </w:p>
        </w:tc>
        <w:tc>
          <w:tcPr>
            <w:tcW w:w="1856" w:type="dxa"/>
            <w:tcBorders>
              <w:top w:val="single" w:color="000000" w:sz="4" w:space="0"/>
              <w:left w:val="single" w:color="000000" w:sz="4" w:space="0"/>
              <w:bottom w:val="single" w:color="000000" w:sz="4" w:space="0"/>
              <w:right w:val="single" w:color="000000" w:sz="4" w:space="0"/>
            </w:tcBorders>
            <w:vAlign w:val="top"/>
          </w:tcPr>
          <w:p w14:paraId="6BCA7D6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最便宜</w:t>
            </w:r>
          </w:p>
        </w:tc>
        <w:tc>
          <w:tcPr>
            <w:tcW w:w="1856" w:type="dxa"/>
            <w:tcBorders>
              <w:top w:val="single" w:color="000000" w:sz="4" w:space="0"/>
              <w:left w:val="single" w:color="000000" w:sz="4" w:space="0"/>
              <w:bottom w:val="single" w:color="000000" w:sz="4" w:space="0"/>
              <w:right w:val="single" w:color="000000" w:sz="4" w:space="0"/>
            </w:tcBorders>
            <w:vAlign w:val="top"/>
          </w:tcPr>
          <w:p w14:paraId="254CBD6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便宜</w:t>
            </w:r>
          </w:p>
        </w:tc>
        <w:tc>
          <w:tcPr>
            <w:tcW w:w="1800" w:type="dxa"/>
            <w:tcBorders>
              <w:top w:val="single" w:color="000000" w:sz="4" w:space="0"/>
              <w:left w:val="single" w:color="000000" w:sz="4" w:space="0"/>
              <w:bottom w:val="single" w:color="000000" w:sz="4" w:space="0"/>
              <w:right w:val="single" w:color="000000" w:sz="4" w:space="0"/>
            </w:tcBorders>
            <w:vAlign w:val="top"/>
          </w:tcPr>
          <w:p w14:paraId="6FD5A4B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略贵</w:t>
            </w:r>
          </w:p>
        </w:tc>
        <w:tc>
          <w:tcPr>
            <w:tcW w:w="2194" w:type="dxa"/>
            <w:tcBorders>
              <w:top w:val="single" w:color="000000" w:sz="4" w:space="0"/>
              <w:left w:val="single" w:color="000000" w:sz="4" w:space="0"/>
              <w:bottom w:val="single" w:color="000000" w:sz="4" w:space="0"/>
              <w:right w:val="single" w:color="000000" w:sz="4" w:space="0"/>
            </w:tcBorders>
            <w:vAlign w:val="top"/>
          </w:tcPr>
          <w:p w14:paraId="1A6321F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便宜</w:t>
            </w:r>
          </w:p>
        </w:tc>
      </w:tr>
      <w:tr w14:paraId="69254620">
        <w:tblPrEx>
          <w:tblCellMar>
            <w:top w:w="0" w:type="dxa"/>
            <w:left w:w="0" w:type="dxa"/>
            <w:bottom w:w="0" w:type="dxa"/>
            <w:right w:w="0" w:type="dxa"/>
          </w:tblCellMar>
        </w:tblPrEx>
        <w:trPr>
          <w:trHeight w:val="227" w:hRule="atLeast"/>
        </w:trPr>
        <w:tc>
          <w:tcPr>
            <w:tcW w:w="1729" w:type="dxa"/>
            <w:tcBorders>
              <w:top w:val="single" w:color="000000" w:sz="4" w:space="0"/>
              <w:left w:val="single" w:color="000000" w:sz="4" w:space="0"/>
              <w:bottom w:val="single" w:color="000000" w:sz="4" w:space="0"/>
              <w:right w:val="single" w:color="000000" w:sz="4" w:space="0"/>
            </w:tcBorders>
            <w:vAlign w:val="top"/>
          </w:tcPr>
          <w:p w14:paraId="0E46B7E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经济性</w:t>
            </w:r>
          </w:p>
        </w:tc>
        <w:tc>
          <w:tcPr>
            <w:tcW w:w="1856" w:type="dxa"/>
            <w:tcBorders>
              <w:top w:val="single" w:color="000000" w:sz="4" w:space="0"/>
              <w:left w:val="single" w:color="000000" w:sz="4" w:space="0"/>
              <w:bottom w:val="single" w:color="000000" w:sz="4" w:space="0"/>
              <w:right w:val="single" w:color="000000" w:sz="4" w:space="0"/>
            </w:tcBorders>
            <w:vAlign w:val="top"/>
          </w:tcPr>
          <w:p w14:paraId="352906D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综合造价低</w:t>
            </w:r>
          </w:p>
          <w:p w14:paraId="05BDD92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寿命较短</w:t>
            </w:r>
          </w:p>
        </w:tc>
        <w:tc>
          <w:tcPr>
            <w:tcW w:w="1856" w:type="dxa"/>
            <w:tcBorders>
              <w:top w:val="single" w:color="000000" w:sz="4" w:space="0"/>
              <w:left w:val="single" w:color="000000" w:sz="4" w:space="0"/>
              <w:bottom w:val="single" w:color="000000" w:sz="4" w:space="0"/>
              <w:right w:val="single" w:color="000000" w:sz="4" w:space="0"/>
            </w:tcBorders>
            <w:vAlign w:val="top"/>
          </w:tcPr>
          <w:p w14:paraId="228D469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综合造价低</w:t>
            </w:r>
          </w:p>
          <w:p w14:paraId="752015F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寿命较长</w:t>
            </w:r>
          </w:p>
        </w:tc>
        <w:tc>
          <w:tcPr>
            <w:tcW w:w="1800" w:type="dxa"/>
            <w:tcBorders>
              <w:top w:val="single" w:color="000000" w:sz="4" w:space="0"/>
              <w:left w:val="single" w:color="000000" w:sz="4" w:space="0"/>
              <w:bottom w:val="single" w:color="000000" w:sz="4" w:space="0"/>
              <w:right w:val="single" w:color="000000" w:sz="4" w:space="0"/>
            </w:tcBorders>
            <w:vAlign w:val="top"/>
          </w:tcPr>
          <w:p w14:paraId="1EDB3D5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综合造价低</w:t>
            </w:r>
          </w:p>
          <w:p w14:paraId="6E7A1F0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寿命长</w:t>
            </w:r>
          </w:p>
        </w:tc>
        <w:tc>
          <w:tcPr>
            <w:tcW w:w="2194" w:type="dxa"/>
            <w:tcBorders>
              <w:top w:val="single" w:color="000000" w:sz="4" w:space="0"/>
              <w:left w:val="single" w:color="000000" w:sz="4" w:space="0"/>
              <w:bottom w:val="single" w:color="000000" w:sz="4" w:space="0"/>
              <w:right w:val="single" w:color="000000" w:sz="4" w:space="0"/>
            </w:tcBorders>
            <w:vAlign w:val="top"/>
          </w:tcPr>
          <w:p w14:paraId="0BA28BA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综合造价低</w:t>
            </w:r>
          </w:p>
          <w:p w14:paraId="71FE46B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寿命长</w:t>
            </w:r>
          </w:p>
        </w:tc>
      </w:tr>
      <w:tr w14:paraId="057AA3A8">
        <w:tblPrEx>
          <w:tblCellMar>
            <w:top w:w="0" w:type="dxa"/>
            <w:left w:w="0" w:type="dxa"/>
            <w:bottom w:w="0" w:type="dxa"/>
            <w:right w:w="0" w:type="dxa"/>
          </w:tblCellMar>
        </w:tblPrEx>
        <w:trPr>
          <w:trHeight w:val="227" w:hRule="atLeast"/>
        </w:trPr>
        <w:tc>
          <w:tcPr>
            <w:tcW w:w="1729" w:type="dxa"/>
            <w:tcBorders>
              <w:top w:val="single" w:color="000000" w:sz="4" w:space="0"/>
              <w:left w:val="single" w:color="000000" w:sz="4" w:space="0"/>
              <w:bottom w:val="single" w:color="000000" w:sz="4" w:space="0"/>
              <w:right w:val="single" w:color="000000" w:sz="4" w:space="0"/>
            </w:tcBorders>
            <w:vAlign w:val="top"/>
          </w:tcPr>
          <w:p w14:paraId="5A79C23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运行维护</w:t>
            </w:r>
          </w:p>
        </w:tc>
        <w:tc>
          <w:tcPr>
            <w:tcW w:w="1856" w:type="dxa"/>
            <w:tcBorders>
              <w:top w:val="single" w:color="000000" w:sz="4" w:space="0"/>
              <w:left w:val="single" w:color="000000" w:sz="4" w:space="0"/>
              <w:bottom w:val="single" w:color="000000" w:sz="4" w:space="0"/>
              <w:right w:val="single" w:color="000000" w:sz="4" w:space="0"/>
            </w:tcBorders>
            <w:vAlign w:val="top"/>
          </w:tcPr>
          <w:p w14:paraId="0C9F718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定期维护</w:t>
            </w:r>
          </w:p>
          <w:p w14:paraId="07E9E2D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水泵能耗高</w:t>
            </w:r>
          </w:p>
        </w:tc>
        <w:tc>
          <w:tcPr>
            <w:tcW w:w="1856" w:type="dxa"/>
            <w:tcBorders>
              <w:top w:val="single" w:color="000000" w:sz="4" w:space="0"/>
              <w:left w:val="single" w:color="000000" w:sz="4" w:space="0"/>
              <w:bottom w:val="single" w:color="000000" w:sz="4" w:space="0"/>
              <w:right w:val="single" w:color="000000" w:sz="4" w:space="0"/>
            </w:tcBorders>
            <w:vAlign w:val="top"/>
          </w:tcPr>
          <w:p w14:paraId="2CFFE7E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维护简单</w:t>
            </w:r>
          </w:p>
          <w:p w14:paraId="0EC0343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节省能耗</w:t>
            </w:r>
          </w:p>
        </w:tc>
        <w:tc>
          <w:tcPr>
            <w:tcW w:w="1800" w:type="dxa"/>
            <w:tcBorders>
              <w:top w:val="single" w:color="000000" w:sz="4" w:space="0"/>
              <w:left w:val="single" w:color="000000" w:sz="4" w:space="0"/>
              <w:bottom w:val="single" w:color="000000" w:sz="4" w:space="0"/>
              <w:right w:val="single" w:color="000000" w:sz="4" w:space="0"/>
            </w:tcBorders>
            <w:vAlign w:val="top"/>
          </w:tcPr>
          <w:p w14:paraId="499F22C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维护简单</w:t>
            </w:r>
          </w:p>
          <w:p w14:paraId="37DEFEF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节省能耗</w:t>
            </w:r>
          </w:p>
        </w:tc>
        <w:tc>
          <w:tcPr>
            <w:tcW w:w="2194" w:type="dxa"/>
            <w:tcBorders>
              <w:top w:val="single" w:color="000000" w:sz="4" w:space="0"/>
              <w:left w:val="single" w:color="000000" w:sz="4" w:space="0"/>
              <w:bottom w:val="single" w:color="000000" w:sz="4" w:space="0"/>
              <w:right w:val="single" w:color="000000" w:sz="4" w:space="0"/>
            </w:tcBorders>
            <w:vAlign w:val="top"/>
          </w:tcPr>
          <w:p w14:paraId="5459D49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维护简单</w:t>
            </w:r>
          </w:p>
          <w:p w14:paraId="7245794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节省能耗</w:t>
            </w:r>
          </w:p>
        </w:tc>
      </w:tr>
      <w:tr w14:paraId="1AAFB0C9">
        <w:tblPrEx>
          <w:tblCellMar>
            <w:top w:w="0" w:type="dxa"/>
            <w:left w:w="0" w:type="dxa"/>
            <w:bottom w:w="0" w:type="dxa"/>
            <w:right w:w="0" w:type="dxa"/>
          </w:tblCellMar>
        </w:tblPrEx>
        <w:trPr>
          <w:trHeight w:val="227" w:hRule="atLeast"/>
        </w:trPr>
        <w:tc>
          <w:tcPr>
            <w:tcW w:w="1729" w:type="dxa"/>
            <w:tcBorders>
              <w:top w:val="single" w:color="000000" w:sz="4" w:space="0"/>
              <w:left w:val="single" w:color="000000" w:sz="4" w:space="0"/>
              <w:bottom w:val="single" w:color="000000" w:sz="4" w:space="0"/>
              <w:right w:val="single" w:color="000000" w:sz="4" w:space="0"/>
            </w:tcBorders>
            <w:vAlign w:val="top"/>
          </w:tcPr>
          <w:p w14:paraId="59182B7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使用寿命</w:t>
            </w:r>
          </w:p>
        </w:tc>
        <w:tc>
          <w:tcPr>
            <w:tcW w:w="1856" w:type="dxa"/>
            <w:tcBorders>
              <w:top w:val="single" w:color="000000" w:sz="4" w:space="0"/>
              <w:left w:val="single" w:color="000000" w:sz="4" w:space="0"/>
              <w:bottom w:val="single" w:color="000000" w:sz="4" w:space="0"/>
              <w:right w:val="single" w:color="000000" w:sz="4" w:space="0"/>
            </w:tcBorders>
            <w:vAlign w:val="top"/>
          </w:tcPr>
          <w:p w14:paraId="308CF98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50 以上</w:t>
            </w:r>
          </w:p>
        </w:tc>
        <w:tc>
          <w:tcPr>
            <w:tcW w:w="1856" w:type="dxa"/>
            <w:tcBorders>
              <w:top w:val="single" w:color="000000" w:sz="4" w:space="0"/>
              <w:left w:val="single" w:color="000000" w:sz="4" w:space="0"/>
              <w:bottom w:val="single" w:color="000000" w:sz="4" w:space="0"/>
              <w:right w:val="single" w:color="000000" w:sz="4" w:space="0"/>
            </w:tcBorders>
            <w:vAlign w:val="top"/>
          </w:tcPr>
          <w:p w14:paraId="44195B7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50 年</w:t>
            </w:r>
          </w:p>
        </w:tc>
        <w:tc>
          <w:tcPr>
            <w:tcW w:w="1800" w:type="dxa"/>
            <w:tcBorders>
              <w:top w:val="single" w:color="000000" w:sz="4" w:space="0"/>
              <w:left w:val="single" w:color="000000" w:sz="4" w:space="0"/>
              <w:bottom w:val="single" w:color="000000" w:sz="4" w:space="0"/>
              <w:right w:val="single" w:color="000000" w:sz="4" w:space="0"/>
            </w:tcBorders>
            <w:vAlign w:val="top"/>
          </w:tcPr>
          <w:p w14:paraId="58CEEFE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50 年以上</w:t>
            </w:r>
          </w:p>
        </w:tc>
        <w:tc>
          <w:tcPr>
            <w:tcW w:w="2194" w:type="dxa"/>
            <w:tcBorders>
              <w:top w:val="single" w:color="000000" w:sz="4" w:space="0"/>
              <w:left w:val="single" w:color="000000" w:sz="4" w:space="0"/>
              <w:bottom w:val="single" w:color="000000" w:sz="4" w:space="0"/>
              <w:right w:val="single" w:color="000000" w:sz="4" w:space="0"/>
            </w:tcBorders>
            <w:vAlign w:val="top"/>
          </w:tcPr>
          <w:p w14:paraId="45F8148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50 年以上</w:t>
            </w:r>
          </w:p>
        </w:tc>
      </w:tr>
      <w:tr w14:paraId="2A6CBF00">
        <w:tblPrEx>
          <w:tblCellMar>
            <w:top w:w="0" w:type="dxa"/>
            <w:left w:w="0" w:type="dxa"/>
            <w:bottom w:w="0" w:type="dxa"/>
            <w:right w:w="0" w:type="dxa"/>
          </w:tblCellMar>
        </w:tblPrEx>
        <w:trPr>
          <w:trHeight w:val="227" w:hRule="atLeast"/>
        </w:trPr>
        <w:tc>
          <w:tcPr>
            <w:tcW w:w="1729" w:type="dxa"/>
            <w:tcBorders>
              <w:top w:val="single" w:color="000000" w:sz="4" w:space="0"/>
              <w:left w:val="single" w:color="000000" w:sz="4" w:space="0"/>
              <w:bottom w:val="single" w:color="000000" w:sz="4" w:space="0"/>
              <w:right w:val="single" w:color="000000" w:sz="4" w:space="0"/>
            </w:tcBorders>
            <w:vAlign w:val="top"/>
          </w:tcPr>
          <w:p w14:paraId="03B7077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环保要求</w:t>
            </w:r>
          </w:p>
        </w:tc>
        <w:tc>
          <w:tcPr>
            <w:tcW w:w="1856" w:type="dxa"/>
            <w:tcBorders>
              <w:top w:val="single" w:color="000000" w:sz="4" w:space="0"/>
              <w:left w:val="single" w:color="000000" w:sz="4" w:space="0"/>
              <w:bottom w:val="single" w:color="000000" w:sz="4" w:space="0"/>
              <w:right w:val="single" w:color="000000" w:sz="4" w:space="0"/>
            </w:tcBorders>
            <w:vAlign w:val="top"/>
          </w:tcPr>
          <w:p w14:paraId="6C3C044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一般</w:t>
            </w:r>
          </w:p>
        </w:tc>
        <w:tc>
          <w:tcPr>
            <w:tcW w:w="1856" w:type="dxa"/>
            <w:tcBorders>
              <w:top w:val="single" w:color="000000" w:sz="4" w:space="0"/>
              <w:left w:val="single" w:color="000000" w:sz="4" w:space="0"/>
              <w:bottom w:val="single" w:color="000000" w:sz="4" w:space="0"/>
              <w:right w:val="single" w:color="000000" w:sz="4" w:space="0"/>
            </w:tcBorders>
            <w:vAlign w:val="top"/>
          </w:tcPr>
          <w:p w14:paraId="00CB13A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废弃管燃烧释放</w:t>
            </w:r>
          </w:p>
          <w:p w14:paraId="45D52ED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浓烟污染环境</w:t>
            </w:r>
          </w:p>
        </w:tc>
        <w:tc>
          <w:tcPr>
            <w:tcW w:w="1800" w:type="dxa"/>
            <w:tcBorders>
              <w:top w:val="single" w:color="000000" w:sz="4" w:space="0"/>
              <w:left w:val="single" w:color="000000" w:sz="4" w:space="0"/>
              <w:bottom w:val="single" w:color="000000" w:sz="4" w:space="0"/>
              <w:right w:val="single" w:color="000000" w:sz="4" w:space="0"/>
            </w:tcBorders>
            <w:vAlign w:val="top"/>
          </w:tcPr>
          <w:p w14:paraId="1D78E10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无污染毒害，</w:t>
            </w:r>
          </w:p>
          <w:p w14:paraId="44F8911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可回收利用</w:t>
            </w:r>
          </w:p>
        </w:tc>
        <w:tc>
          <w:tcPr>
            <w:tcW w:w="2194" w:type="dxa"/>
            <w:tcBorders>
              <w:top w:val="single" w:color="000000" w:sz="4" w:space="0"/>
              <w:left w:val="single" w:color="000000" w:sz="4" w:space="0"/>
              <w:bottom w:val="single" w:color="000000" w:sz="4" w:space="0"/>
              <w:right w:val="single" w:color="000000" w:sz="4" w:space="0"/>
            </w:tcBorders>
            <w:vAlign w:val="top"/>
          </w:tcPr>
          <w:p w14:paraId="70D94E5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无毒害，无二次</w:t>
            </w:r>
          </w:p>
          <w:p w14:paraId="61B8714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污染</w:t>
            </w:r>
          </w:p>
        </w:tc>
      </w:tr>
    </w:tbl>
    <w:p w14:paraId="4E582FA0">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w:t>
      </w:r>
      <w:r>
        <w:rPr>
          <w:rFonts w:hint="default" w:ascii="仿宋" w:hAnsi="仿宋" w:eastAsia="仿宋" w:cs="仿宋"/>
          <w:color w:val="auto"/>
          <w:w w:val="95"/>
          <w:sz w:val="28"/>
          <w:szCs w:val="28"/>
          <w:lang w:val="en-US" w:eastAsia="zh-CN"/>
        </w:rPr>
        <w:t>3</w:t>
      </w:r>
      <w:r>
        <w:rPr>
          <w:rFonts w:hint="eastAsia" w:ascii="仿宋" w:hAnsi="仿宋" w:eastAsia="仿宋" w:cs="仿宋"/>
          <w:color w:val="auto"/>
          <w:w w:val="95"/>
          <w:sz w:val="28"/>
          <w:szCs w:val="28"/>
          <w:lang w:val="en-US" w:eastAsia="zh-CN"/>
        </w:rPr>
        <w:t xml:space="preserve">）管材选用 </w:t>
      </w:r>
    </w:p>
    <w:p w14:paraId="69C059A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钢筋混凝土管制作工艺简单、造价低、较适合我国的经济状况，得到普遍应用。但制造管材过程中存在弊端，喷浆质量不稳定，易脱落和起鼓，且体积和重量大造成运输和安装均不方便，管道连接不严，易泄漏，易受管道内污水产生的 </w:t>
      </w:r>
      <w:r>
        <w:rPr>
          <w:rFonts w:hint="default" w:ascii="仿宋" w:hAnsi="仿宋" w:eastAsia="仿宋" w:cs="仿宋"/>
          <w:color w:val="auto"/>
          <w:w w:val="95"/>
          <w:sz w:val="28"/>
          <w:szCs w:val="28"/>
          <w:lang w:val="en-US" w:eastAsia="zh-CN"/>
        </w:rPr>
        <w:t xml:space="preserve">H2S </w:t>
      </w:r>
      <w:r>
        <w:rPr>
          <w:rFonts w:hint="eastAsia" w:ascii="仿宋" w:hAnsi="仿宋" w:eastAsia="仿宋" w:cs="仿宋"/>
          <w:color w:val="auto"/>
          <w:w w:val="95"/>
          <w:sz w:val="28"/>
          <w:szCs w:val="28"/>
          <w:lang w:val="en-US" w:eastAsia="zh-CN"/>
        </w:rPr>
        <w:t>气体腐蚀等。玻璃钢管重量轻，耐腐蚀、不结垢，内壁光滑阻力小，在相同管径、相同流量条件下比其他管道水头损失小、节省能耗。玻璃钢管的连接采用承插式，并设置胶圈，安装方便。玻璃钢管存在的问题首先是抗外压强度低，通常要预先压制成扁椭圆状再埋地，以承受外荷载和土压力；接口形式不过关，常常造成渗漏；且单位造价要大大高于钢筋混凝土管。</w:t>
      </w:r>
      <w:r>
        <w:rPr>
          <w:rFonts w:hint="default" w:ascii="仿宋" w:hAnsi="仿宋" w:eastAsia="仿宋" w:cs="仿宋"/>
          <w:color w:val="auto"/>
          <w:w w:val="95"/>
          <w:sz w:val="28"/>
          <w:szCs w:val="28"/>
          <w:lang w:val="en-US" w:eastAsia="zh-CN"/>
        </w:rPr>
        <w:t xml:space="preserve">HDPE </w:t>
      </w:r>
      <w:r>
        <w:rPr>
          <w:rFonts w:hint="eastAsia" w:ascii="仿宋" w:hAnsi="仿宋" w:eastAsia="仿宋" w:cs="仿宋"/>
          <w:color w:val="auto"/>
          <w:w w:val="95"/>
          <w:sz w:val="28"/>
          <w:szCs w:val="28"/>
          <w:lang w:val="en-US" w:eastAsia="zh-CN"/>
        </w:rPr>
        <w:t xml:space="preserve">管具有强度较高，重量轻，耐腐蚀、不结垢，内壁光滑阻力小的优点，又较好解决了管道接口的问题。由于管道建设所占投资的比重较大，且因管材选用不当造成事 故或出现资金浪费的实例较多。因此，合理、经济确定管材的选用对节省投资、方便施工、运行安全等方面意义很大。 </w:t>
      </w:r>
    </w:p>
    <w:p w14:paraId="1FAD792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本工程管材采用如下： </w:t>
      </w:r>
    </w:p>
    <w:p w14:paraId="42AF51B3">
      <w:pPr>
        <w:spacing w:line="360" w:lineRule="auto"/>
        <w:ind w:firstLine="532" w:firstLineChars="200"/>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雨水管管径≥DN500mm管材为Ⅱ级钢筋混凝土管，管道基础采用180°混凝土基础，接口采用承插式橡胶圈接口，雨水管管径＜DN500mm管材为</w:t>
      </w:r>
      <w:r>
        <w:rPr>
          <w:rFonts w:hint="default" w:ascii="仿宋" w:hAnsi="仿宋" w:eastAsia="仿宋" w:cs="仿宋"/>
          <w:color w:val="auto"/>
          <w:w w:val="95"/>
          <w:sz w:val="28"/>
          <w:szCs w:val="28"/>
          <w:lang w:val="en-US" w:eastAsia="zh-CN"/>
        </w:rPr>
        <w:t>UHMW-PTE方型增强管</w:t>
      </w:r>
      <w:r>
        <w:rPr>
          <w:rFonts w:hint="eastAsia" w:ascii="仿宋" w:hAnsi="仿宋" w:eastAsia="仿宋" w:cs="仿宋"/>
          <w:color w:val="auto"/>
          <w:w w:val="95"/>
          <w:sz w:val="28"/>
          <w:szCs w:val="28"/>
          <w:lang w:val="en-US" w:eastAsia="zh-CN"/>
        </w:rPr>
        <w:t>，其质量必须符合《混凝土和钢筋混凝土排水管》（GB/T 11836-2023）的要求。管道每隔30m左右设置一座检查井，检查井采用混凝土排水检查井(详见国标图集20S515)。</w:t>
      </w:r>
    </w:p>
    <w:p w14:paraId="6C4436A2">
      <w:pPr>
        <w:pStyle w:val="16"/>
        <w:widowControl/>
        <w:spacing w:line="360" w:lineRule="auto"/>
        <w:ind w:firstLine="720" w:firstLineChars="2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污水</w:t>
      </w:r>
      <w:r>
        <w:rPr>
          <w:rFonts w:hint="eastAsia" w:ascii="仿宋" w:hAnsi="仿宋" w:eastAsia="仿宋" w:cs="仿宋"/>
          <w:color w:val="auto"/>
          <w:w w:val="95"/>
          <w:sz w:val="28"/>
          <w:szCs w:val="28"/>
          <w:lang w:val="en-US" w:eastAsia="zh-CN"/>
        </w:rPr>
        <w:t>管径≥DN500mm</w:t>
      </w:r>
      <w:r>
        <w:rPr>
          <w:rFonts w:hint="eastAsia" w:ascii="仿宋" w:hAnsi="仿宋" w:eastAsia="仿宋" w:cs="仿宋"/>
          <w:color w:val="auto"/>
          <w:w w:val="95"/>
          <w:kern w:val="2"/>
          <w:sz w:val="28"/>
          <w:szCs w:val="28"/>
          <w:lang w:val="en-US" w:eastAsia="zh-CN" w:bidi="ar-SA"/>
        </w:rPr>
        <w:t>管材为高密度聚乙烯（HDPE）缠绕结构壁B型管，环刚度要求≥10kN/m2，管道接口采用承插式弹性密封圈连接，</w:t>
      </w:r>
      <w:r>
        <w:rPr>
          <w:rFonts w:hint="eastAsia" w:ascii="仿宋" w:hAnsi="仿宋" w:eastAsia="仿宋" w:cs="仿宋"/>
          <w:color w:val="auto"/>
          <w:w w:val="95"/>
          <w:sz w:val="28"/>
          <w:szCs w:val="28"/>
          <w:lang w:val="en-US" w:eastAsia="zh-CN"/>
        </w:rPr>
        <w:t>污水管管径＜DN500mm管材为</w:t>
      </w:r>
      <w:r>
        <w:rPr>
          <w:rFonts w:hint="default" w:ascii="仿宋" w:hAnsi="仿宋" w:eastAsia="仿宋" w:cs="仿宋"/>
          <w:color w:val="auto"/>
          <w:w w:val="95"/>
          <w:sz w:val="28"/>
          <w:szCs w:val="28"/>
          <w:lang w:val="en-US" w:eastAsia="zh-CN"/>
        </w:rPr>
        <w:t>UHMW-PTE方型增强管</w:t>
      </w:r>
      <w:r>
        <w:rPr>
          <w:rFonts w:hint="eastAsia" w:ascii="仿宋" w:hAnsi="仿宋" w:eastAsia="仿宋" w:cs="仿宋"/>
          <w:color w:val="auto"/>
          <w:w w:val="95"/>
          <w:sz w:val="28"/>
          <w:szCs w:val="28"/>
          <w:lang w:val="en-US" w:eastAsia="zh-CN"/>
        </w:rPr>
        <w:t>，</w:t>
      </w:r>
      <w:r>
        <w:rPr>
          <w:rFonts w:hint="eastAsia" w:ascii="仿宋" w:hAnsi="仿宋" w:eastAsia="仿宋" w:cs="仿宋"/>
          <w:color w:val="auto"/>
          <w:w w:val="95"/>
          <w:kern w:val="2"/>
          <w:sz w:val="28"/>
          <w:szCs w:val="28"/>
          <w:lang w:val="en-US" w:eastAsia="zh-CN" w:bidi="ar-SA"/>
        </w:rPr>
        <w:t>管道基础采用砂垫层基础,其质量必须符合《埋地用聚乙烯（PE）结构壁管道系统第2部分：聚乙烯缠绕结构壁管材》（GB/T19472.2-2017）的要求。检查井采用φ1000mm~φ1800mm钢筋混凝土圆形排水检查井(详见国标图集20S515)。</w:t>
      </w:r>
    </w:p>
    <w:p w14:paraId="7EC7741F">
      <w:pPr>
        <w:pStyle w:val="16"/>
        <w:widowControl/>
        <w:spacing w:line="360" w:lineRule="auto"/>
        <w:ind w:firstLine="720" w:firstLineChars="271"/>
        <w:jc w:val="left"/>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压力管采用球墨铸铁管。 </w:t>
      </w:r>
    </w:p>
    <w:p w14:paraId="12E432AB">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79" w:name="_Toc20520"/>
      <w:bookmarkStart w:id="80" w:name="_Toc365"/>
      <w:bookmarkStart w:id="81" w:name="_Toc2386"/>
      <w:bookmarkStart w:id="82" w:name="_Toc27973"/>
      <w:r>
        <w:rPr>
          <w:rFonts w:hint="eastAsia" w:ascii="仿宋" w:hAnsi="仿宋" w:eastAsia="仿宋" w:cs="仿宋"/>
          <w:b/>
          <w:bCs/>
          <w:color w:val="auto"/>
          <w:sz w:val="28"/>
          <w:szCs w:val="28"/>
          <w:lang w:val="en-US" w:eastAsia="zh-CN"/>
        </w:rPr>
        <w:t>4.7排水管网附属构筑物</w:t>
      </w:r>
      <w:bookmarkEnd w:id="79"/>
      <w:bookmarkEnd w:id="80"/>
      <w:bookmarkEnd w:id="81"/>
      <w:bookmarkEnd w:id="82"/>
    </w:p>
    <w:p w14:paraId="4C0CCC8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（1）检查井</w:t>
      </w:r>
    </w:p>
    <w:p w14:paraId="76451F6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在管道每隔一定距离设置检查井，最大间距根据具体情况确定为30～100m，在管线转弯角度较大处、断面变化处、支管接入处等，均按规范要求设置检查井，排水管道的检查井采用钢筋混凝土结构，检查井按国标图集20S515选用。车行道下的检查井筒，井圈按要求做加强。</w:t>
      </w:r>
    </w:p>
    <w:p w14:paraId="59DDAA9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井室内爬梯采用塑钢爬梯，预埋塑钢踏步做法《井盖及踏步06MS201-6》P16、P17；位于车行道的污水检查井盖须采用重型球墨铸铁防盗防震型井盖，其设计荷载等级为城-A级。检查井盖其他制造及实验要求应满足现行国家标准《检查井盖》（GB/T23858-2009）相关要求，检查井盖应用“雨水”“污水”来注明检查井性质。车行道下检查井盖标高设计采用道路标高推算，实际施工中应按实际路面高程确定。非车行道下检查井井盖采用轻型球墨铸铁防盗型井盖，其设计荷载等级为城-B级。</w:t>
      </w:r>
    </w:p>
    <w:p w14:paraId="7425CAD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（2）跌水井</w:t>
      </w:r>
    </w:p>
    <w:p w14:paraId="5D8FF0A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管道跌水水头为1～2米时宜设跌水井，管道跌水水头大于2米时必须设跌水井。管道转弯处不宜设跌水井。当管道直径小于或等于400mm时，采用竖管式跌水井；当管道直径大于400mm时，采用溢流堰式跌水井。跌水井采用钢筋混凝土结构，做法参国标图集20S515及相关设计图。</w:t>
      </w:r>
    </w:p>
    <w:p w14:paraId="2BAEE17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（3）沉泥井</w:t>
      </w:r>
    </w:p>
    <w:p w14:paraId="4A088EF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每隔一定距离的检查井设置为沉泥井，沉泥槽深度取0.5m，做法参国标图集20S515及相关设计图。</w:t>
      </w:r>
    </w:p>
    <w:p w14:paraId="2FF27F4E">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83" w:name="_Toc962"/>
      <w:r>
        <w:rPr>
          <w:rFonts w:hint="eastAsia" w:ascii="仿宋" w:hAnsi="仿宋" w:eastAsia="仿宋" w:cs="仿宋"/>
          <w:b/>
          <w:bCs/>
          <w:color w:val="auto"/>
          <w:sz w:val="28"/>
          <w:szCs w:val="28"/>
          <w:lang w:val="en-US" w:eastAsia="zh-CN"/>
        </w:rPr>
        <w:t>4.8沟槽开挖回填</w:t>
      </w:r>
      <w:bookmarkEnd w:id="83"/>
    </w:p>
    <w:p w14:paraId="4036A4E7">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本工程管道沟槽采用明槽放坡开挖施工。填方区或软基换填区域可待路基填筑至管顶以上0.5米后，反开挖施工。本工程明挖法施工的管道沟槽深度均小于5m，施工单位可依据地质报告及本工程设计管线位置、土质及现场地形条件，根据《沟槽开挖及回填大样图》进行放坡开挖回填。</w:t>
      </w:r>
    </w:p>
    <w:p w14:paraId="1C16D1EC">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沟槽弃土应随出随清理，设计建议均匀堆放在距沟槽上口边线3m以外，堆土高度一般不宜超过1.5米，尽快清运，以免堆土翻落沟槽中造成人员伤亡。沟槽开挖过程中及成槽后，槽顶应避免出现振动荷载，成槽后应尽快完成管道基础和敷设管道等工作，避免长时间晾槽。</w:t>
      </w:r>
    </w:p>
    <w:p w14:paraId="3CAF9315">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3）施工开槽时，槽底禁止扰动，尽量保持原状土，在开挖至接近设计标高时，采用人工清槽，勿用机械开挖，严禁超挖。为防止机械超挖而扰动原状土壤，在设计槽底高程以上应预留一层采用人工清挖。</w:t>
      </w:r>
    </w:p>
    <w:p w14:paraId="22288BA6">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4）沟槽采用机制砂回填至管顶以上0.5m处，以上至路基顶面采用合格路基土填筑。</w:t>
      </w:r>
    </w:p>
    <w:p w14:paraId="2CDE92A7">
      <w:pPr>
        <w:numPr>
          <w:ilvl w:val="0"/>
          <w:numId w:val="0"/>
        </w:numPr>
        <w:spacing w:line="360" w:lineRule="auto"/>
        <w:ind w:firstLine="532" w:firstLineChars="200"/>
        <w:rPr>
          <w:rFonts w:hint="default" w:ascii="仿宋" w:hAnsi="仿宋" w:eastAsia="仿宋" w:cs="仿宋"/>
          <w:color w:val="auto"/>
          <w:w w:val="95"/>
          <w:kern w:val="2"/>
          <w:sz w:val="28"/>
          <w:szCs w:val="28"/>
          <w:lang w:val="en-US" w:eastAsia="zh-CN" w:bidi="ar-SA"/>
        </w:rPr>
      </w:pPr>
      <w:r>
        <w:rPr>
          <w:rFonts w:hint="eastAsia" w:ascii="仿宋" w:hAnsi="仿宋" w:eastAsia="仿宋" w:cs="仿宋"/>
          <w:color w:val="auto"/>
          <w:w w:val="95"/>
          <w:sz w:val="28"/>
          <w:szCs w:val="28"/>
          <w:lang w:val="en-US" w:eastAsia="zh-CN"/>
        </w:rPr>
        <w:t>5）沟槽回填应在管道隐蔽工程验收合格后进行。压实度要求见《沟槽开挖及回填设计图》，沟槽回填应严格按照《给水排水管道工程施工及验收规范》（GB50268-2008），</w:t>
      </w:r>
      <w:r>
        <w:rPr>
          <w:rFonts w:hint="eastAsia" w:ascii="仿宋" w:hAnsi="仿宋" w:eastAsia="仿宋" w:cs="仿宋"/>
          <w:color w:val="auto"/>
          <w:w w:val="95"/>
          <w:kern w:val="2"/>
          <w:sz w:val="28"/>
          <w:szCs w:val="28"/>
          <w:lang w:val="en-US" w:eastAsia="zh-CN" w:bidi="ar-SA"/>
        </w:rPr>
        <w:t>压实系数不小于0.93，土基顶回弹模量≥40Mpa。</w:t>
      </w:r>
    </w:p>
    <w:p w14:paraId="3A453A1F">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4.5小节相关要求进行。</w:t>
      </w:r>
    </w:p>
    <w:p w14:paraId="353FBFD0">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对于地质条件较差，埋深较大、放坡困难或开挖造成影响较大的地段，选择支护开挖的施工方式。施工前需进行现场详细勘察，结合具体情况选取最合适的施工工艺；排水管道施工原则上应按从下游往上游、先干管后支管的顺序进行。</w:t>
      </w:r>
    </w:p>
    <w:p w14:paraId="1218AF09">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管道敷设采用支护形式，避免较大开挖作业面。管线施工周边地形中，存在周边边坡较陡的情况，管线放坡开挖施工可能存在安全隐患。为施工保证施工安全，对周边区域高差较大区域施工时，采用支护措施。 </w:t>
      </w:r>
    </w:p>
    <w:p w14:paraId="57F9B278">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84" w:name="_Toc13500"/>
      <w:r>
        <w:rPr>
          <w:rFonts w:hint="eastAsia" w:ascii="仿宋" w:hAnsi="仿宋" w:eastAsia="仿宋" w:cs="仿宋"/>
          <w:b/>
          <w:bCs/>
          <w:color w:val="auto"/>
          <w:sz w:val="28"/>
          <w:szCs w:val="28"/>
          <w:lang w:val="en-US" w:eastAsia="zh-CN"/>
        </w:rPr>
        <w:t>4.9 抗震及抗浮</w:t>
      </w:r>
      <w:bookmarkEnd w:id="84"/>
    </w:p>
    <w:p w14:paraId="01908AF8">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（1）抗震：拟建场地抗震设防烈度为7度，本次设计排水工程的主要设施的抗震设防类别应为重点设防类，根据国标《建筑与市政工程抗震通用规范》及《</w:t>
      </w:r>
      <w:r>
        <w:rPr>
          <w:rFonts w:hint="default" w:ascii="仿宋" w:hAnsi="仿宋" w:eastAsia="仿宋" w:cs="仿宋"/>
          <w:color w:val="auto"/>
          <w:w w:val="95"/>
          <w:sz w:val="28"/>
          <w:szCs w:val="28"/>
          <w:lang w:val="en-US" w:eastAsia="zh-CN"/>
        </w:rPr>
        <w:t>钢筋混凝土及砖砌排水检查井</w:t>
      </w:r>
      <w:r>
        <w:rPr>
          <w:rFonts w:hint="eastAsia" w:ascii="仿宋" w:hAnsi="仿宋" w:eastAsia="仿宋" w:cs="仿宋"/>
          <w:color w:val="auto"/>
          <w:w w:val="95"/>
          <w:sz w:val="28"/>
          <w:szCs w:val="28"/>
          <w:lang w:val="en-US" w:eastAsia="zh-CN"/>
        </w:rPr>
        <w:t>》20S515进行设计，满足8度抗震构造要求，不需进行抗震验算。</w:t>
      </w:r>
    </w:p>
    <w:p w14:paraId="01117009">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在穿管的墙体或基础上应设置套管，穿管与套管之间的间隙应用柔性防腐、防水材料密封。</w:t>
      </w:r>
    </w:p>
    <w:p w14:paraId="48F1CED5">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抗浮：本次设计管道位于地下水位以上，不需进行抗浮验算。</w:t>
      </w:r>
    </w:p>
    <w:p w14:paraId="042ADB85">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default" w:ascii="仿宋" w:hAnsi="仿宋" w:eastAsia="仿宋" w:cs="仿宋"/>
          <w:b/>
          <w:bCs/>
          <w:color w:val="auto"/>
          <w:sz w:val="28"/>
          <w:szCs w:val="28"/>
          <w:lang w:val="en-US" w:eastAsia="zh-CN"/>
        </w:rPr>
      </w:pPr>
      <w:bookmarkStart w:id="85" w:name="_Toc24558"/>
      <w:r>
        <w:rPr>
          <w:rFonts w:hint="eastAsia" w:ascii="仿宋" w:hAnsi="仿宋" w:eastAsia="仿宋" w:cs="仿宋"/>
          <w:b/>
          <w:bCs/>
          <w:color w:val="auto"/>
          <w:sz w:val="28"/>
          <w:szCs w:val="28"/>
          <w:lang w:val="en-US" w:eastAsia="zh-CN"/>
        </w:rPr>
        <w:t>4.10</w:t>
      </w:r>
      <w:r>
        <w:rPr>
          <w:rFonts w:hint="default" w:ascii="仿宋" w:hAnsi="仿宋" w:eastAsia="仿宋" w:cs="仿宋"/>
          <w:b/>
          <w:bCs/>
          <w:color w:val="auto"/>
          <w:sz w:val="28"/>
          <w:szCs w:val="28"/>
          <w:lang w:val="en-US" w:eastAsia="zh-CN"/>
        </w:rPr>
        <w:t>管道清淤</w:t>
      </w:r>
      <w:bookmarkEnd w:id="85"/>
    </w:p>
    <w:p w14:paraId="01F04CA9">
      <w:pPr>
        <w:numPr>
          <w:ilvl w:val="0"/>
          <w:numId w:val="0"/>
        </w:numPr>
        <w:spacing w:line="360" w:lineRule="auto"/>
        <w:ind w:firstLine="562" w:firstLineChars="200"/>
        <w:rPr>
          <w:rFonts w:hint="default" w:ascii="仿宋" w:hAnsi="仿宋" w:eastAsia="仿宋" w:cs="仿宋"/>
          <w:b/>
          <w:bCs/>
          <w:color w:val="auto"/>
          <w:kern w:val="2"/>
          <w:sz w:val="28"/>
          <w:szCs w:val="28"/>
          <w:lang w:val="en-US" w:eastAsia="zh-CN" w:bidi="ar-SA"/>
        </w:rPr>
      </w:pPr>
      <w:r>
        <w:rPr>
          <w:rFonts w:hint="default" w:ascii="仿宋" w:hAnsi="仿宋" w:eastAsia="仿宋" w:cs="仿宋"/>
          <w:b/>
          <w:bCs/>
          <w:color w:val="auto"/>
          <w:kern w:val="2"/>
          <w:sz w:val="28"/>
          <w:szCs w:val="28"/>
          <w:lang w:val="en-US" w:eastAsia="zh-CN" w:bidi="ar-SA"/>
        </w:rPr>
        <w:t>1管道清淤</w:t>
      </w:r>
    </w:p>
    <w:p w14:paraId="678D4FCB">
      <w:pPr>
        <w:numPr>
          <w:ilvl w:val="0"/>
          <w:numId w:val="0"/>
        </w:numPr>
        <w:spacing w:line="360" w:lineRule="auto"/>
        <w:ind w:firstLine="532" w:firstLineChars="200"/>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采用高压水枪冲洗配合吸污车完成。高压水车把封堵段的两检查井向井室内灌水，使用疏通器搅拌检查井和箱涵内的污泥，使淤泥稀释，必要时需要人工配合机械不断地搅动淤泥直至淤泥稀释到水中，用吸污车将两检查井内淤泥抽吸干净，两检查井剩余少量的淤泥向井室内用高压水枪冲击井底淤泥，再一次进行稀释，然进行抽吸完毕。</w:t>
      </w:r>
    </w:p>
    <w:p w14:paraId="22FADDAE">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吸污施工完成后，下井施工前完成对施工人员安全措施的安排，后进行检查井内剩余的砖、石、部分淤泥等残留物的人工清理，直到清理完毕为止。</w:t>
      </w:r>
    </w:p>
    <w:p w14:paraId="3B512249">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然后，按照上述说明对下游污水检查井逐个进行清淤，在施工清淤期间对上游首先清理的检查井进行封堵，以防上游的淤泥流入管道或下游施工期间对管道进行充水时流入上游检查井和管道中。</w:t>
      </w:r>
    </w:p>
    <w:p w14:paraId="53C44E1B">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2.淤泥外运与处置</w:t>
      </w:r>
    </w:p>
    <w:p w14:paraId="627A133B">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工程清除淤泥的运输将严格按照岳阳市有关渣土运输的有关规定，选用性能良好、车厢封闭较好、证件齐全的车辆，严格按照指定的线路行驶。做到运输车辆不超载，车厢上部全部用篷布覆盖，避免运输过程中渣土散落污染道路及周边环境。</w:t>
      </w:r>
    </w:p>
    <w:p w14:paraId="75DADD2C">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为防止渣土在运输过程中的乱倒、乱弃问题，在施工过程中将采用开挖现场与弃土场双向签票的办法，坚决杜绝渣土乱倒、乱弃，保证运送至指定废弃场。</w:t>
      </w:r>
    </w:p>
    <w:p w14:paraId="00E5D9BD">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淤泥处理与处置应遵循减量化、无害化、资源利用化的原则。本项目淤泥主要来源于排水管渠及附属构筑物，岳阳市通沟污泥的处理与处置应符合《城镇排水管渠污泥处理技术规程》（T/CECS 700-2020）相关规定，应符合岳阳市环保部门相关要求。岳阳市通沟污泥处理与处置方式如下：</w:t>
      </w:r>
    </w:p>
    <w:p w14:paraId="0C8D0E3F">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处理工艺采用国内常用的技术成熟的水力旋筛＋砂石分离处理工艺，分离出的粗砂、细砂可用作低建筑材料、市政回填砂、防汛砂，分离出的有机筛渣可作为园林绿化、堆肥。分离过程产生的废水经混凝沉淀后排入污水管网。若短期内不具备此处置条件，则将清淤后污泥进行干化脱水，将含水率降至60%以下，脱水干化后的污泥输送至垃圾填埋场进行填埋。</w:t>
      </w:r>
    </w:p>
    <w:p w14:paraId="078F6983">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86" w:name="_Toc4520"/>
      <w:r>
        <w:rPr>
          <w:rFonts w:hint="eastAsia" w:ascii="仿宋" w:hAnsi="仿宋" w:eastAsia="仿宋" w:cs="仿宋"/>
          <w:b/>
          <w:bCs/>
          <w:color w:val="auto"/>
          <w:sz w:val="28"/>
          <w:szCs w:val="28"/>
          <w:lang w:val="en-US" w:eastAsia="zh-CN"/>
        </w:rPr>
        <w:t>4.11危险性较大的分部分项工程:</w:t>
      </w:r>
      <w:bookmarkEnd w:id="86"/>
    </w:p>
    <w:p w14:paraId="73EB50A6">
      <w:pPr>
        <w:ind w:firstLine="560" w:firstLineChars="200"/>
        <w:rPr>
          <w:rFonts w:hint="eastAsia" w:ascii="仿宋" w:hAnsi="仿宋" w:eastAsia="仿宋" w:cs="仿宋"/>
          <w:color w:val="000000"/>
          <w:sz w:val="28"/>
          <w:szCs w:val="28"/>
          <w:highlight w:val="none"/>
        </w:rPr>
      </w:pPr>
      <w:r>
        <w:rPr>
          <w:rFonts w:hint="eastAsia" w:ascii="仿宋" w:hAnsi="仿宋" w:eastAsia="仿宋" w:cs="仿宋"/>
          <w:color w:val="000000"/>
          <w:sz w:val="28"/>
          <w:szCs w:val="28"/>
          <w:highlight w:val="none"/>
        </w:rPr>
        <w:t>本工程中包含的危险性较大分部分项工程见说明表，施工单位应当在危大工程施工前组织工程技术人员编制专项施工方案。</w:t>
      </w:r>
    </w:p>
    <w:p w14:paraId="4C9F3CD3">
      <w:pPr>
        <w:ind w:firstLine="560" w:firstLineChars="200"/>
        <w:rPr>
          <w:rFonts w:hint="eastAsia" w:ascii="仿宋" w:hAnsi="仿宋" w:eastAsia="仿宋" w:cs="仿宋"/>
          <w:color w:val="000000"/>
          <w:sz w:val="28"/>
          <w:szCs w:val="28"/>
          <w:highlight w:val="none"/>
        </w:rPr>
      </w:pPr>
      <w:r>
        <w:rPr>
          <w:rFonts w:hint="eastAsia" w:ascii="仿宋" w:hAnsi="仿宋" w:eastAsia="仿宋" w:cs="仿宋"/>
          <w:color w:val="000000"/>
          <w:sz w:val="28"/>
          <w:szCs w:val="28"/>
          <w:highlight w:val="none"/>
        </w:rPr>
        <w:t>危险性较大分部分项工程见下表：</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47"/>
        <w:gridCol w:w="2153"/>
        <w:gridCol w:w="1520"/>
        <w:gridCol w:w="3880"/>
      </w:tblGrid>
      <w:tr w14:paraId="1EA3B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4" w:hRule="atLeast"/>
          <w:jc w:val="center"/>
        </w:trPr>
        <w:tc>
          <w:tcPr>
            <w:tcW w:w="1347" w:type="dxa"/>
            <w:noWrap w:val="0"/>
            <w:vAlign w:val="center"/>
          </w:tcPr>
          <w:p w14:paraId="2A0B04A2">
            <w:pPr>
              <w:jc w:val="center"/>
              <w:rPr>
                <w:rFonts w:hint="eastAsia" w:ascii="仿宋" w:hAnsi="仿宋" w:eastAsia="仿宋" w:cs="仿宋"/>
                <w:color w:val="000000"/>
                <w:szCs w:val="21"/>
                <w:highlight w:val="none"/>
              </w:rPr>
            </w:pPr>
            <w:r>
              <w:rPr>
                <w:rFonts w:hint="eastAsia" w:ascii="仿宋" w:hAnsi="仿宋" w:eastAsia="仿宋" w:cs="仿宋"/>
                <w:color w:val="000000"/>
                <w:szCs w:val="21"/>
                <w:highlight w:val="none"/>
              </w:rPr>
              <w:t>分部分项工程分类</w:t>
            </w:r>
          </w:p>
        </w:tc>
        <w:tc>
          <w:tcPr>
            <w:tcW w:w="2153" w:type="dxa"/>
            <w:noWrap w:val="0"/>
            <w:vAlign w:val="center"/>
          </w:tcPr>
          <w:p w14:paraId="50AF65FD">
            <w:pPr>
              <w:jc w:val="center"/>
              <w:rPr>
                <w:rFonts w:hint="eastAsia" w:ascii="仿宋" w:hAnsi="仿宋" w:eastAsia="仿宋" w:cs="仿宋"/>
                <w:color w:val="000000"/>
                <w:szCs w:val="21"/>
                <w:highlight w:val="none"/>
              </w:rPr>
            </w:pPr>
            <w:r>
              <w:rPr>
                <w:rFonts w:hint="eastAsia" w:ascii="仿宋" w:hAnsi="仿宋" w:eastAsia="仿宋" w:cs="仿宋"/>
                <w:color w:val="000000"/>
                <w:szCs w:val="21"/>
                <w:highlight w:val="none"/>
              </w:rPr>
              <w:t>规模及说明</w:t>
            </w:r>
          </w:p>
        </w:tc>
        <w:tc>
          <w:tcPr>
            <w:tcW w:w="1520" w:type="dxa"/>
            <w:noWrap w:val="0"/>
            <w:vAlign w:val="center"/>
          </w:tcPr>
          <w:p w14:paraId="0833EC2F">
            <w:pPr>
              <w:jc w:val="center"/>
              <w:rPr>
                <w:rFonts w:hint="eastAsia" w:ascii="仿宋" w:hAnsi="仿宋" w:eastAsia="仿宋" w:cs="仿宋"/>
                <w:color w:val="000000"/>
                <w:szCs w:val="21"/>
                <w:highlight w:val="none"/>
              </w:rPr>
            </w:pPr>
            <w:r>
              <w:rPr>
                <w:rFonts w:hint="eastAsia" w:ascii="仿宋" w:hAnsi="仿宋" w:eastAsia="仿宋" w:cs="仿宋"/>
                <w:color w:val="000000"/>
                <w:szCs w:val="21"/>
                <w:highlight w:val="none"/>
              </w:rPr>
              <w:t>重点部位、环节</w:t>
            </w:r>
          </w:p>
        </w:tc>
        <w:tc>
          <w:tcPr>
            <w:tcW w:w="3880" w:type="dxa"/>
            <w:noWrap w:val="0"/>
            <w:vAlign w:val="center"/>
          </w:tcPr>
          <w:p w14:paraId="55132B66">
            <w:pPr>
              <w:jc w:val="center"/>
              <w:rPr>
                <w:rFonts w:hint="eastAsia" w:ascii="仿宋" w:hAnsi="仿宋" w:eastAsia="仿宋" w:cs="仿宋"/>
                <w:color w:val="000000"/>
                <w:szCs w:val="21"/>
                <w:highlight w:val="none"/>
              </w:rPr>
            </w:pPr>
            <w:r>
              <w:rPr>
                <w:rFonts w:hint="eastAsia" w:ascii="仿宋" w:hAnsi="仿宋" w:eastAsia="仿宋" w:cs="仿宋"/>
                <w:color w:val="000000"/>
                <w:szCs w:val="21"/>
                <w:highlight w:val="none"/>
              </w:rPr>
              <w:t>建议</w:t>
            </w:r>
          </w:p>
        </w:tc>
      </w:tr>
      <w:tr w14:paraId="6572E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jc w:val="center"/>
        </w:trPr>
        <w:tc>
          <w:tcPr>
            <w:tcW w:w="1347" w:type="dxa"/>
            <w:noWrap w:val="0"/>
            <w:vAlign w:val="center"/>
          </w:tcPr>
          <w:p w14:paraId="66252B7C">
            <w:pPr>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szCs w:val="21"/>
                <w:highlight w:val="none"/>
                <w14:textFill>
                  <w14:solidFill>
                    <w14:schemeClr w14:val="tx1"/>
                  </w14:solidFill>
                </w14:textFill>
              </w:rPr>
              <w:t>基坑、降水工程</w:t>
            </w:r>
          </w:p>
        </w:tc>
        <w:tc>
          <w:tcPr>
            <w:tcW w:w="2153" w:type="dxa"/>
            <w:noWrap w:val="0"/>
            <w:vAlign w:val="center"/>
          </w:tcPr>
          <w:p w14:paraId="4E105744">
            <w:pPr>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szCs w:val="21"/>
                <w:highlight w:val="none"/>
                <w14:textFill>
                  <w14:solidFill>
                    <w14:schemeClr w14:val="tx1"/>
                  </w14:solidFill>
                </w14:textFill>
              </w:rPr>
              <w:t>基坑开挖深度</w:t>
            </w:r>
            <w:r>
              <w:rPr>
                <w:rFonts w:hint="eastAsia" w:ascii="仿宋" w:hAnsi="仿宋" w:eastAsia="仿宋" w:cs="仿宋"/>
                <w:color w:val="000000" w:themeColor="text1"/>
                <w:szCs w:val="21"/>
                <w:highlight w:val="none"/>
                <w:lang w:val="en-US" w:eastAsia="zh-CN"/>
                <w14:textFill>
                  <w14:solidFill>
                    <w14:schemeClr w14:val="tx1"/>
                  </w14:solidFill>
                </w14:textFill>
              </w:rPr>
              <w:t>小于3</w:t>
            </w:r>
            <w:r>
              <w:rPr>
                <w:rFonts w:hint="eastAsia" w:ascii="仿宋" w:hAnsi="仿宋" w:eastAsia="仿宋" w:cs="仿宋"/>
                <w:color w:val="000000" w:themeColor="text1"/>
                <w:szCs w:val="21"/>
                <w:highlight w:val="none"/>
                <w14:textFill>
                  <w14:solidFill>
                    <w14:schemeClr w14:val="tx1"/>
                  </w14:solidFill>
                </w14:textFill>
              </w:rPr>
              <w:t>m</w:t>
            </w:r>
          </w:p>
        </w:tc>
        <w:tc>
          <w:tcPr>
            <w:tcW w:w="1520" w:type="dxa"/>
            <w:noWrap w:val="0"/>
            <w:vAlign w:val="center"/>
          </w:tcPr>
          <w:p w14:paraId="600E60DB">
            <w:pPr>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szCs w:val="21"/>
                <w:highlight w:val="none"/>
                <w14:textFill>
                  <w14:solidFill>
                    <w14:schemeClr w14:val="tx1"/>
                  </w14:solidFill>
                </w14:textFill>
              </w:rPr>
              <w:t>基坑开挖及支护</w:t>
            </w:r>
          </w:p>
        </w:tc>
        <w:tc>
          <w:tcPr>
            <w:tcW w:w="3880" w:type="dxa"/>
            <w:noWrap w:val="0"/>
            <w:vAlign w:val="center"/>
          </w:tcPr>
          <w:p w14:paraId="4429C0BB">
            <w:pPr>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szCs w:val="21"/>
                <w:highlight w:val="none"/>
                <w14:textFill>
                  <w14:solidFill>
                    <w14:schemeClr w14:val="tx1"/>
                  </w14:solidFill>
                </w14:textFill>
              </w:rPr>
              <w:t>施工期间应加强稳定性</w:t>
            </w:r>
            <w:r>
              <w:rPr>
                <w:rFonts w:hint="eastAsia" w:ascii="仿宋" w:hAnsi="仿宋" w:eastAsia="仿宋" w:cs="仿宋"/>
                <w:color w:val="000000" w:themeColor="text1"/>
                <w:szCs w:val="21"/>
                <w:highlight w:val="none"/>
                <w:lang w:val="en-US" w:eastAsia="zh-CN"/>
                <w14:textFill>
                  <w14:solidFill>
                    <w14:schemeClr w14:val="tx1"/>
                  </w14:solidFill>
                </w14:textFill>
              </w:rPr>
              <w:t>人工巡查</w:t>
            </w:r>
            <w:r>
              <w:rPr>
                <w:rFonts w:hint="eastAsia" w:ascii="仿宋" w:hAnsi="仿宋" w:eastAsia="仿宋" w:cs="仿宋"/>
                <w:color w:val="000000" w:themeColor="text1"/>
                <w:szCs w:val="21"/>
                <w:highlight w:val="none"/>
                <w14:textFill>
                  <w14:solidFill>
                    <w14:schemeClr w14:val="tx1"/>
                  </w14:solidFill>
                </w14:textFill>
              </w:rPr>
              <w:t>。</w:t>
            </w:r>
          </w:p>
        </w:tc>
      </w:tr>
      <w:tr w14:paraId="0D59E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jc w:val="center"/>
        </w:trPr>
        <w:tc>
          <w:tcPr>
            <w:tcW w:w="1347" w:type="dxa"/>
            <w:noWrap w:val="0"/>
            <w:vAlign w:val="center"/>
          </w:tcPr>
          <w:p w14:paraId="63435651">
            <w:pPr>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szCs w:val="21"/>
                <w:highlight w:val="none"/>
                <w14:textFill>
                  <w14:solidFill>
                    <w14:schemeClr w14:val="tx1"/>
                  </w14:solidFill>
                </w14:textFill>
              </w:rPr>
              <w:t>基坑、降水工程</w:t>
            </w:r>
          </w:p>
        </w:tc>
        <w:tc>
          <w:tcPr>
            <w:tcW w:w="2153" w:type="dxa"/>
            <w:noWrap w:val="0"/>
            <w:vAlign w:val="center"/>
          </w:tcPr>
          <w:p w14:paraId="75B3D14F">
            <w:pPr>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szCs w:val="21"/>
                <w:highlight w:val="none"/>
                <w14:textFill>
                  <w14:solidFill>
                    <w14:schemeClr w14:val="tx1"/>
                  </w14:solidFill>
                </w14:textFill>
              </w:rPr>
              <w:t>基坑开挖深度</w:t>
            </w:r>
            <w:r>
              <w:rPr>
                <w:rFonts w:hint="eastAsia" w:ascii="仿宋" w:hAnsi="仿宋" w:eastAsia="仿宋" w:cs="仿宋"/>
                <w:color w:val="000000" w:themeColor="text1"/>
                <w:szCs w:val="21"/>
                <w:highlight w:val="none"/>
                <w:lang w:val="en-US" w:eastAsia="zh-CN"/>
                <w14:textFill>
                  <w14:solidFill>
                    <w14:schemeClr w14:val="tx1"/>
                  </w14:solidFill>
                </w14:textFill>
              </w:rPr>
              <w:t>3-5</w:t>
            </w:r>
            <w:r>
              <w:rPr>
                <w:rFonts w:hint="eastAsia" w:ascii="仿宋" w:hAnsi="仿宋" w:eastAsia="仿宋" w:cs="仿宋"/>
                <w:color w:val="000000" w:themeColor="text1"/>
                <w:szCs w:val="21"/>
                <w:highlight w:val="none"/>
                <w14:textFill>
                  <w14:solidFill>
                    <w14:schemeClr w14:val="tx1"/>
                  </w14:solidFill>
                </w14:textFill>
              </w:rPr>
              <w:t>m</w:t>
            </w:r>
          </w:p>
        </w:tc>
        <w:tc>
          <w:tcPr>
            <w:tcW w:w="1520" w:type="dxa"/>
            <w:noWrap w:val="0"/>
            <w:vAlign w:val="center"/>
          </w:tcPr>
          <w:p w14:paraId="1B8AA347">
            <w:pPr>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szCs w:val="21"/>
                <w:highlight w:val="none"/>
                <w14:textFill>
                  <w14:solidFill>
                    <w14:schemeClr w14:val="tx1"/>
                  </w14:solidFill>
                </w14:textFill>
              </w:rPr>
              <w:t>基坑开挖及支护</w:t>
            </w:r>
          </w:p>
        </w:tc>
        <w:tc>
          <w:tcPr>
            <w:tcW w:w="3880" w:type="dxa"/>
            <w:noWrap w:val="0"/>
            <w:vAlign w:val="center"/>
          </w:tcPr>
          <w:p w14:paraId="2B128A36">
            <w:pPr>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szCs w:val="21"/>
                <w:highlight w:val="none"/>
                <w14:textFill>
                  <w14:solidFill>
                    <w14:schemeClr w14:val="tx1"/>
                  </w14:solidFill>
                </w14:textFill>
              </w:rPr>
              <w:t>施工期间应加强稳定性</w:t>
            </w:r>
            <w:r>
              <w:rPr>
                <w:rFonts w:hint="eastAsia" w:ascii="仿宋" w:hAnsi="仿宋" w:eastAsia="仿宋" w:cs="仿宋"/>
                <w:color w:val="000000" w:themeColor="text1"/>
                <w:szCs w:val="21"/>
                <w:highlight w:val="none"/>
                <w:lang w:val="en-US" w:eastAsia="zh-CN"/>
                <w14:textFill>
                  <w14:solidFill>
                    <w14:schemeClr w14:val="tx1"/>
                  </w14:solidFill>
                </w14:textFill>
              </w:rPr>
              <w:t>人工巡查、</w:t>
            </w:r>
            <w:r>
              <w:rPr>
                <w:rFonts w:hint="eastAsia" w:ascii="仿宋" w:hAnsi="仿宋" w:eastAsia="仿宋" w:cs="仿宋"/>
                <w:color w:val="000000" w:themeColor="text1"/>
                <w:szCs w:val="21"/>
                <w:highlight w:val="none"/>
                <w14:textFill>
                  <w14:solidFill>
                    <w14:schemeClr w14:val="tx1"/>
                  </w14:solidFill>
                </w14:textFill>
              </w:rPr>
              <w:t>监测、监控。</w:t>
            </w:r>
          </w:p>
        </w:tc>
      </w:tr>
      <w:tr w14:paraId="79468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jc w:val="center"/>
        </w:trPr>
        <w:tc>
          <w:tcPr>
            <w:tcW w:w="1347" w:type="dxa"/>
            <w:noWrap w:val="0"/>
            <w:vAlign w:val="center"/>
          </w:tcPr>
          <w:p w14:paraId="2246FF72">
            <w:pPr>
              <w:jc w:val="center"/>
              <w:rPr>
                <w:rFonts w:hint="eastAsia" w:ascii="仿宋" w:hAnsi="仿宋" w:eastAsia="仿宋" w:cs="仿宋"/>
                <w:color w:val="000000"/>
                <w:szCs w:val="21"/>
                <w:highlight w:val="none"/>
              </w:rPr>
            </w:pPr>
            <w:r>
              <w:rPr>
                <w:rFonts w:hint="eastAsia" w:ascii="仿宋" w:hAnsi="仿宋" w:eastAsia="仿宋" w:cs="仿宋"/>
                <w:color w:val="000000"/>
                <w:szCs w:val="21"/>
                <w:highlight w:val="none"/>
              </w:rPr>
              <w:t>起重吊装及起重机械安装拆卸工程</w:t>
            </w:r>
          </w:p>
        </w:tc>
        <w:tc>
          <w:tcPr>
            <w:tcW w:w="2153" w:type="dxa"/>
            <w:noWrap w:val="0"/>
            <w:vAlign w:val="center"/>
          </w:tcPr>
          <w:p w14:paraId="22C6B19C">
            <w:pPr>
              <w:jc w:val="center"/>
              <w:rPr>
                <w:rFonts w:hint="eastAsia" w:ascii="仿宋" w:hAnsi="仿宋" w:eastAsia="仿宋" w:cs="仿宋"/>
                <w:color w:val="000000"/>
                <w:szCs w:val="21"/>
                <w:highlight w:val="none"/>
              </w:rPr>
            </w:pPr>
            <w:r>
              <w:rPr>
                <w:rFonts w:hint="eastAsia" w:ascii="仿宋" w:hAnsi="仿宋" w:eastAsia="仿宋" w:cs="仿宋"/>
                <w:color w:val="000000"/>
                <w:szCs w:val="21"/>
                <w:highlight w:val="none"/>
              </w:rPr>
              <w:t>采用起重机械进行安装的工程</w:t>
            </w:r>
          </w:p>
        </w:tc>
        <w:tc>
          <w:tcPr>
            <w:tcW w:w="1520" w:type="dxa"/>
            <w:noWrap w:val="0"/>
            <w:vAlign w:val="center"/>
          </w:tcPr>
          <w:p w14:paraId="2F51BDA5">
            <w:pPr>
              <w:jc w:val="center"/>
              <w:rPr>
                <w:rFonts w:hint="eastAsia" w:ascii="仿宋" w:hAnsi="仿宋" w:eastAsia="仿宋" w:cs="仿宋"/>
                <w:color w:val="000000"/>
                <w:szCs w:val="21"/>
                <w:highlight w:val="none"/>
              </w:rPr>
            </w:pPr>
            <w:r>
              <w:rPr>
                <w:rFonts w:hint="eastAsia" w:ascii="仿宋" w:hAnsi="仿宋" w:eastAsia="仿宋" w:cs="仿宋"/>
                <w:color w:val="000000"/>
                <w:szCs w:val="21"/>
                <w:highlight w:val="none"/>
                <w:lang w:val="en-US" w:eastAsia="zh-CN"/>
              </w:rPr>
              <w:t>整个施工过程</w:t>
            </w:r>
            <w:r>
              <w:rPr>
                <w:rFonts w:hint="eastAsia" w:ascii="仿宋" w:hAnsi="仿宋" w:eastAsia="仿宋" w:cs="仿宋"/>
                <w:color w:val="000000"/>
                <w:szCs w:val="21"/>
                <w:highlight w:val="none"/>
                <w:lang w:eastAsia="zh-CN"/>
              </w:rPr>
              <w:t>钢筋、模板</w:t>
            </w:r>
            <w:r>
              <w:rPr>
                <w:rFonts w:hint="eastAsia" w:ascii="仿宋" w:hAnsi="仿宋" w:eastAsia="仿宋" w:cs="仿宋"/>
                <w:color w:val="000000"/>
                <w:szCs w:val="21"/>
                <w:highlight w:val="none"/>
              </w:rPr>
              <w:t>的安装、管道的吊装</w:t>
            </w:r>
          </w:p>
        </w:tc>
        <w:tc>
          <w:tcPr>
            <w:tcW w:w="3880" w:type="dxa"/>
            <w:noWrap w:val="0"/>
            <w:vAlign w:val="center"/>
          </w:tcPr>
          <w:p w14:paraId="2BCDB3F0">
            <w:pPr>
              <w:jc w:val="center"/>
              <w:rPr>
                <w:rFonts w:hint="eastAsia" w:ascii="仿宋" w:hAnsi="仿宋" w:eastAsia="仿宋" w:cs="仿宋"/>
                <w:color w:val="000000"/>
                <w:szCs w:val="21"/>
                <w:highlight w:val="none"/>
              </w:rPr>
            </w:pPr>
            <w:r>
              <w:rPr>
                <w:rFonts w:hint="eastAsia" w:ascii="仿宋" w:hAnsi="仿宋" w:eastAsia="仿宋" w:cs="仿宋"/>
                <w:color w:val="000000"/>
                <w:szCs w:val="21"/>
                <w:highlight w:val="none"/>
              </w:rPr>
              <w:t>1、应对现场地形现场管线及周边构筑物进行核查，应保证起重吊装设备自身安全；2、起重吊装考虑对周边交通通行的影响。</w:t>
            </w:r>
          </w:p>
        </w:tc>
      </w:tr>
      <w:tr w14:paraId="3F886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jc w:val="center"/>
        </w:trPr>
        <w:tc>
          <w:tcPr>
            <w:tcW w:w="1347" w:type="dxa"/>
            <w:noWrap w:val="0"/>
            <w:vAlign w:val="center"/>
          </w:tcPr>
          <w:p w14:paraId="49D1796F">
            <w:pPr>
              <w:jc w:val="center"/>
              <w:rPr>
                <w:rFonts w:hint="eastAsia" w:ascii="仿宋" w:hAnsi="仿宋" w:eastAsia="仿宋" w:cs="仿宋"/>
                <w:color w:val="000000"/>
                <w:szCs w:val="21"/>
                <w:highlight w:val="none"/>
              </w:rPr>
            </w:pPr>
            <w:r>
              <w:rPr>
                <w:rFonts w:hint="eastAsia" w:ascii="仿宋" w:hAnsi="仿宋" w:eastAsia="仿宋" w:cs="仿宋"/>
                <w:color w:val="000000"/>
                <w:szCs w:val="21"/>
                <w:highlight w:val="none"/>
              </w:rPr>
              <w:t>拆除工程</w:t>
            </w:r>
          </w:p>
        </w:tc>
        <w:tc>
          <w:tcPr>
            <w:tcW w:w="2153" w:type="dxa"/>
            <w:noWrap w:val="0"/>
            <w:vAlign w:val="center"/>
          </w:tcPr>
          <w:p w14:paraId="3E83FD9D">
            <w:pPr>
              <w:jc w:val="center"/>
              <w:rPr>
                <w:rFonts w:hint="eastAsia" w:ascii="仿宋" w:hAnsi="仿宋" w:eastAsia="仿宋" w:cs="仿宋"/>
                <w:color w:val="000000"/>
                <w:szCs w:val="21"/>
                <w:highlight w:val="none"/>
              </w:rPr>
            </w:pPr>
            <w:r>
              <w:rPr>
                <w:rFonts w:hint="eastAsia" w:ascii="仿宋" w:hAnsi="仿宋" w:eastAsia="仿宋" w:cs="仿宋"/>
                <w:color w:val="000000"/>
                <w:szCs w:val="21"/>
                <w:highlight w:val="none"/>
              </w:rPr>
              <w:t>可能影响行人、交通、电力设施、通讯设施或其它建、构筑物安全的拆除工程</w:t>
            </w:r>
          </w:p>
        </w:tc>
        <w:tc>
          <w:tcPr>
            <w:tcW w:w="1520" w:type="dxa"/>
            <w:noWrap w:val="0"/>
            <w:vAlign w:val="center"/>
          </w:tcPr>
          <w:p w14:paraId="105E136D">
            <w:pPr>
              <w:jc w:val="center"/>
              <w:rPr>
                <w:rFonts w:hint="eastAsia" w:ascii="仿宋" w:hAnsi="仿宋" w:eastAsia="仿宋" w:cs="仿宋"/>
                <w:color w:val="000000"/>
                <w:szCs w:val="21"/>
                <w:highlight w:val="none"/>
              </w:rPr>
            </w:pPr>
            <w:r>
              <w:rPr>
                <w:rFonts w:hint="eastAsia" w:ascii="仿宋" w:hAnsi="仿宋" w:eastAsia="仿宋" w:cs="仿宋"/>
                <w:color w:val="000000"/>
                <w:szCs w:val="21"/>
                <w:highlight w:val="none"/>
                <w:lang w:eastAsia="zh-CN"/>
              </w:rPr>
              <w:t>模板</w:t>
            </w:r>
            <w:r>
              <w:rPr>
                <w:rFonts w:hint="eastAsia" w:ascii="仿宋" w:hAnsi="仿宋" w:eastAsia="仿宋" w:cs="仿宋"/>
                <w:color w:val="000000"/>
                <w:szCs w:val="21"/>
                <w:highlight w:val="none"/>
              </w:rPr>
              <w:t>的拆除</w:t>
            </w:r>
          </w:p>
        </w:tc>
        <w:tc>
          <w:tcPr>
            <w:tcW w:w="3880" w:type="dxa"/>
            <w:noWrap w:val="0"/>
            <w:vAlign w:val="center"/>
          </w:tcPr>
          <w:p w14:paraId="21F35A07">
            <w:pPr>
              <w:jc w:val="center"/>
              <w:rPr>
                <w:rFonts w:hint="eastAsia" w:ascii="仿宋" w:hAnsi="仿宋" w:eastAsia="仿宋" w:cs="仿宋"/>
                <w:color w:val="000000"/>
                <w:szCs w:val="21"/>
                <w:highlight w:val="none"/>
              </w:rPr>
            </w:pPr>
            <w:r>
              <w:rPr>
                <w:rFonts w:hint="eastAsia" w:ascii="仿宋" w:hAnsi="仿宋" w:eastAsia="仿宋" w:cs="仿宋"/>
                <w:color w:val="000000"/>
                <w:szCs w:val="21"/>
                <w:highlight w:val="none"/>
              </w:rPr>
              <w:t>拆除工程应考虑对周边各类管线、构筑物影响。</w:t>
            </w:r>
          </w:p>
        </w:tc>
      </w:tr>
    </w:tbl>
    <w:p w14:paraId="5A27675B">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1、施工前进行设计交底，施工单位应通读工程地质察报告及全套施工图、领会设计意图，并组织工程技术人员编制施工组织设计。</w:t>
      </w:r>
    </w:p>
    <w:p w14:paraId="0935CA62">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2、施工应认真按照设计图纸及施工规范执行，</w:t>
      </w:r>
    </w:p>
    <w:p w14:paraId="3ACB068E">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3、工程参建各方应认真按照《危险性较大的分部分项工程安全管理规定》进行施工管理，施工单位应当在危大工程施工前组织工程技术人员编制专项施工方案，对于超过一定规模的危大工程，施工单位应当组织召开专家论证会对专项施工方案进行论证</w:t>
      </w:r>
    </w:p>
    <w:p w14:paraId="439E95AB">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4、应选择有丰富经验的具有相应资质的专业队伍进行支护体系的施工。基坑开挖应根据设计要求进行监测。实施动态设计和信息化施工。</w:t>
      </w:r>
    </w:p>
    <w:p w14:paraId="5916C44A">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5、施工单位在施工前。应采用坑探或触探等各种勘探方法查明基坑内及基坑周边的各类建(构)筑物及各类地下设施，包括给排水管道.电力、电信及煤气等管涵的分布和现状，并对现有的各类管涵应进行保护。</w:t>
      </w:r>
    </w:p>
    <w:p w14:paraId="07D7DE9F">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6、施工单位应按设计施工，由于某些原因导致施工确有困难应及时与有关部门联系，协商解决。由于某些不可预见的客观原因、不可抗力、地质条件的变异性或者由于施工导致工程出现险情，施工单位应及时抢险，消除险情。</w:t>
      </w:r>
    </w:p>
    <w:p w14:paraId="273BE120">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7、在沟槽开挖期间及管道施工过程中，对可能出现的险情应准备充分的应急措施，备足抢险设备和物资，如钢管、编织袋、反铲等。</w:t>
      </w:r>
    </w:p>
    <w:p w14:paraId="6A0B2BA8">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8、施工单位在施工前应仔细阅读并领会本工程的工程地质报告、地形地貌以及设计说明和意图。实施时若实际工程地质条件、地形地貌与本工程的工程地质报告、地形地貌有较大差异时，应及时通知监理、勘察、设计和甲方协商解决。</w:t>
      </w:r>
    </w:p>
    <w:p w14:paraId="1CC76F7E">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9、施工程序应符合规范和各级质监、安监等部门要求。</w:t>
      </w:r>
    </w:p>
    <w:p w14:paraId="362F25A6">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10、起重吊装考虑对周边交通通行影响，起重吊装承重点不得影响地下管线及构筑物等，吊装作业时严格制吊车回转半径避免触及周围建筑物或高压线，起重吊装中应采取切实可行的措施对风险进行控制，避免机械伤害、高处坠落、物体打击、触电。坍塌、车船撞击、施工设备事故等风险事件发生；起吊设备下方严禁站人、行车，遇大风、大雾、大雨、大雪等恶劣天气，不得使用起重机械。</w:t>
      </w:r>
    </w:p>
    <w:p w14:paraId="51E8D3B4">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11、施工单位应采取有效措施保证施工机械及设备的稳定，防止机械及设备倾倒事故。</w:t>
      </w:r>
    </w:p>
    <w:p w14:paraId="63A1C334">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12、针对不良地质( 岩性及风化程度、构造带、地下水、高边坡、土洞、溶洞、液化、软土、滑坡、泥石流等)、恶劣气候( 暴风、暴雨、洪水、雷电等)、运输通行( 撞击等)等危险源应有切实可行的施工技术措施和安全技术措施。</w:t>
      </w:r>
    </w:p>
    <w:p w14:paraId="046026CF">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87" w:name="_Toc22903"/>
      <w:r>
        <w:rPr>
          <w:rFonts w:hint="eastAsia" w:ascii="仿宋" w:hAnsi="仿宋" w:eastAsia="仿宋" w:cs="仿宋"/>
          <w:b/>
          <w:bCs/>
          <w:color w:val="auto"/>
          <w:sz w:val="28"/>
          <w:szCs w:val="28"/>
          <w:lang w:val="en-US" w:eastAsia="zh-CN"/>
        </w:rPr>
        <w:t>4.12沟槽排水</w:t>
      </w:r>
      <w:bookmarkEnd w:id="87"/>
    </w:p>
    <w:p w14:paraId="6A5D1761">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1、施工时应根据不同土质及地下水情况制定合理的排水措施，将水位降至槽底以下0.5m，方可进行基础施工、管道铺设等工序，不得带水施工、带水回填。</w:t>
      </w:r>
    </w:p>
    <w:p w14:paraId="7C7BCE7E">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2、施工过程中不得间断排水，当管道未具备抗浮条件时，严禁停止排水。</w:t>
      </w:r>
    </w:p>
    <w:p w14:paraId="31519924">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3、当沟槽距离现状建筑物较近时，施工时应精心组织，分段开挖，加强监测，管道严密性验收合格后尽快回填，避免长时间降水对周围建筑物的影响。</w:t>
      </w:r>
    </w:p>
    <w:p w14:paraId="5C637D1F">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default" w:ascii="仿宋" w:hAnsi="仿宋" w:eastAsia="仿宋" w:cs="仿宋"/>
          <w:b/>
          <w:bCs/>
          <w:color w:val="auto"/>
          <w:sz w:val="28"/>
          <w:szCs w:val="28"/>
          <w:lang w:val="en-US" w:eastAsia="zh-CN"/>
        </w:rPr>
      </w:pPr>
      <w:bookmarkStart w:id="88" w:name="_Toc17988"/>
      <w:r>
        <w:rPr>
          <w:rFonts w:hint="eastAsia" w:ascii="仿宋" w:hAnsi="仿宋" w:eastAsia="仿宋" w:cs="仿宋"/>
          <w:b/>
          <w:bCs/>
          <w:color w:val="auto"/>
          <w:sz w:val="28"/>
          <w:szCs w:val="28"/>
          <w:lang w:val="en-US" w:eastAsia="zh-CN"/>
        </w:rPr>
        <w:t>4.13管材安装</w:t>
      </w:r>
      <w:bookmarkEnd w:id="88"/>
    </w:p>
    <w:p w14:paraId="34E08AA5">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1、高密度聚乙烯（HDPE）缠绕结构壁B型管，管材的技术性能应符合《埋地用聚乙烯（PE）结构壁管道系统 第2部分:聚乙烯缠绕结构壁管材》（GB/T 19472.2－2017）的规定。插口顺水流方向，承口逆水流方向，由下游向上游依次安装。做法详见《埋地塑料排水管道工程技术规程》（CJJ 143-2010）。管道接口施工时，应使橡胶圈压缩均匀，避免出现胶圈扭曲、接口回弹等现象。</w:t>
      </w:r>
    </w:p>
    <w:p w14:paraId="607B0263">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2、钢筋混凝土承插口管，管材的技术性能应符合《混凝土和钢筋混凝土排水管》（GB/T 11836-2023）的规定。安装时，插口顺水流方向，承口逆水流方向，由下游向上游依次安装。钢筋混凝土管道采用橡胶圈接口，材料为丁腈橡胶（NBR），橡胶圈不应有气孔、裂缝、重皮，物理性能应符合《橡胶密封件 给、排水管及污水管道用接口密封圈 材料规范》（GB/T 21873-2008）的规定。管道接口施工时，应使橡胶圈压缩均匀，避免出现胶圈扭曲、接口回弹等现象。</w:t>
      </w:r>
    </w:p>
    <w:p w14:paraId="57719E1D">
      <w:pPr>
        <w:pStyle w:val="16"/>
        <w:widowControl/>
        <w:spacing w:line="360" w:lineRule="auto"/>
        <w:ind w:firstLine="454" w:firstLineChars="171"/>
        <w:jc w:val="left"/>
        <w:outlineLvl w:val="9"/>
        <w:rPr>
          <w:rFonts w:hint="eastAsia" w:ascii="仿宋" w:hAnsi="仿宋" w:eastAsia="仿宋" w:cs="仿宋"/>
          <w:sz w:val="28"/>
          <w:szCs w:val="28"/>
        </w:rPr>
      </w:pPr>
      <w:r>
        <w:rPr>
          <w:rFonts w:hint="eastAsia" w:ascii="仿宋" w:hAnsi="仿宋" w:eastAsia="仿宋" w:cs="仿宋"/>
          <w:color w:val="auto"/>
          <w:w w:val="95"/>
          <w:kern w:val="2"/>
          <w:sz w:val="28"/>
          <w:szCs w:val="28"/>
          <w:lang w:val="en-US" w:eastAsia="zh-CN" w:bidi="ar-SA"/>
        </w:rPr>
        <w:t>3、当沟槽距离现状建筑物较近时，施工时应精心组织，分段开挖，加强监测，管道严密性验收合格后尽快回填，避免长时间降水对周围建筑物的影响。</w:t>
      </w:r>
      <w:r>
        <w:rPr>
          <w:rFonts w:hint="eastAsia" w:ascii="仿宋" w:hAnsi="仿宋" w:eastAsia="仿宋" w:cs="仿宋"/>
          <w:sz w:val="28"/>
          <w:szCs w:val="28"/>
          <w:lang w:bidi="ar"/>
        </w:rPr>
        <w:t xml:space="preserve">                                                                                                                                                                                                                                                                                                                                                                                                                                                                          </w:t>
      </w:r>
    </w:p>
    <w:p w14:paraId="657E0EFC">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89" w:name="_Toc24994"/>
      <w:r>
        <w:rPr>
          <w:rFonts w:hint="eastAsia" w:ascii="仿宋" w:hAnsi="仿宋" w:eastAsia="仿宋" w:cs="仿宋"/>
          <w:b/>
          <w:bCs/>
          <w:color w:val="auto"/>
          <w:sz w:val="28"/>
          <w:szCs w:val="28"/>
          <w:lang w:val="en-US" w:eastAsia="zh-CN"/>
        </w:rPr>
        <w:t>4.14防渗处理</w:t>
      </w:r>
      <w:bookmarkEnd w:id="89"/>
    </w:p>
    <w:p w14:paraId="50C6A32E">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塑料管道与检查井采用橡胶密封圈柔性连接，连接做法详见06MS201-2 第56 页中“管道与检查井的连接（五）”大样图。</w:t>
      </w:r>
    </w:p>
    <w:p w14:paraId="611EA361">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90" w:name="_Toc7911"/>
      <w:r>
        <w:rPr>
          <w:rFonts w:hint="eastAsia" w:ascii="仿宋" w:hAnsi="仿宋" w:eastAsia="仿宋" w:cs="仿宋"/>
          <w:b/>
          <w:bCs/>
          <w:color w:val="auto"/>
          <w:sz w:val="28"/>
          <w:szCs w:val="28"/>
          <w:lang w:val="en-US" w:eastAsia="zh-CN"/>
        </w:rPr>
        <w:t>4.15内涝防治措施</w:t>
      </w:r>
      <w:bookmarkEnd w:id="90"/>
    </w:p>
    <w:p w14:paraId="194F1D9E">
      <w:pPr>
        <w:pStyle w:val="16"/>
        <w:widowControl/>
        <w:numPr>
          <w:ilvl w:val="0"/>
          <w:numId w:val="0"/>
        </w:numPr>
        <w:spacing w:line="360" w:lineRule="auto"/>
        <w:ind w:firstLine="532" w:firstLineChars="200"/>
        <w:jc w:val="left"/>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（1）确保排水管网通畅的措施</w:t>
      </w:r>
    </w:p>
    <w:p w14:paraId="26C4303B">
      <w:pPr>
        <w:pStyle w:val="16"/>
        <w:widowControl/>
        <w:numPr>
          <w:ilvl w:val="0"/>
          <w:numId w:val="0"/>
        </w:numPr>
        <w:spacing w:line="360" w:lineRule="auto"/>
        <w:ind w:firstLine="532" w:firstLineChars="200"/>
        <w:jc w:val="left"/>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地下排水管网是城市建成区防内涝灾害重要的工程措施之一。管网的通畅重点措施在于汛前的准备与检查工作是否充分，包括汛前对地下管网积水井的清淤、窨井盖的检查维修以及对地下排水管网的管理与监控。尤其需特别关注城市建设中桩基工程排污是否进入地下排水管道，造成排水管道的淤积与堵塞，应严格杜绝此类现象的发生。</w:t>
      </w:r>
    </w:p>
    <w:p w14:paraId="0C9ED64A">
      <w:pPr>
        <w:pStyle w:val="16"/>
        <w:widowControl/>
        <w:numPr>
          <w:ilvl w:val="0"/>
          <w:numId w:val="0"/>
        </w:numPr>
        <w:spacing w:line="360" w:lineRule="auto"/>
        <w:ind w:firstLine="532" w:firstLineChars="200"/>
        <w:jc w:val="left"/>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（2）工程调度措施</w:t>
      </w:r>
    </w:p>
    <w:p w14:paraId="1D27D2C1">
      <w:pPr>
        <w:pStyle w:val="16"/>
        <w:widowControl/>
        <w:numPr>
          <w:ilvl w:val="0"/>
          <w:numId w:val="0"/>
        </w:numPr>
        <w:spacing w:line="360" w:lineRule="auto"/>
        <w:ind w:firstLine="532" w:firstLineChars="200"/>
        <w:jc w:val="left"/>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城区遭遇预警级别Ⅳ级以上突发性强降雨，其应急响应行动主要是依靠城市现有防涝排涝工程体系，充分发挥其工程效益。依据《岳阳市中心城区排水专项规划（修编）（2016~2030）》，区域防洪标准按30年一遇。</w:t>
      </w:r>
    </w:p>
    <w:p w14:paraId="107DB28E">
      <w:pPr>
        <w:pStyle w:val="16"/>
        <w:widowControl/>
        <w:numPr>
          <w:ilvl w:val="0"/>
          <w:numId w:val="0"/>
        </w:numPr>
        <w:spacing w:line="360" w:lineRule="auto"/>
        <w:ind w:firstLine="532" w:firstLineChars="200"/>
        <w:jc w:val="left"/>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（3）交通临时管制与疏导措施</w:t>
      </w:r>
    </w:p>
    <w:p w14:paraId="05494190">
      <w:pPr>
        <w:pStyle w:val="16"/>
        <w:widowControl/>
        <w:numPr>
          <w:ilvl w:val="0"/>
          <w:numId w:val="0"/>
        </w:numPr>
        <w:spacing w:line="360" w:lineRule="auto"/>
        <w:ind w:firstLine="532" w:firstLineChars="200"/>
        <w:jc w:val="left"/>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当城区低洼区排涝泵站与临时抢排设施全面开启后，仍不能有效减低城区交通干线、低洼易涝区内积水时，市防指将根据积水区受洪涝灾害的影响程度，下达交通临时管制指令，由公安局交警大队对积水区实施临时交通管制疏导，确保积水区维持正常的交通秩序，力保人民的生命安全。</w:t>
      </w:r>
    </w:p>
    <w:p w14:paraId="4B1A7875">
      <w:pPr>
        <w:pStyle w:val="16"/>
        <w:widowControl/>
        <w:numPr>
          <w:ilvl w:val="0"/>
          <w:numId w:val="0"/>
        </w:numPr>
        <w:spacing w:line="360" w:lineRule="auto"/>
        <w:ind w:firstLine="532" w:firstLineChars="200"/>
        <w:jc w:val="left"/>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（4）应急响应结束</w:t>
      </w:r>
    </w:p>
    <w:p w14:paraId="1F1F27E8">
      <w:pPr>
        <w:pStyle w:val="16"/>
        <w:widowControl/>
        <w:numPr>
          <w:ilvl w:val="0"/>
          <w:numId w:val="0"/>
        </w:numPr>
        <w:spacing w:line="360" w:lineRule="auto"/>
        <w:ind w:firstLine="532" w:firstLineChars="200"/>
        <w:jc w:val="left"/>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通过以上应急响应行动和采取各类工程与非工程措施后，城市洪涝灾害基本消除，交通干线、低洼易涝区的积水已基本排除；城市交通秩序恢复正常；排洪河道堤防与穿堤建筑物安全隐患基本排除；易涝区社会秩序稳定，居民生活恢复正常；城市经济社会活动基本恢复正常。</w:t>
      </w:r>
    </w:p>
    <w:p w14:paraId="5FDD5A3F">
      <w:pPr>
        <w:pStyle w:val="16"/>
        <w:widowControl/>
        <w:numPr>
          <w:ilvl w:val="0"/>
          <w:numId w:val="6"/>
        </w:numPr>
        <w:spacing w:line="360" w:lineRule="auto"/>
        <w:ind w:firstLine="454" w:firstLineChars="171"/>
        <w:jc w:val="left"/>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依据《岳阳市中心城区排水专项规划（修编）（2016-2030）》，区域防洪标准按30年一遇。</w:t>
      </w:r>
    </w:p>
    <w:p w14:paraId="73AF707C">
      <w:pPr>
        <w:pStyle w:val="16"/>
        <w:widowControl/>
        <w:spacing w:line="360" w:lineRule="auto"/>
        <w:ind w:firstLine="454" w:firstLineChars="171"/>
        <w:jc w:val="left"/>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本次设计范围内无积洼地段，当雨量较大时，雨水考虑顺坡排放至下游雨水管道内。</w:t>
      </w:r>
    </w:p>
    <w:p w14:paraId="42147738">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91" w:name="_Toc23275"/>
      <w:r>
        <w:rPr>
          <w:rFonts w:hint="eastAsia" w:ascii="仿宋" w:hAnsi="仿宋" w:eastAsia="仿宋" w:cs="仿宋"/>
          <w:b/>
          <w:bCs/>
          <w:color w:val="auto"/>
          <w:sz w:val="28"/>
          <w:szCs w:val="28"/>
          <w:lang w:val="en-US" w:eastAsia="zh-CN"/>
        </w:rPr>
        <w:t>4.16 排水工程仪表和自动化控制的要求</w:t>
      </w:r>
      <w:bookmarkEnd w:id="91"/>
    </w:p>
    <w:p w14:paraId="6DEE651F">
      <w:pPr>
        <w:pStyle w:val="16"/>
        <w:widowControl/>
        <w:numPr>
          <w:ilvl w:val="0"/>
          <w:numId w:val="0"/>
        </w:numPr>
        <w:spacing w:line="360" w:lineRule="auto"/>
        <w:ind w:firstLine="532" w:firstLineChars="200"/>
        <w:jc w:val="left"/>
        <w:rPr>
          <w:rFonts w:hint="eastAsia" w:ascii="仿宋" w:hAnsi="仿宋" w:eastAsia="仿宋" w:cs="仿宋"/>
          <w:color w:val="000000" w:themeColor="text1"/>
          <w:sz w:val="28"/>
          <w:szCs w:val="28"/>
          <w:lang w:bidi="ar"/>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随着社会进步和科技发展，排水工程不仅要满足生产控制，还需要进行管理决策，因此排水工程进行检测和控制设计是十分必要的。检测仪表是排水工程的“眼睛”，自动化系统是排水工程控制手段，检测仪表和自动化系统是生产控制的基础。信息化系统是对检测仪表和自动化系统的生产信息进行分析，同时纳入了经营管理决策的内容，增加了排水工程生产管理的深度。本次设计考虑排水管道设置检测仪表和自动化控制系统，并采用信息化手段提供信息服务，后期接入运营方智慧平台。</w:t>
      </w:r>
      <w:r>
        <w:rPr>
          <w:rFonts w:hint="eastAsia" w:ascii="仿宋" w:hAnsi="仿宋" w:eastAsia="仿宋" w:cs="仿宋"/>
          <w:color w:val="000000" w:themeColor="text1"/>
          <w:sz w:val="28"/>
          <w:szCs w:val="28"/>
          <w:lang w:bidi="ar"/>
          <w14:textFill>
            <w14:solidFill>
              <w14:schemeClr w14:val="tx1"/>
            </w14:solidFill>
          </w14:textFill>
        </w:rPr>
        <w:t xml:space="preserve"> </w:t>
      </w:r>
    </w:p>
    <w:p w14:paraId="05364ED7">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92" w:name="_Toc9628"/>
      <w:r>
        <w:rPr>
          <w:rFonts w:hint="eastAsia" w:ascii="仿宋" w:hAnsi="仿宋" w:eastAsia="仿宋" w:cs="仿宋"/>
          <w:b/>
          <w:bCs/>
          <w:color w:val="auto"/>
          <w:sz w:val="28"/>
          <w:szCs w:val="28"/>
          <w:lang w:val="en-US" w:eastAsia="zh-CN"/>
        </w:rPr>
        <w:t>4.17 管线保护及迁改</w:t>
      </w:r>
      <w:bookmarkEnd w:id="92"/>
      <w:r>
        <w:rPr>
          <w:rFonts w:hint="eastAsia" w:ascii="仿宋" w:hAnsi="仿宋" w:eastAsia="仿宋" w:cs="仿宋"/>
          <w:b/>
          <w:bCs/>
          <w:color w:val="auto"/>
          <w:sz w:val="28"/>
          <w:szCs w:val="28"/>
          <w:lang w:val="en-US" w:eastAsia="zh-CN"/>
        </w:rPr>
        <w:t xml:space="preserve"> </w:t>
      </w:r>
    </w:p>
    <w:p w14:paraId="79ADDC3F">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1、改迁方案 </w:t>
      </w:r>
    </w:p>
    <w:p w14:paraId="3E67CB42">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本工程开挖沟槽敷设管线，需对管槽周边路灯、电杆及现给水、电力、电信、燃气、雨水、污水等有影响的管线进行改迁或保护，具体做法如下: </w:t>
      </w:r>
    </w:p>
    <w:p w14:paraId="152A2C92">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1)原则上尽量减少工程施工对现状管线的影响，并尽量避免现状管线的改迁。 </w:t>
      </w:r>
    </w:p>
    <w:p w14:paraId="63AA1999">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2)对与开挖沟槽平行且位于沟槽内的现状管线进行改迁。 </w:t>
      </w:r>
    </w:p>
    <w:p w14:paraId="2D5A8398">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3)对与开挖沟槽交叉或受沟槽开挖影响的现状管线进行保护，保护措施有板式支护、加钢套管、槽钢支撑、悬吊等。 </w:t>
      </w:r>
    </w:p>
    <w:p w14:paraId="558B3569">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4)对受管槽开挖施工影响的路灯、电杆等进行保护，保护措施有板式支护、槽钢支护等。 </w:t>
      </w:r>
    </w:p>
    <w:p w14:paraId="1EA4C837">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2、保护方案 </w:t>
      </w:r>
    </w:p>
    <w:p w14:paraId="2089E9B4">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综合考虑地下管线的改移断面尺寸、埋深及施工进度的因素，本工程地下管线改移方案如 </w:t>
      </w:r>
    </w:p>
    <w:p w14:paraId="4FABCABD">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1)燃气管道</w:t>
      </w:r>
    </w:p>
    <w:p w14:paraId="596B1243">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燃气管道一旦变形过大，会透成破损或接头脱落，燃气泄露。发现泄露后应立即切断附近施工用电、用火，现场进行紧急处理，再通知相关部门进行维修。管道造成破损的，可先采用管箍或管卡进行包裹处理，街头脱落的可将接头回复原位，在管口缠上密封胶带。处理后应查明管道破损或接头脱落的原因，排除危害物，再进行管道复位。施工过程中应避免管道弯曲过大，管道恢复后对管道四周基础进行加固，避免再次移位。 </w:t>
      </w:r>
    </w:p>
    <w:p w14:paraId="0CF89370">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2)自来水管道 </w:t>
      </w:r>
    </w:p>
    <w:p w14:paraId="0D6A02F0">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自来水管道破损可使用快速接头处理。自来水管道在管道错动较大时，容易出现接头漏水，可将管道调直后，有快干水泥封堵接头部位，直到无水渗出再进行处理。拐弯处还需要重新制作支墩固定。 </w:t>
      </w:r>
    </w:p>
    <w:p w14:paraId="14D0BC69">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3)污水管 </w:t>
      </w:r>
    </w:p>
    <w:p w14:paraId="25908F73">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污水管处理可参照自来水，按头部位也可采用注入聚氨酯堵漏 </w:t>
      </w:r>
    </w:p>
    <w:p w14:paraId="7B5EF8BD">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4)电力管线 </w:t>
      </w:r>
    </w:p>
    <w:p w14:paraId="403065D6">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电力电缆发生泄露时应立即疏散附近人员，在安全距离外设置好警示装置，禁止靠近，并联系供电部门切断电源后进行维修。 </w:t>
      </w:r>
    </w:p>
    <w:p w14:paraId="2502A12D">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5)其他管线 </w:t>
      </w:r>
    </w:p>
    <w:p w14:paraId="37E79FBD">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其他管线发现损坏时应保护好现场，避免人员靠近，同时联系相关部门进行维修。安全。</w:t>
      </w:r>
    </w:p>
    <w:p w14:paraId="14D642CA">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(3)管理组织措施 </w:t>
      </w:r>
    </w:p>
    <w:p w14:paraId="64C02C45">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为了做好公用管线保护工作，强化“谁承包、谁负贵”的原则，本工程实行公用管线保护责任制，项目经理部经理为本工程的公用管线保护责任人。 </w:t>
      </w:r>
    </w:p>
    <w:p w14:paraId="0E0C64CE">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1)明确项目地下管线工作的责任人和专职管线保护监督员，熟悉周边地下管线原始及改移后埋设情况，并在施工平面图上详细标明，同时根据施工需求及时提出具体的保护措施。 </w:t>
      </w:r>
    </w:p>
    <w:p w14:paraId="4B7D4924">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2)坚持按照政府有关要求办理有关手续和对管线的监护，要求有关单位进行现场交底监护工作。 </w:t>
      </w:r>
    </w:p>
    <w:p w14:paraId="07C1EB80">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3)对需进行加固保护的管线，召开管线协调会，拟定加固方案。工程施工中，严格按照确定的管线加固方案进行实施。并有管线监护人员和施工单位专职管线监护员进行双监护。出现问题，立即停止施工，并上报业主及有关单位。 </w:t>
      </w:r>
    </w:p>
    <w:p w14:paraId="5929A4C9">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4)进行信息化施工，严格执行信息反馈机制，加强对因施工面影响范围的构筑物和地下管线动态变化的监控，根据监测数据变化的情况，及时调整施工方案，确保道路与地下管线的正常运行。</w:t>
      </w:r>
    </w:p>
    <w:p w14:paraId="2877303D">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5)定期召开与有关管线单位的配合会，随时掌握有关管线的情况，为施工服务。 </w:t>
      </w:r>
    </w:p>
    <w:p w14:paraId="2BABBDB7">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6)在施工过程中，遇到管线有异常现象或管位有差异，可能对地下管线的安全和维修产生影响时应立即停止施工，同时与相关管线单位联系，落实保护管线的措施后方可 </w:t>
      </w:r>
    </w:p>
    <w:p w14:paraId="6DF62A9E">
      <w:pPr>
        <w:pStyle w:val="16"/>
        <w:widowControl/>
        <w:spacing w:line="360" w:lineRule="auto"/>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继续施工。</w:t>
      </w:r>
    </w:p>
    <w:p w14:paraId="2A392C1A">
      <w:pPr>
        <w:pStyle w:val="16"/>
        <w:widowControl/>
        <w:numPr>
          <w:ilvl w:val="0"/>
          <w:numId w:val="7"/>
        </w:numPr>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施工时，施工管理人员必须向现场施工人员作好保护地下管线的交工作，如因管理不善，措施不当面造成管线事故的有关人员，公司将进行严格处理，以确保地下管线和构物的安全。</w:t>
      </w:r>
    </w:p>
    <w:p w14:paraId="2B00E655">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93" w:name="_Toc31422"/>
      <w:r>
        <w:rPr>
          <w:rFonts w:hint="eastAsia" w:ascii="仿宋" w:hAnsi="仿宋" w:eastAsia="仿宋" w:cs="仿宋"/>
          <w:b/>
          <w:bCs/>
          <w:color w:val="auto"/>
          <w:sz w:val="28"/>
          <w:szCs w:val="28"/>
          <w:lang w:val="en-US" w:eastAsia="zh-CN"/>
        </w:rPr>
        <w:t>4.18 钢板桩施工</w:t>
      </w:r>
      <w:bookmarkEnd w:id="93"/>
      <w:r>
        <w:rPr>
          <w:rFonts w:hint="eastAsia" w:ascii="仿宋" w:hAnsi="仿宋" w:eastAsia="仿宋" w:cs="仿宋"/>
          <w:b/>
          <w:bCs/>
          <w:color w:val="auto"/>
          <w:sz w:val="28"/>
          <w:szCs w:val="28"/>
          <w:lang w:val="en-US" w:eastAsia="zh-CN"/>
        </w:rPr>
        <w:t xml:space="preserve"> </w:t>
      </w:r>
    </w:p>
    <w:p w14:paraId="7CAC8143">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1、钢板桩施打 </w:t>
      </w:r>
    </w:p>
    <w:p w14:paraId="1011B734">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钢板桩设计深度范围内存在人工填土、粉质黏土、粉土、残积粉质黏土和强风化 </w:t>
      </w:r>
    </w:p>
    <w:p w14:paraId="2550CBD2">
      <w:pPr>
        <w:pStyle w:val="16"/>
        <w:widowControl/>
        <w:spacing w:line="360" w:lineRule="auto"/>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泥质粉砂岩等地层，宜采用引孔或水刀法等辅助钢板桩打入措施，钢板桩宜先试打查明是否能有效穿透地层，而后全线实施。 </w:t>
      </w:r>
    </w:p>
    <w:p w14:paraId="4D289997">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2、采用静压植桩法。 </w:t>
      </w:r>
    </w:p>
    <w:p w14:paraId="3D7EB0A4">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钢板桩施工关系到施工支护和安全，是本工程施工最关键的工序之一，在施工中要注意以下施工有关要求： </w:t>
      </w:r>
    </w:p>
    <w:p w14:paraId="1182E205">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①钢板桩施打前一定要熟悉地质资料以及地下水的情况，认真放出准确的支护桩中线。 </w:t>
      </w:r>
    </w:p>
    <w:p w14:paraId="7C000716">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②打桩前，对钢板桩逐根检查，剔除连接锁口锈蚀、变形严重的钢板桩，不合格者待修整后才可使用。 </w:t>
      </w:r>
    </w:p>
    <w:p w14:paraId="52127D56">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③打桩前，在钢板桩的锁口内涂油脂，以方便打入拔出。 </w:t>
      </w:r>
    </w:p>
    <w:p w14:paraId="3F4C91C9">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④在插打过程中随时测量监控每块桩的斜度不超过 2%，当偏斜过大不能用拉齐方法调正时，拔起重打。</w:t>
      </w:r>
    </w:p>
    <w:p w14:paraId="59CF609B">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⑤打桩过程中有时遇上大的块石或其它不明障碍物，导致钢板桩打入深度不够，采用转角桩或弧形桩绕过障碍物。 为保证钢板桩打设精度采用屏风式打入法。先用吊车将钢板桩吊至插桩点处进行插桩，插桩时锁口要对准，每插入一块即套上桩帽轻轻锤击。在打桩过程中，为保证垂直度，用两台经纬仪在两个方向加以控制。为防止锁口中心平面位移，在打桩进行方向的钢板桩锁口处设卡板，阻止板桩位移。同时在围檩上预先算出每块板块的位置，以便随时检查校正。若现场条件无法满足静压桩机的组装和施工的需求，可根据地勘资料、周边实际情况更换桩机设备或采用引孔施工，经地勘及设计确认后方可施工。 </w:t>
      </w:r>
    </w:p>
    <w:p w14:paraId="5BEFCD41">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3、防渗与堵漏 </w:t>
      </w:r>
    </w:p>
    <w:p w14:paraId="4B79A9E8">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钢板桩打入之前应在锁口内涂以黄油、锯末等混合物。当锁口不紧密漏水时，用棉絮等在内侧嵌塞，外侧包裹一层防水彩条布，起到防水和减小水压力的双重效果，抽水时同时在外侧水中漏缝处撒大量木屑或谷糠和炉渣的混合物，使其由水夹带至漏水处自行堵塞，在桩脚漏水处，采用局部砼封底等措施。若漏水严重，堵漏困难时，在钢板桩外侧补打木桩围堰，木桩围堰内侧铺设彩条布，在彩条布与钢板桩围堰间填筑粘土进行封堵。 </w:t>
      </w:r>
    </w:p>
    <w:p w14:paraId="2E92250B">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4、路面表层临时加固防护</w:t>
      </w:r>
    </w:p>
    <w:p w14:paraId="4E5031CC">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重载通行路面（机动车道）：铺设 20mm 厚热轧钢板全覆盖保护，钢板搭接焊接，缝隙砂浆封堵，钢板向外延伸超出基坑边线≥2m，分散车辆动荷载。</w:t>
      </w:r>
    </w:p>
    <w:p w14:paraId="0B242184">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非机动车 / 人行道：16mm 钢板局部覆盖，底部铺垫 10cm 碎石找平压实，钢板压重固定防滑移。</w:t>
      </w:r>
    </w:p>
    <w:p w14:paraId="0CBD424B">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路面边缘硬化：基坑与路面间浇筑 30cm 宽 C20 混凝土护肩，阻挡土体侧向挤出。</w:t>
      </w:r>
    </w:p>
    <w:p w14:paraId="69B434DD">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p>
    <w:p w14:paraId="3E454DD5">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5、钢板桩的拔除 </w:t>
      </w:r>
    </w:p>
    <w:p w14:paraId="5DE07C7D">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施工完毕后，要拔除钢板桩，以便重复使用，拔除钢板桩前，应仔细研究拔桩方法顺序和拔桩时间及土孔处理。设法减少拔桩带土十分重要，可采用灌水或灌砂措施。钢板桩拔除过程中，应保证对周边居民楼的影响，如监测数据达预警值应立即启动应急预案。先用打拔桩机夹住钢板桩头部振动 1min～2min，使钢板桩周围的土松动，产生“液化”，减少土对桩的摩阻力，然后慢慢的往上振拔。拔桩时注意桩机的负荷情况，发现上拔困难或拔不上来时，应停止拔桩，先振动 1min～2min 后再往下锤0.5m～1.0m 再往上振拔，如此反复可将桩拔出来。对拔桩后留下的桩孔，必须及时回填处理。桩每拔高 1m 后暂停引拔，振动几分钟让土孔填实。钢板拔出桩孔后，剩余的空隙应及时用 1:1 水泥砂浆填实。 </w:t>
      </w:r>
    </w:p>
    <w:p w14:paraId="00237E90">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6、内支撑施工 </w:t>
      </w:r>
    </w:p>
    <w:p w14:paraId="09A21906">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1）、钢支撑安装前，需按设计位置确定支撑轴线，检查修整支顶面的安装尺寸应符合规定要求、垂直和平整； </w:t>
      </w:r>
    </w:p>
    <w:p w14:paraId="3C583513">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2）、钢支撑吊装定位前需要确定支撑两侧间隙，小于 20mm 时顶紧固定端，大于20mm 时需要用填充密实； </w:t>
      </w:r>
    </w:p>
    <w:p w14:paraId="5BF6941D">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3）、围檩采用 2 根 36c 槽钢，型钢与钢板桩之间通过焊接连接； </w:t>
      </w:r>
    </w:p>
    <w:p w14:paraId="3A9FB728">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4）、钢支撑和型钢之间采用角钢连接，型钢与钢支撑的连接节点应设加劲板； </w:t>
      </w:r>
    </w:p>
    <w:p w14:paraId="39900A9C">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7、全过程监测与应急处置</w:t>
      </w:r>
    </w:p>
    <w:p w14:paraId="660C39F3">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1. 监测内容</w:t>
      </w:r>
    </w:p>
    <w:p w14:paraId="089AAD8B">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路面：标高沉降、横向 / 纵向裂缝宽度、路基水平位移；</w:t>
      </w:r>
    </w:p>
    <w:p w14:paraId="40672016">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支护：钢板桩顶水平位移、钢支撑轴力、地下水位；</w:t>
      </w:r>
    </w:p>
    <w:p w14:paraId="09C05481">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监测频率：施工期间 2h / 次，停工期间每日 2 次，数据超预警立即启动应急。</w:t>
      </w:r>
    </w:p>
    <w:p w14:paraId="12565DE1">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2. 路面病害应急措施</w:t>
      </w:r>
    </w:p>
    <w:p w14:paraId="7657840C">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路面出现细微裂缝：立即停止打桩 / 开挖，在路面侧基坑外补充旋喷加固，同时路面裂缝灌注环氧树脂封闭。</w:t>
      </w:r>
    </w:p>
    <w:p w14:paraId="15454935">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路面局部沉降隆起：坑内增设斜向钢支撑约束钢板桩，路面下方打孔注浆抬升路基。</w:t>
      </w:r>
    </w:p>
    <w:p w14:paraId="7226F8F0">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路面贯通裂缝：立即清空坑边堆载、停止降水，基坑内侧回填土方反压支护结构，同步对路基进行深层注浆加固。</w:t>
      </w:r>
    </w:p>
    <w:p w14:paraId="2D250E91">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8、施工完成后路面恢复保护</w:t>
      </w:r>
    </w:p>
    <w:p w14:paraId="4A02CEA4">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拆除临时钢板、围挡后，清理路基表层松散土体，分层碾压路基至设计压实度。</w:t>
      </w:r>
    </w:p>
    <w:p w14:paraId="205614C2">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破损路面修复：沥青路面铣刨破损层重新摊铺；混凝土路面采用注浆抬升后修补面层，平整度误差控制≤3mm/m。</w:t>
      </w:r>
    </w:p>
    <w:p w14:paraId="2E5A873C">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持续 7～14 天跟踪路面沉降观测，确认无持续变形后方可移交道路正常通行</w:t>
      </w:r>
    </w:p>
    <w:p w14:paraId="4802DAB6">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9、基坑土方回填要求</w:t>
      </w:r>
    </w:p>
    <w:p w14:paraId="3FAAC525">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(1)基坑回填应排除积水，清除虚土和建筑垃圾。</w:t>
      </w:r>
    </w:p>
    <w:p w14:paraId="7150FA6B">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2)填土材料:管道施工完毕，四周应及时回填，回填材料应采用不具膨胀性的粘土，严禁采用淤泥、耕植土、冻土、膨胀性土、有机质大于5%的土及建筑垃圾进行回填，回填土不得含有石块、碎砖、灰渣及有机质，回填前应将构筑物四周建筑垃圾、积水予以清除。应优先选择弱透水性的填料，如砂土、粘性土和或粉质粘土，回填压实度根据路面要求碉定，但不低于90%，局部小部分无法压实部位可考虑采用C15素混凝土填实。</w:t>
      </w:r>
    </w:p>
    <w:p w14:paraId="779CFAC7">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(3)回填施工应均匀对称进行，并分层夯实，保证回填土压实系数满足主体设计要求，且压实系数不小于0.94。回填施工时注意不得损伤沟槽外墙防水层。</w:t>
      </w:r>
    </w:p>
    <w:p w14:paraId="079A8581">
      <w:pPr>
        <w:pStyle w:val="16"/>
        <w:widowControl/>
        <w:spacing w:line="360" w:lineRule="auto"/>
        <w:ind w:firstLine="454" w:firstLineChars="171"/>
        <w:jc w:val="left"/>
        <w:outlineLvl w:val="9"/>
        <w:rPr>
          <w:rFonts w:hint="eastAsia" w:ascii="仿宋" w:hAnsi="仿宋" w:eastAsia="仿宋" w:cs="仿宋"/>
          <w:color w:val="000000" w:themeColor="text1"/>
          <w:sz w:val="28"/>
          <w:szCs w:val="28"/>
          <w14:textFill>
            <w14:solidFill>
              <w14:schemeClr w14:val="tx1"/>
            </w14:solidFill>
          </w14:textFill>
        </w:rPr>
      </w:pPr>
      <w:r>
        <w:rPr>
          <w:rFonts w:hint="eastAsia" w:ascii="仿宋" w:hAnsi="仿宋" w:eastAsia="仿宋" w:cs="仿宋"/>
          <w:color w:val="auto"/>
          <w:w w:val="95"/>
          <w:kern w:val="2"/>
          <w:sz w:val="28"/>
          <w:szCs w:val="28"/>
          <w:lang w:val="en-US" w:eastAsia="zh-CN" w:bidi="ar-SA"/>
        </w:rPr>
        <w:t xml:space="preserve">(4)道路结构恢复以恢复现状道路为原则。                         </w:t>
      </w:r>
      <w:r>
        <w:rPr>
          <w:rFonts w:hint="eastAsia" w:ascii="仿宋" w:hAnsi="仿宋" w:eastAsia="仿宋" w:cs="仿宋"/>
          <w:color w:val="000000" w:themeColor="text1"/>
          <w:sz w:val="28"/>
          <w:szCs w:val="28"/>
          <w:lang w:bidi="ar"/>
          <w14:textFill>
            <w14:solidFill>
              <w14:schemeClr w14:val="tx1"/>
            </w14:solidFill>
          </w14:textFill>
        </w:rPr>
        <w:t xml:space="preserve">                                                                                                                                                                                                                                                                                                                                                </w:t>
      </w:r>
    </w:p>
    <w:p w14:paraId="10B6FCB8">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94" w:name="_Toc1890"/>
      <w:r>
        <w:rPr>
          <w:rFonts w:hint="eastAsia" w:ascii="仿宋" w:hAnsi="仿宋" w:eastAsia="仿宋" w:cs="仿宋"/>
          <w:b/>
          <w:bCs/>
          <w:color w:val="auto"/>
          <w:sz w:val="28"/>
          <w:szCs w:val="28"/>
          <w:lang w:val="en-US" w:eastAsia="zh-CN"/>
        </w:rPr>
        <w:t>4.19 施工要求及注意事项</w:t>
      </w:r>
      <w:bookmarkEnd w:id="94"/>
    </w:p>
    <w:p w14:paraId="0DF60F01">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1、管道施工前，必须提前对已建或在建排水管道及检查井标高进行核实，或与相交路段的排水管道设计和施工进行衔接。若与本设计图有较大出入，请及时与设计人员联系。对已建路口的地下管线，施工时应采取必要的保护措施。</w:t>
      </w:r>
    </w:p>
    <w:p w14:paraId="2DE0C480">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2、管道施工应由下游向上游由深到浅进行，管道穿越河浜（含暗塘已填埋的河浜）时，应结合道路先对河塘淤泥等进行基础加固处理。</w:t>
      </w:r>
    </w:p>
    <w:p w14:paraId="7A1ED49A">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3、沟槽开挖</w:t>
      </w:r>
    </w:p>
    <w:p w14:paraId="5500AB56">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本工程范围内管线均采用开槽埋管，根据地质报告资料，管道开挖方案按以下方式考虑：</w:t>
      </w:r>
    </w:p>
    <w:p w14:paraId="542AD007">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a.当沟槽深度≤2m时，采用一级放坡开挖。</w:t>
      </w:r>
    </w:p>
    <w:p w14:paraId="421FFCA5">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b.3m＞当沟槽深度＞2m时，采用横列板支护开挖。</w:t>
      </w:r>
    </w:p>
    <w:p w14:paraId="649E6068">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c.5m≥当沟槽深度＞3m时，采用钢板桩支护开挖。</w:t>
      </w:r>
    </w:p>
    <w:p w14:paraId="12391568">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开挖时应尽量避免对管基下原状土的扰动，机械开挖时不准超挖，要求人工清底。</w:t>
      </w:r>
    </w:p>
    <w:p w14:paraId="21F67F41">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4、沟槽回填</w:t>
      </w:r>
    </w:p>
    <w:p w14:paraId="7029ACC2">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（1）本项目管道沟槽回填应按大样图回填，未尽事宜按《给水排水管道工程施工及验收规范》（GB50268-2008）相关要求执行。</w:t>
      </w:r>
    </w:p>
    <w:p w14:paraId="28DA2DEE">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（2）检查井周回填：检查井四周回填土夯实度不得小于同一位置的道路压实度，局部小部分无法压实部位可考虑采用C20 素混凝土填实。。</w:t>
      </w:r>
    </w:p>
    <w:p w14:paraId="0EEEC3AE">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5、雨污水管道和附属构筑物应保证其严密性，应进行闭水试验，防止污水外渗和地下水内渗。</w:t>
      </w:r>
    </w:p>
    <w:p w14:paraId="4BFA5150">
      <w:pPr>
        <w:keepNext w:val="0"/>
        <w:keepLines w:val="0"/>
        <w:pageBreakBefore w:val="0"/>
        <w:widowControl w:val="0"/>
        <w:kinsoku/>
        <w:wordWrap/>
        <w:overflowPunct/>
        <w:topLinePunct w:val="0"/>
        <w:autoSpaceDE/>
        <w:autoSpaceDN/>
        <w:bidi w:val="0"/>
        <w:adjustRightInd/>
        <w:snapToGrid/>
        <w:spacing w:line="360" w:lineRule="auto"/>
        <w:ind w:firstLine="532" w:firstLineChars="200"/>
        <w:textAlignment w:val="auto"/>
        <w:outlineLvl w:val="9"/>
        <w:rPr>
          <w:rFonts w:hint="eastAsia" w:ascii="仿宋" w:hAnsi="仿宋" w:eastAsia="仿宋" w:cs="仿宋"/>
          <w:color w:val="FF0000"/>
          <w:sz w:val="28"/>
          <w:szCs w:val="28"/>
          <w:lang w:val="en-US" w:eastAsia="zh-CN"/>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6、排水和给水检查井井盖采用各专业井盖，并注明管线类型，生产厂家和产品编号不得出现在正面位置，要求在其他位置标注清楚。井盖井座材质为市政专用防盗球墨铸铁井盖井座，井盖及盖座应具备防震、防盗、防坠、防异响、防沉降等“五防”功能，产品质量应符合现行国家标准《检查井盖》GB/T23858。为保证市政设施的安全，井盖及箅子根据所处位置采用相应荷载等级的球墨铸铁材料，等级为D400，即其承载能力≥400KN，且检查井内安装高强度防护网。</w:t>
      </w:r>
      <w:r>
        <w:rPr>
          <w:rFonts w:hint="eastAsia" w:ascii="仿宋" w:hAnsi="仿宋" w:eastAsia="仿宋" w:cs="仿宋"/>
          <w:color w:val="000000" w:themeColor="text1"/>
          <w:sz w:val="28"/>
          <w:szCs w:val="28"/>
          <w:lang w:val="en-US" w:eastAsia="zh-CN"/>
          <w14:textFill>
            <w14:solidFill>
              <w14:schemeClr w14:val="tx1"/>
            </w14:solidFill>
          </w14:textFill>
        </w:rPr>
        <w:t>防坠网由尼龙绳编织而成，单根尼龙绳纵向承受拉力应大于120kg。尼龙网应每年春季更换，并定期检查，发现问题应及时更换。检查井盖安装方式可参见图集《球墨铸铁单层井盖及踏步施工》（14S501-1）。在路面或人行道上井盖顶面与实际路面平齐，在绿化带内的检查井，其顶面应高出地面0.20m，且严禁井盖上覆土或绿化遮挡。</w:t>
      </w:r>
    </w:p>
    <w:p w14:paraId="46629750">
      <w:pPr>
        <w:pStyle w:val="16"/>
        <w:widowControl/>
        <w:spacing w:line="360" w:lineRule="auto"/>
        <w:ind w:firstLine="478" w:firstLineChars="171"/>
        <w:jc w:val="left"/>
        <w:outlineLvl w:val="9"/>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7、给排水构筑物防水混凝土抗渗等级为P8，防水混凝土强度等级为C35，砖砌体强度等级不低于MU15，砖砌体不得采用粘土烧结砖。</w:t>
      </w:r>
    </w:p>
    <w:p w14:paraId="25C7806B">
      <w:pPr>
        <w:pStyle w:val="16"/>
        <w:widowControl/>
        <w:spacing w:line="360" w:lineRule="auto"/>
        <w:ind w:firstLine="454" w:firstLineChars="171"/>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8、当地区整体改建时，对于相同的设计重现期，改建后的径流量不得超过原有径流量。</w:t>
      </w:r>
    </w:p>
    <w:p w14:paraId="7EEECF60">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9、</w:t>
      </w:r>
      <w:r>
        <w:rPr>
          <w:rFonts w:hint="eastAsia" w:ascii="仿宋" w:hAnsi="仿宋" w:eastAsia="仿宋" w:cs="仿宋"/>
          <w:color w:val="000000" w:themeColor="text1"/>
          <w:w w:val="95"/>
          <w:sz w:val="28"/>
          <w:szCs w:val="28"/>
          <w:lang w:val="en-US" w:eastAsia="zh-CN"/>
          <w14:textFill>
            <w14:solidFill>
              <w14:schemeClr w14:val="tx1"/>
            </w14:solidFill>
          </w14:textFill>
        </w:rPr>
        <w:t>设计要求管道基础及管道附属构筑物下的地基承载力应大于等于100Kpa，</w:t>
      </w: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对地基松软或不均匀沉降地段，管道基础应采取加固措施。当管道基础位于淤泥、淤泥质土等软土地基时，如厚度小于0.5m，继续开挖至满足要求的持力层，超挖部分采用粒径小于40mm的碎石并拌合粗砂分层压实整平至基底高程，每层虚铺厚度不得大于0.2m，压实至承载力达标；如厚度大于0.5m，先清除0.5m不良土层并对0.5m以下部分的软土进行抛石挤淤，处理至该土层稳定后，采用粒径小于40mm的碎石并拌合粗砂分层压实整平至基底高程，每层虚铺厚度不得大于0.2m，压实至承载力达标。</w:t>
      </w:r>
    </w:p>
    <w:p w14:paraId="7C34E4D8">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10、圆形管道应按《室外给水排水和燃气热力工程抗震设计规范》 10.3.3条构造要求施工。</w:t>
      </w:r>
    </w:p>
    <w:p w14:paraId="68B854A1">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11、污水管道、合流管道与生活给水管道相交时，应敷设在生活给水管道的下面。</w:t>
      </w:r>
    </w:p>
    <w:p w14:paraId="4A0AA4DE">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12、新建管道与其它管道相交时，如上下层管道净距不足20cm，可在管道间垫沥青木板分散管道交叉处压力，木板尺寸依实际情况确定。管道交叉冲突时，根据有压让无压、小管让大管的原则进行调整，管道接口应避开交叉处。</w:t>
      </w:r>
    </w:p>
    <w:p w14:paraId="7275B2E9">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13、雨水口管在雨水口侧墙外300mm范围采用应满包加固。</w:t>
      </w:r>
    </w:p>
    <w:p w14:paraId="7B11542C">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14、无障碍通道上有井盖、箅子时，井盖、箅子孔洞的宽度或直径不应大于13mm，条状孔洞应垂直于通行方向，设计补充。</w:t>
      </w:r>
    </w:p>
    <w:p w14:paraId="1AFDC672">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15、未尽事宜，严格按照《给水排水管道工程施工及验收规范》（GB 50268-2008）、《埋地塑料排水管道工程技术规程》(CJJ 143-2016)及国家现行相关规范标准执行。</w:t>
      </w:r>
    </w:p>
    <w:p w14:paraId="16E5CC65">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95" w:name="_Toc31303"/>
      <w:r>
        <w:rPr>
          <w:rFonts w:hint="eastAsia" w:ascii="仿宋" w:hAnsi="仿宋" w:eastAsia="仿宋" w:cs="仿宋"/>
          <w:b/>
          <w:bCs/>
          <w:color w:val="auto"/>
          <w:sz w:val="28"/>
          <w:szCs w:val="28"/>
          <w:lang w:val="en-US" w:eastAsia="zh-CN"/>
        </w:rPr>
        <w:t>4.20 道路工程</w:t>
      </w:r>
      <w:bookmarkEnd w:id="95"/>
    </w:p>
    <w:p w14:paraId="4FCA4B5E">
      <w:pPr>
        <w:keepNext w:val="0"/>
        <w:keepLines w:val="0"/>
        <w:widowControl/>
        <w:suppressLineNumbers w:val="0"/>
        <w:jc w:val="left"/>
        <w:rPr>
          <w:rFonts w:hint="eastAsia" w:ascii="仿宋" w:hAnsi="仿宋" w:eastAsia="仿宋" w:cs="仿宋"/>
          <w:b/>
          <w:bCs/>
          <w:color w:val="auto"/>
          <w:kern w:val="2"/>
          <w:sz w:val="28"/>
          <w:szCs w:val="28"/>
          <w:lang w:val="en-US" w:eastAsia="zh-CN" w:bidi="ar-SA"/>
        </w:rPr>
      </w:pPr>
      <w:r>
        <w:rPr>
          <w:rFonts w:hint="eastAsia" w:ascii="仿宋" w:hAnsi="仿宋" w:eastAsia="仿宋" w:cs="仿宋"/>
          <w:b/>
          <w:bCs/>
          <w:color w:val="auto"/>
          <w:kern w:val="2"/>
          <w:sz w:val="28"/>
          <w:szCs w:val="28"/>
          <w:lang w:val="en-US" w:eastAsia="zh-CN" w:bidi="ar-SA"/>
        </w:rPr>
        <w:t xml:space="preserve">4.20.1 工程概况 </w:t>
      </w:r>
    </w:p>
    <w:p w14:paraId="4D73B2A6">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1 工程概述 </w:t>
      </w:r>
    </w:p>
    <w:p w14:paraId="76A7AD3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次对红盾新村、大桥新城、廖家小区、金凤桥办事处梅子柿社区、西塘镇西塘社区、瓦子坡临时路因排水改造损坏的小区内部道路、临时便道进行恢复。本次主要改造内容包括：路面加铺沥青、路面破损修复、交通标线等基础配套设施工程。</w:t>
      </w:r>
    </w:p>
    <w:p w14:paraId="72B244C0">
      <w:pPr>
        <w:keepNext w:val="0"/>
        <w:keepLines w:val="0"/>
        <w:widowControl/>
        <w:suppressLineNumbers w:val="0"/>
        <w:jc w:val="left"/>
        <w:rPr>
          <w:rFonts w:hint="eastAsia" w:ascii="仿宋" w:hAnsi="仿宋" w:eastAsia="仿宋" w:cs="仿宋"/>
          <w:b/>
          <w:bCs/>
          <w:color w:val="auto"/>
          <w:kern w:val="2"/>
          <w:sz w:val="28"/>
          <w:szCs w:val="28"/>
          <w:lang w:val="en-US" w:eastAsia="zh-CN" w:bidi="ar-SA"/>
        </w:rPr>
      </w:pPr>
      <w:r>
        <w:rPr>
          <w:rFonts w:hint="eastAsia" w:ascii="仿宋" w:hAnsi="仿宋" w:eastAsia="仿宋" w:cs="仿宋"/>
          <w:b/>
          <w:bCs/>
          <w:color w:val="auto"/>
          <w:kern w:val="2"/>
          <w:sz w:val="28"/>
          <w:szCs w:val="28"/>
          <w:lang w:val="en-US" w:eastAsia="zh-CN" w:bidi="ar-SA"/>
        </w:rPr>
        <w:t>4.20.2 主要设计依据、设计规范及施工验收规程</w:t>
      </w:r>
    </w:p>
    <w:p w14:paraId="400C050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1、《城市道路交通工程项目规范》GB55011-2021 </w:t>
      </w:r>
    </w:p>
    <w:p w14:paraId="444A17E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2、《城市道路路基设计规范》CJJ194-2013 </w:t>
      </w:r>
    </w:p>
    <w:p w14:paraId="08E3F39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3、《城市道路工程设计规范》CJJ37-2012(2016 年版) </w:t>
      </w:r>
    </w:p>
    <w:p w14:paraId="5EFEC95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4、《城镇道路路面设计规范》CJJ169-2012</w:t>
      </w:r>
    </w:p>
    <w:p w14:paraId="5FBCDAC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5、《城市道路路线设计规范》CJJ193-2012 </w:t>
      </w:r>
    </w:p>
    <w:p w14:paraId="71D91F5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6、《城镇道路工程施工与质量验收规范》CJJ1-2008 </w:t>
      </w:r>
    </w:p>
    <w:p w14:paraId="249F32F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7、《市政公用工程设计文件编制深度规定(2025 年版）》 </w:t>
      </w:r>
    </w:p>
    <w:p w14:paraId="6B0C25C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8、《工程建设标准强制性条文（城镇建设部分）》（2013 年版） </w:t>
      </w:r>
    </w:p>
    <w:p w14:paraId="51A2D34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9、《环境卫生设施设置标准》CJJ27-2012 </w:t>
      </w:r>
    </w:p>
    <w:p w14:paraId="4E550D3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10、《公路沥青路面施工技术规范》JTG F40-2004 </w:t>
      </w:r>
    </w:p>
    <w:p w14:paraId="2B5FC4F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11、《混凝土结构设计规范》GB50010-2010 </w:t>
      </w:r>
    </w:p>
    <w:p w14:paraId="2BCE49E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12、《建筑结构荷载规范》GB50009-2012 </w:t>
      </w:r>
    </w:p>
    <w:p w14:paraId="7868CCC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13、《砌体工程施工质量验收规范》GB50203-2011 </w:t>
      </w:r>
    </w:p>
    <w:p w14:paraId="2EF4B27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14、《砌体结构设计规范》GB50003-2011 </w:t>
      </w:r>
    </w:p>
    <w:p w14:paraId="4B522C9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15、《钢筋焊接及验收规程》JGJ18-2012 </w:t>
      </w:r>
    </w:p>
    <w:p w14:paraId="53096DA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16、其他相关设计规范及规程。</w:t>
      </w:r>
    </w:p>
    <w:p w14:paraId="0FAD3B1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技术标准及设计技术指标</w:t>
      </w:r>
    </w:p>
    <w:p w14:paraId="67C8BB3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路面设计标准轴载:BZZ-100;</w:t>
      </w:r>
    </w:p>
    <w:p w14:paraId="35A316B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设计荷载:城-B级;路面结构类型:沥青混凝土;</w:t>
      </w:r>
    </w:p>
    <w:p w14:paraId="1AE5D53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路面结构设计年限:15年:</w:t>
      </w:r>
    </w:p>
    <w:p w14:paraId="394CB04A">
      <w:pPr>
        <w:bidi w:val="0"/>
        <w:jc w:val="center"/>
        <w:rPr>
          <w:rFonts w:hint="eastAsia"/>
          <w:b/>
          <w:bCs/>
        </w:rPr>
      </w:pPr>
      <w:r>
        <w:rPr>
          <w:rFonts w:hint="eastAsia"/>
          <w:b/>
          <w:bCs/>
          <w:lang w:val="en-US" w:eastAsia="zh-CN"/>
        </w:rPr>
        <w:t>瓦子坡路</w:t>
      </w:r>
      <w:r>
        <w:rPr>
          <w:rFonts w:hint="eastAsia"/>
          <w:b/>
          <w:bCs/>
        </w:rPr>
        <w:t xml:space="preserve"> 主要技术指标表</w:t>
      </w:r>
    </w:p>
    <w:tbl>
      <w:tblPr>
        <w:tblStyle w:val="19"/>
        <w:tblW w:w="5053" w:type="pct"/>
        <w:jc w:val="center"/>
        <w:tblLayout w:type="autofit"/>
        <w:tblCellMar>
          <w:top w:w="0" w:type="dxa"/>
          <w:left w:w="0" w:type="dxa"/>
          <w:bottom w:w="0" w:type="dxa"/>
          <w:right w:w="0" w:type="dxa"/>
        </w:tblCellMar>
      </w:tblPr>
      <w:tblGrid>
        <w:gridCol w:w="943"/>
        <w:gridCol w:w="1850"/>
        <w:gridCol w:w="937"/>
        <w:gridCol w:w="4376"/>
        <w:gridCol w:w="2123"/>
      </w:tblGrid>
      <w:tr w14:paraId="326BA818">
        <w:tblPrEx>
          <w:tblCellMar>
            <w:top w:w="0" w:type="dxa"/>
            <w:left w:w="0" w:type="dxa"/>
            <w:bottom w:w="0" w:type="dxa"/>
            <w:right w:w="0" w:type="dxa"/>
          </w:tblCellMar>
        </w:tblPrEx>
        <w:trPr>
          <w:trHeight w:val="363" w:hRule="exact"/>
          <w:jc w:val="center"/>
        </w:trPr>
        <w:tc>
          <w:tcPr>
            <w:tcW w:w="461" w:type="pct"/>
            <w:vMerge w:val="restart"/>
            <w:tcBorders>
              <w:top w:val="single" w:color="000000" w:sz="12" w:space="0"/>
              <w:left w:val="single" w:color="000000" w:sz="12" w:space="0"/>
              <w:right w:val="single" w:color="000000" w:sz="4" w:space="0"/>
            </w:tcBorders>
            <w:vAlign w:val="center"/>
          </w:tcPr>
          <w:p w14:paraId="05C8642B">
            <w:pPr>
              <w:bidi w:val="0"/>
              <w:ind w:left="0" w:leftChars="0" w:firstLine="0" w:firstLineChars="0"/>
              <w:jc w:val="center"/>
              <w:rPr>
                <w:rFonts w:hint="eastAsia"/>
              </w:rPr>
            </w:pPr>
            <w:r>
              <w:rPr>
                <w:rFonts w:hint="eastAsia"/>
              </w:rPr>
              <w:t>序号</w:t>
            </w:r>
          </w:p>
        </w:tc>
        <w:tc>
          <w:tcPr>
            <w:tcW w:w="904" w:type="pct"/>
            <w:vMerge w:val="restart"/>
            <w:tcBorders>
              <w:top w:val="single" w:color="000000" w:sz="12" w:space="0"/>
              <w:left w:val="single" w:color="000000" w:sz="4" w:space="0"/>
              <w:right w:val="single" w:color="000000" w:sz="4" w:space="0"/>
            </w:tcBorders>
            <w:vAlign w:val="center"/>
          </w:tcPr>
          <w:p w14:paraId="42D278FB">
            <w:pPr>
              <w:bidi w:val="0"/>
              <w:ind w:left="0" w:leftChars="0" w:firstLine="0" w:firstLineChars="0"/>
              <w:jc w:val="center"/>
              <w:rPr>
                <w:rFonts w:hint="eastAsia"/>
              </w:rPr>
            </w:pPr>
            <w:r>
              <w:rPr>
                <w:rFonts w:hint="eastAsia"/>
              </w:rPr>
              <w:t>指标名称</w:t>
            </w:r>
          </w:p>
        </w:tc>
        <w:tc>
          <w:tcPr>
            <w:tcW w:w="458" w:type="pct"/>
            <w:vMerge w:val="restart"/>
            <w:tcBorders>
              <w:top w:val="single" w:color="000000" w:sz="12" w:space="0"/>
              <w:left w:val="single" w:color="000000" w:sz="4" w:space="0"/>
              <w:right w:val="single" w:color="000000" w:sz="4" w:space="0"/>
            </w:tcBorders>
            <w:vAlign w:val="center"/>
          </w:tcPr>
          <w:p w14:paraId="4DDA0FDF">
            <w:pPr>
              <w:bidi w:val="0"/>
              <w:ind w:left="0" w:leftChars="0" w:firstLine="0" w:firstLineChars="0"/>
              <w:jc w:val="center"/>
              <w:rPr>
                <w:rFonts w:hint="eastAsia"/>
              </w:rPr>
            </w:pPr>
            <w:r>
              <w:rPr>
                <w:rFonts w:hint="eastAsia"/>
              </w:rPr>
              <w:t>单位</w:t>
            </w:r>
          </w:p>
        </w:tc>
        <w:tc>
          <w:tcPr>
            <w:tcW w:w="2138" w:type="pct"/>
            <w:tcBorders>
              <w:top w:val="single" w:color="000000" w:sz="12" w:space="0"/>
              <w:left w:val="single" w:color="000000" w:sz="4" w:space="0"/>
              <w:bottom w:val="single" w:color="000000" w:sz="4" w:space="0"/>
              <w:right w:val="single" w:color="auto" w:sz="4" w:space="0"/>
            </w:tcBorders>
            <w:vAlign w:val="center"/>
          </w:tcPr>
          <w:p w14:paraId="32A66E4E">
            <w:pPr>
              <w:bidi w:val="0"/>
              <w:jc w:val="center"/>
              <w:rPr>
                <w:rFonts w:hint="eastAsia"/>
              </w:rPr>
            </w:pPr>
            <w:r>
              <w:rPr>
                <w:rFonts w:hint="eastAsia"/>
              </w:rPr>
              <w:t>技术指标</w:t>
            </w:r>
          </w:p>
        </w:tc>
        <w:tc>
          <w:tcPr>
            <w:tcW w:w="1037" w:type="pct"/>
            <w:tcBorders>
              <w:top w:val="single" w:color="auto" w:sz="4" w:space="0"/>
              <w:left w:val="single" w:color="auto" w:sz="4" w:space="0"/>
              <w:bottom w:val="single" w:color="auto" w:sz="4" w:space="0"/>
              <w:right w:val="single" w:color="auto" w:sz="4" w:space="0"/>
            </w:tcBorders>
            <w:vAlign w:val="center"/>
          </w:tcPr>
          <w:p w14:paraId="17138E2E">
            <w:pPr>
              <w:bidi w:val="0"/>
              <w:ind w:left="0" w:leftChars="0" w:firstLine="0" w:firstLineChars="0"/>
              <w:jc w:val="center"/>
              <w:rPr>
                <w:rFonts w:hint="eastAsia"/>
              </w:rPr>
            </w:pPr>
            <w:r>
              <w:rPr>
                <w:rFonts w:hint="eastAsia"/>
              </w:rPr>
              <w:t>备注</w:t>
            </w:r>
          </w:p>
        </w:tc>
      </w:tr>
      <w:tr w14:paraId="486DBC57">
        <w:tblPrEx>
          <w:tblCellMar>
            <w:top w:w="0" w:type="dxa"/>
            <w:left w:w="0" w:type="dxa"/>
            <w:bottom w:w="0" w:type="dxa"/>
            <w:right w:w="0" w:type="dxa"/>
          </w:tblCellMar>
        </w:tblPrEx>
        <w:trPr>
          <w:trHeight w:val="561" w:hRule="exact"/>
          <w:jc w:val="center"/>
        </w:trPr>
        <w:tc>
          <w:tcPr>
            <w:tcW w:w="461" w:type="pct"/>
            <w:vMerge w:val="continue"/>
            <w:tcBorders>
              <w:left w:val="single" w:color="000000" w:sz="12" w:space="0"/>
              <w:bottom w:val="single" w:color="000000" w:sz="4" w:space="0"/>
              <w:right w:val="single" w:color="000000" w:sz="4" w:space="0"/>
            </w:tcBorders>
            <w:vAlign w:val="center"/>
          </w:tcPr>
          <w:p w14:paraId="0418C128">
            <w:pPr>
              <w:bidi w:val="0"/>
              <w:jc w:val="center"/>
              <w:rPr>
                <w:rFonts w:hint="eastAsia"/>
              </w:rPr>
            </w:pPr>
          </w:p>
        </w:tc>
        <w:tc>
          <w:tcPr>
            <w:tcW w:w="904" w:type="pct"/>
            <w:vMerge w:val="continue"/>
            <w:tcBorders>
              <w:left w:val="single" w:color="000000" w:sz="4" w:space="0"/>
              <w:bottom w:val="single" w:color="000000" w:sz="4" w:space="0"/>
              <w:right w:val="single" w:color="000000" w:sz="4" w:space="0"/>
            </w:tcBorders>
            <w:vAlign w:val="center"/>
          </w:tcPr>
          <w:p w14:paraId="550625ED">
            <w:pPr>
              <w:bidi w:val="0"/>
              <w:jc w:val="center"/>
              <w:rPr>
                <w:rFonts w:hint="eastAsia"/>
              </w:rPr>
            </w:pPr>
          </w:p>
        </w:tc>
        <w:tc>
          <w:tcPr>
            <w:tcW w:w="458" w:type="pct"/>
            <w:vMerge w:val="continue"/>
            <w:tcBorders>
              <w:left w:val="single" w:color="000000" w:sz="4" w:space="0"/>
              <w:bottom w:val="single" w:color="000000" w:sz="4" w:space="0"/>
              <w:right w:val="single" w:color="000000" w:sz="4" w:space="0"/>
            </w:tcBorders>
            <w:vAlign w:val="center"/>
          </w:tcPr>
          <w:p w14:paraId="192C8344">
            <w:pPr>
              <w:bidi w:val="0"/>
              <w:jc w:val="center"/>
              <w:rPr>
                <w:rFonts w:hint="eastAsia"/>
              </w:rPr>
            </w:pPr>
          </w:p>
        </w:tc>
        <w:tc>
          <w:tcPr>
            <w:tcW w:w="2138" w:type="pct"/>
            <w:tcBorders>
              <w:top w:val="single" w:color="000000" w:sz="4" w:space="0"/>
              <w:left w:val="single" w:color="000000" w:sz="4" w:space="0"/>
              <w:bottom w:val="single" w:color="000000" w:sz="4" w:space="0"/>
              <w:right w:val="single" w:color="auto" w:sz="4" w:space="0"/>
            </w:tcBorders>
            <w:vAlign w:val="center"/>
          </w:tcPr>
          <w:p w14:paraId="6DA06AA5">
            <w:pPr>
              <w:bidi w:val="0"/>
              <w:ind w:left="0" w:leftChars="0" w:firstLine="0" w:firstLineChars="0"/>
              <w:jc w:val="center"/>
              <w:rPr>
                <w:rFonts w:hint="eastAsia" w:eastAsia="仿宋"/>
                <w:lang w:eastAsia="zh-CN"/>
              </w:rPr>
            </w:pPr>
            <w:r>
              <w:rPr>
                <w:rFonts w:hint="eastAsia"/>
                <w:lang w:eastAsia="zh-CN"/>
              </w:rPr>
              <w:t>瓦子坡路中段道路</w:t>
            </w:r>
          </w:p>
        </w:tc>
        <w:tc>
          <w:tcPr>
            <w:tcW w:w="1037" w:type="pct"/>
            <w:tcBorders>
              <w:top w:val="single" w:color="auto" w:sz="4" w:space="0"/>
              <w:left w:val="single" w:color="auto" w:sz="4" w:space="0"/>
              <w:bottom w:val="single" w:color="auto" w:sz="4" w:space="0"/>
              <w:right w:val="single" w:color="auto" w:sz="4" w:space="0"/>
            </w:tcBorders>
            <w:vAlign w:val="center"/>
          </w:tcPr>
          <w:p w14:paraId="19D39E31">
            <w:pPr>
              <w:bidi w:val="0"/>
              <w:jc w:val="center"/>
              <w:rPr>
                <w:rFonts w:hint="eastAsia"/>
              </w:rPr>
            </w:pPr>
          </w:p>
        </w:tc>
      </w:tr>
      <w:tr w14:paraId="3A44E52C">
        <w:tblPrEx>
          <w:tblCellMar>
            <w:top w:w="0" w:type="dxa"/>
            <w:left w:w="0" w:type="dxa"/>
            <w:bottom w:w="0" w:type="dxa"/>
            <w:right w:w="0" w:type="dxa"/>
          </w:tblCellMar>
        </w:tblPrEx>
        <w:trPr>
          <w:trHeight w:val="431" w:hRule="exact"/>
          <w:jc w:val="center"/>
        </w:trPr>
        <w:tc>
          <w:tcPr>
            <w:tcW w:w="461" w:type="pct"/>
            <w:tcBorders>
              <w:top w:val="single" w:color="000000" w:sz="4" w:space="0"/>
              <w:left w:val="single" w:color="000000" w:sz="12" w:space="0"/>
              <w:bottom w:val="single" w:color="000000" w:sz="4" w:space="0"/>
              <w:right w:val="single" w:color="000000" w:sz="4" w:space="0"/>
            </w:tcBorders>
            <w:vAlign w:val="center"/>
          </w:tcPr>
          <w:p w14:paraId="686CFC0C">
            <w:pPr>
              <w:bidi w:val="0"/>
              <w:ind w:left="0" w:leftChars="0" w:firstLine="0" w:firstLineChars="0"/>
              <w:jc w:val="center"/>
              <w:rPr>
                <w:rFonts w:hint="eastAsia"/>
              </w:rPr>
            </w:pPr>
            <w:r>
              <w:rPr>
                <w:rFonts w:hint="eastAsia"/>
              </w:rPr>
              <w:t>1</w:t>
            </w:r>
          </w:p>
        </w:tc>
        <w:tc>
          <w:tcPr>
            <w:tcW w:w="904" w:type="pct"/>
            <w:tcBorders>
              <w:top w:val="single" w:color="000000" w:sz="4" w:space="0"/>
              <w:left w:val="single" w:color="000000" w:sz="4" w:space="0"/>
              <w:bottom w:val="single" w:color="000000" w:sz="4" w:space="0"/>
              <w:right w:val="single" w:color="000000" w:sz="4" w:space="0"/>
            </w:tcBorders>
            <w:vAlign w:val="center"/>
          </w:tcPr>
          <w:p w14:paraId="76822352">
            <w:pPr>
              <w:bidi w:val="0"/>
              <w:ind w:left="0" w:leftChars="0" w:firstLine="0" w:firstLineChars="0"/>
              <w:jc w:val="center"/>
              <w:rPr>
                <w:rFonts w:hint="eastAsia"/>
              </w:rPr>
            </w:pPr>
            <w:r>
              <w:rPr>
                <w:rFonts w:hint="eastAsia"/>
              </w:rPr>
              <w:t>道路等级</w:t>
            </w:r>
          </w:p>
        </w:tc>
        <w:tc>
          <w:tcPr>
            <w:tcW w:w="458" w:type="pct"/>
            <w:tcBorders>
              <w:top w:val="single" w:color="000000" w:sz="4" w:space="0"/>
              <w:left w:val="single" w:color="000000" w:sz="4" w:space="0"/>
              <w:bottom w:val="single" w:color="000000" w:sz="4" w:space="0"/>
              <w:right w:val="single" w:color="000000" w:sz="4" w:space="0"/>
            </w:tcBorders>
            <w:vAlign w:val="center"/>
          </w:tcPr>
          <w:p w14:paraId="16809B44">
            <w:pPr>
              <w:bidi w:val="0"/>
              <w:ind w:left="0" w:leftChars="0" w:firstLine="0" w:firstLineChars="0"/>
              <w:jc w:val="center"/>
              <w:rPr>
                <w:rFonts w:hint="eastAsia"/>
              </w:rPr>
            </w:pPr>
            <w:r>
              <w:rPr>
                <w:rFonts w:hint="eastAsia"/>
              </w:rPr>
              <w:t>—</w:t>
            </w:r>
          </w:p>
        </w:tc>
        <w:tc>
          <w:tcPr>
            <w:tcW w:w="2138" w:type="pct"/>
            <w:tcBorders>
              <w:top w:val="single" w:color="000000" w:sz="4" w:space="0"/>
              <w:left w:val="single" w:color="000000" w:sz="4" w:space="0"/>
              <w:bottom w:val="single" w:color="000000" w:sz="4" w:space="0"/>
              <w:right w:val="single" w:color="000000" w:sz="4" w:space="0"/>
            </w:tcBorders>
            <w:vAlign w:val="center"/>
          </w:tcPr>
          <w:p w14:paraId="3311C78F">
            <w:pPr>
              <w:bidi w:val="0"/>
              <w:ind w:left="0" w:leftChars="0" w:firstLine="0" w:firstLineChars="0"/>
              <w:jc w:val="center"/>
              <w:rPr>
                <w:rFonts w:hint="eastAsia"/>
              </w:rPr>
            </w:pPr>
            <w:r>
              <w:rPr>
                <w:rFonts w:hint="eastAsia"/>
              </w:rPr>
              <w:t>城市</w:t>
            </w:r>
            <w:r>
              <w:rPr>
                <w:rFonts w:hint="eastAsia"/>
                <w:lang w:eastAsia="zh-CN"/>
              </w:rPr>
              <w:t>次</w:t>
            </w:r>
            <w:r>
              <w:rPr>
                <w:rFonts w:hint="eastAsia"/>
              </w:rPr>
              <w:t>干路</w:t>
            </w:r>
          </w:p>
        </w:tc>
        <w:tc>
          <w:tcPr>
            <w:tcW w:w="1037" w:type="pct"/>
            <w:tcBorders>
              <w:top w:val="single" w:color="auto" w:sz="4" w:space="0"/>
              <w:left w:val="single" w:color="000000" w:sz="4" w:space="0"/>
              <w:bottom w:val="single" w:color="000000" w:sz="4" w:space="0"/>
              <w:right w:val="single" w:color="000000" w:sz="12" w:space="0"/>
            </w:tcBorders>
            <w:vAlign w:val="center"/>
          </w:tcPr>
          <w:p w14:paraId="1DF14616">
            <w:pPr>
              <w:bidi w:val="0"/>
              <w:jc w:val="center"/>
              <w:rPr>
                <w:rFonts w:hint="eastAsia"/>
              </w:rPr>
            </w:pPr>
          </w:p>
        </w:tc>
      </w:tr>
      <w:tr w14:paraId="7DB98599">
        <w:tblPrEx>
          <w:tblCellMar>
            <w:top w:w="0" w:type="dxa"/>
            <w:left w:w="0" w:type="dxa"/>
            <w:bottom w:w="0" w:type="dxa"/>
            <w:right w:w="0" w:type="dxa"/>
          </w:tblCellMar>
        </w:tblPrEx>
        <w:trPr>
          <w:trHeight w:val="431" w:hRule="exact"/>
          <w:jc w:val="center"/>
        </w:trPr>
        <w:tc>
          <w:tcPr>
            <w:tcW w:w="461" w:type="pct"/>
            <w:tcBorders>
              <w:top w:val="single" w:color="000000" w:sz="4" w:space="0"/>
              <w:left w:val="single" w:color="000000" w:sz="12" w:space="0"/>
              <w:bottom w:val="single" w:color="000000" w:sz="4" w:space="0"/>
              <w:right w:val="single" w:color="000000" w:sz="4" w:space="0"/>
            </w:tcBorders>
            <w:vAlign w:val="center"/>
          </w:tcPr>
          <w:p w14:paraId="28042EE9">
            <w:pPr>
              <w:bidi w:val="0"/>
              <w:ind w:left="0" w:leftChars="0" w:firstLine="0" w:firstLineChars="0"/>
              <w:jc w:val="center"/>
              <w:rPr>
                <w:rFonts w:hint="eastAsia"/>
              </w:rPr>
            </w:pPr>
            <w:r>
              <w:rPr>
                <w:rFonts w:hint="eastAsia"/>
              </w:rPr>
              <w:t>2</w:t>
            </w:r>
          </w:p>
        </w:tc>
        <w:tc>
          <w:tcPr>
            <w:tcW w:w="904" w:type="pct"/>
            <w:tcBorders>
              <w:top w:val="single" w:color="000000" w:sz="4" w:space="0"/>
              <w:left w:val="single" w:color="000000" w:sz="4" w:space="0"/>
              <w:bottom w:val="single" w:color="000000" w:sz="4" w:space="0"/>
              <w:right w:val="single" w:color="000000" w:sz="4" w:space="0"/>
            </w:tcBorders>
            <w:vAlign w:val="center"/>
          </w:tcPr>
          <w:p w14:paraId="5012E920">
            <w:pPr>
              <w:bidi w:val="0"/>
              <w:ind w:left="0" w:leftChars="0" w:firstLine="0" w:firstLineChars="0"/>
              <w:jc w:val="center"/>
              <w:rPr>
                <w:rFonts w:hint="eastAsia"/>
              </w:rPr>
            </w:pPr>
            <w:r>
              <w:rPr>
                <w:rFonts w:hint="eastAsia"/>
              </w:rPr>
              <w:t>设计速度</w:t>
            </w:r>
          </w:p>
        </w:tc>
        <w:tc>
          <w:tcPr>
            <w:tcW w:w="458" w:type="pct"/>
            <w:tcBorders>
              <w:top w:val="single" w:color="000000" w:sz="4" w:space="0"/>
              <w:left w:val="single" w:color="000000" w:sz="4" w:space="0"/>
              <w:bottom w:val="single" w:color="000000" w:sz="4" w:space="0"/>
              <w:right w:val="single" w:color="000000" w:sz="4" w:space="0"/>
            </w:tcBorders>
            <w:vAlign w:val="center"/>
          </w:tcPr>
          <w:p w14:paraId="0EFF8078">
            <w:pPr>
              <w:bidi w:val="0"/>
              <w:ind w:left="0" w:leftChars="0" w:firstLine="0" w:firstLineChars="0"/>
              <w:jc w:val="center"/>
              <w:rPr>
                <w:rFonts w:hint="eastAsia"/>
              </w:rPr>
            </w:pPr>
            <w:r>
              <w:rPr>
                <w:rFonts w:hint="eastAsia"/>
              </w:rPr>
              <w:t>km/h</w:t>
            </w:r>
          </w:p>
        </w:tc>
        <w:tc>
          <w:tcPr>
            <w:tcW w:w="2138" w:type="pct"/>
            <w:tcBorders>
              <w:top w:val="single" w:color="000000" w:sz="4" w:space="0"/>
              <w:left w:val="single" w:color="000000" w:sz="4" w:space="0"/>
              <w:bottom w:val="single" w:color="000000" w:sz="4" w:space="0"/>
              <w:right w:val="single" w:color="000000" w:sz="4" w:space="0"/>
            </w:tcBorders>
            <w:vAlign w:val="center"/>
          </w:tcPr>
          <w:p w14:paraId="36C70A6F">
            <w:pPr>
              <w:bidi w:val="0"/>
              <w:ind w:left="0" w:leftChars="0" w:firstLine="0" w:firstLineChars="0"/>
              <w:jc w:val="center"/>
              <w:rPr>
                <w:rFonts w:hint="eastAsia"/>
              </w:rPr>
            </w:pPr>
            <w:r>
              <w:rPr>
                <w:rFonts w:hint="eastAsia"/>
                <w:lang w:val="en-US" w:eastAsia="zh-CN"/>
              </w:rPr>
              <w:t>3</w:t>
            </w:r>
            <w:r>
              <w:rPr>
                <w:rFonts w:hint="eastAsia"/>
              </w:rPr>
              <w:t>0</w:t>
            </w:r>
          </w:p>
        </w:tc>
        <w:tc>
          <w:tcPr>
            <w:tcW w:w="1037" w:type="pct"/>
            <w:tcBorders>
              <w:top w:val="single" w:color="000000" w:sz="4" w:space="0"/>
              <w:left w:val="single" w:color="000000" w:sz="4" w:space="0"/>
              <w:bottom w:val="single" w:color="000000" w:sz="4" w:space="0"/>
              <w:right w:val="single" w:color="000000" w:sz="12" w:space="0"/>
            </w:tcBorders>
            <w:vAlign w:val="center"/>
          </w:tcPr>
          <w:p w14:paraId="3C7248FC">
            <w:pPr>
              <w:bidi w:val="0"/>
              <w:jc w:val="center"/>
              <w:rPr>
                <w:rFonts w:hint="eastAsia"/>
              </w:rPr>
            </w:pPr>
          </w:p>
        </w:tc>
      </w:tr>
      <w:tr w14:paraId="456A13F8">
        <w:tblPrEx>
          <w:tblCellMar>
            <w:top w:w="0" w:type="dxa"/>
            <w:left w:w="0" w:type="dxa"/>
            <w:bottom w:w="0" w:type="dxa"/>
            <w:right w:w="0" w:type="dxa"/>
          </w:tblCellMar>
        </w:tblPrEx>
        <w:trPr>
          <w:trHeight w:val="431" w:hRule="exact"/>
          <w:jc w:val="center"/>
        </w:trPr>
        <w:tc>
          <w:tcPr>
            <w:tcW w:w="461" w:type="pct"/>
            <w:tcBorders>
              <w:top w:val="single" w:color="000000" w:sz="4" w:space="0"/>
              <w:left w:val="single" w:color="000000" w:sz="12" w:space="0"/>
              <w:bottom w:val="single" w:color="000000" w:sz="4" w:space="0"/>
              <w:right w:val="single" w:color="000000" w:sz="4" w:space="0"/>
            </w:tcBorders>
            <w:vAlign w:val="center"/>
          </w:tcPr>
          <w:p w14:paraId="62590595">
            <w:pPr>
              <w:bidi w:val="0"/>
              <w:ind w:left="0" w:leftChars="0" w:firstLine="0" w:firstLineChars="0"/>
              <w:jc w:val="center"/>
              <w:rPr>
                <w:rFonts w:hint="eastAsia"/>
                <w:lang w:val="en-US" w:eastAsia="en-US"/>
              </w:rPr>
            </w:pPr>
            <w:r>
              <w:rPr>
                <w:rFonts w:hint="eastAsia"/>
              </w:rPr>
              <w:t>3</w:t>
            </w:r>
          </w:p>
        </w:tc>
        <w:tc>
          <w:tcPr>
            <w:tcW w:w="904" w:type="pct"/>
            <w:tcBorders>
              <w:top w:val="single" w:color="000000" w:sz="4" w:space="0"/>
              <w:left w:val="single" w:color="000000" w:sz="4" w:space="0"/>
              <w:bottom w:val="single" w:color="000000" w:sz="4" w:space="0"/>
              <w:right w:val="single" w:color="000000" w:sz="4" w:space="0"/>
            </w:tcBorders>
            <w:vAlign w:val="center"/>
          </w:tcPr>
          <w:p w14:paraId="738405D9">
            <w:pPr>
              <w:bidi w:val="0"/>
              <w:ind w:left="0" w:leftChars="0" w:firstLine="0" w:firstLineChars="0"/>
              <w:jc w:val="center"/>
              <w:rPr>
                <w:rFonts w:hint="eastAsia"/>
                <w:lang w:val="en-US" w:eastAsia="en-US"/>
              </w:rPr>
            </w:pPr>
            <w:r>
              <w:rPr>
                <w:rFonts w:hint="eastAsia"/>
              </w:rPr>
              <w:t>路线长度</w:t>
            </w:r>
          </w:p>
        </w:tc>
        <w:tc>
          <w:tcPr>
            <w:tcW w:w="458" w:type="pct"/>
            <w:tcBorders>
              <w:top w:val="single" w:color="000000" w:sz="4" w:space="0"/>
              <w:left w:val="single" w:color="000000" w:sz="4" w:space="0"/>
              <w:bottom w:val="single" w:color="000000" w:sz="4" w:space="0"/>
              <w:right w:val="single" w:color="000000" w:sz="4" w:space="0"/>
            </w:tcBorders>
            <w:vAlign w:val="center"/>
          </w:tcPr>
          <w:p w14:paraId="59082C59">
            <w:pPr>
              <w:bidi w:val="0"/>
              <w:ind w:left="0" w:leftChars="0" w:firstLine="0" w:firstLineChars="0"/>
              <w:jc w:val="center"/>
              <w:rPr>
                <w:rFonts w:hint="eastAsia"/>
                <w:lang w:val="en-US" w:eastAsia="en-US"/>
              </w:rPr>
            </w:pPr>
            <w:r>
              <w:rPr>
                <w:rFonts w:hint="eastAsia"/>
              </w:rPr>
              <w:t>km</w:t>
            </w:r>
          </w:p>
        </w:tc>
        <w:tc>
          <w:tcPr>
            <w:tcW w:w="2138" w:type="pct"/>
            <w:tcBorders>
              <w:top w:val="single" w:color="000000" w:sz="4" w:space="0"/>
              <w:left w:val="single" w:color="000000" w:sz="4" w:space="0"/>
              <w:bottom w:val="single" w:color="000000" w:sz="4" w:space="0"/>
              <w:right w:val="single" w:color="000000" w:sz="4" w:space="0"/>
            </w:tcBorders>
            <w:vAlign w:val="center"/>
          </w:tcPr>
          <w:p w14:paraId="3EFBB9C9">
            <w:pPr>
              <w:bidi w:val="0"/>
              <w:ind w:left="0" w:leftChars="0" w:firstLine="0" w:firstLineChars="0"/>
              <w:jc w:val="center"/>
              <w:rPr>
                <w:rFonts w:hint="default"/>
                <w:lang w:val="en-US" w:eastAsia="en-US"/>
              </w:rPr>
            </w:pPr>
            <w:r>
              <w:rPr>
                <w:rFonts w:hint="eastAsia"/>
              </w:rPr>
              <w:t>0.</w:t>
            </w:r>
            <w:r>
              <w:rPr>
                <w:rFonts w:hint="eastAsia"/>
                <w:lang w:val="en-US" w:eastAsia="zh-CN"/>
              </w:rPr>
              <w:t>26</w:t>
            </w:r>
          </w:p>
        </w:tc>
        <w:tc>
          <w:tcPr>
            <w:tcW w:w="1037" w:type="pct"/>
            <w:tcBorders>
              <w:top w:val="single" w:color="000000" w:sz="4" w:space="0"/>
              <w:left w:val="single" w:color="000000" w:sz="4" w:space="0"/>
              <w:bottom w:val="single" w:color="000000" w:sz="4" w:space="0"/>
              <w:right w:val="single" w:color="000000" w:sz="12" w:space="0"/>
            </w:tcBorders>
            <w:vAlign w:val="center"/>
          </w:tcPr>
          <w:p w14:paraId="67B8AB9A">
            <w:pPr>
              <w:bidi w:val="0"/>
              <w:jc w:val="center"/>
              <w:rPr>
                <w:rFonts w:hint="eastAsia"/>
                <w:lang w:val="en-US" w:eastAsia="en-US"/>
              </w:rPr>
            </w:pPr>
          </w:p>
        </w:tc>
      </w:tr>
      <w:tr w14:paraId="350DCE1D">
        <w:tblPrEx>
          <w:tblCellMar>
            <w:top w:w="0" w:type="dxa"/>
            <w:left w:w="0" w:type="dxa"/>
            <w:bottom w:w="0" w:type="dxa"/>
            <w:right w:w="0" w:type="dxa"/>
          </w:tblCellMar>
        </w:tblPrEx>
        <w:trPr>
          <w:trHeight w:val="431" w:hRule="exact"/>
          <w:jc w:val="center"/>
        </w:trPr>
        <w:tc>
          <w:tcPr>
            <w:tcW w:w="461" w:type="pct"/>
            <w:tcBorders>
              <w:top w:val="single" w:color="000000" w:sz="4" w:space="0"/>
              <w:left w:val="single" w:color="000000" w:sz="12" w:space="0"/>
              <w:bottom w:val="single" w:color="000000" w:sz="4" w:space="0"/>
              <w:right w:val="single" w:color="000000" w:sz="4" w:space="0"/>
            </w:tcBorders>
            <w:vAlign w:val="center"/>
          </w:tcPr>
          <w:p w14:paraId="048C4D6A">
            <w:pPr>
              <w:bidi w:val="0"/>
              <w:ind w:left="0" w:leftChars="0" w:firstLine="0" w:firstLineChars="0"/>
              <w:jc w:val="center"/>
              <w:rPr>
                <w:rFonts w:hint="eastAsia" w:ascii="仿宋" w:hAnsi="仿宋" w:eastAsia="仿宋" w:cs="仿宋"/>
                <w:sz w:val="24"/>
                <w:szCs w:val="22"/>
                <w:lang w:val="en-US" w:eastAsia="en-US" w:bidi="ar-SA"/>
              </w:rPr>
            </w:pPr>
            <w:r>
              <w:rPr>
                <w:rFonts w:hint="eastAsia"/>
              </w:rPr>
              <w:t>4</w:t>
            </w:r>
          </w:p>
        </w:tc>
        <w:tc>
          <w:tcPr>
            <w:tcW w:w="904" w:type="pct"/>
            <w:tcBorders>
              <w:top w:val="single" w:color="000000" w:sz="4" w:space="0"/>
              <w:left w:val="single" w:color="000000" w:sz="4" w:space="0"/>
              <w:bottom w:val="single" w:color="000000" w:sz="4" w:space="0"/>
              <w:right w:val="single" w:color="000000" w:sz="4" w:space="0"/>
            </w:tcBorders>
            <w:vAlign w:val="center"/>
          </w:tcPr>
          <w:p w14:paraId="424E71AD">
            <w:pPr>
              <w:bidi w:val="0"/>
              <w:ind w:left="0" w:leftChars="0" w:firstLine="0" w:firstLineChars="0"/>
              <w:jc w:val="center"/>
              <w:rPr>
                <w:rFonts w:hint="eastAsia" w:ascii="仿宋" w:hAnsi="仿宋" w:eastAsia="仿宋" w:cs="仿宋"/>
                <w:sz w:val="24"/>
                <w:szCs w:val="22"/>
                <w:lang w:val="en-US" w:eastAsia="en-US" w:bidi="ar-SA"/>
              </w:rPr>
            </w:pPr>
            <w:r>
              <w:rPr>
                <w:rFonts w:hint="eastAsia"/>
              </w:rPr>
              <w:t>道路宽度</w:t>
            </w:r>
          </w:p>
        </w:tc>
        <w:tc>
          <w:tcPr>
            <w:tcW w:w="458" w:type="pct"/>
            <w:tcBorders>
              <w:top w:val="single" w:color="000000" w:sz="4" w:space="0"/>
              <w:left w:val="single" w:color="000000" w:sz="4" w:space="0"/>
              <w:bottom w:val="single" w:color="000000" w:sz="4" w:space="0"/>
              <w:right w:val="single" w:color="000000" w:sz="4" w:space="0"/>
            </w:tcBorders>
            <w:vAlign w:val="center"/>
          </w:tcPr>
          <w:p w14:paraId="0FBBBA3A">
            <w:pPr>
              <w:bidi w:val="0"/>
              <w:ind w:left="0" w:leftChars="0" w:firstLine="0" w:firstLineChars="0"/>
              <w:jc w:val="center"/>
              <w:rPr>
                <w:rFonts w:hint="eastAsia" w:ascii="仿宋" w:hAnsi="仿宋" w:eastAsia="仿宋" w:cs="仿宋"/>
                <w:sz w:val="24"/>
                <w:szCs w:val="22"/>
                <w:lang w:val="en-US" w:eastAsia="en-US" w:bidi="ar-SA"/>
              </w:rPr>
            </w:pPr>
            <w:r>
              <w:rPr>
                <w:rFonts w:hint="eastAsia"/>
              </w:rPr>
              <w:t>m</w:t>
            </w:r>
          </w:p>
        </w:tc>
        <w:tc>
          <w:tcPr>
            <w:tcW w:w="2138" w:type="pct"/>
            <w:tcBorders>
              <w:top w:val="single" w:color="000000" w:sz="4" w:space="0"/>
              <w:left w:val="single" w:color="000000" w:sz="4" w:space="0"/>
              <w:bottom w:val="single" w:color="000000" w:sz="4" w:space="0"/>
              <w:right w:val="single" w:color="000000" w:sz="4" w:space="0"/>
            </w:tcBorders>
            <w:vAlign w:val="center"/>
          </w:tcPr>
          <w:p w14:paraId="61B72FE8">
            <w:pPr>
              <w:bidi w:val="0"/>
              <w:ind w:left="0" w:leftChars="0" w:firstLine="0" w:firstLineChars="0"/>
              <w:jc w:val="center"/>
              <w:rPr>
                <w:rFonts w:hint="default" w:ascii="仿宋" w:hAnsi="仿宋" w:eastAsia="仿宋" w:cs="仿宋"/>
                <w:sz w:val="24"/>
                <w:szCs w:val="22"/>
                <w:lang w:val="en-US" w:eastAsia="en-US" w:bidi="ar-SA"/>
              </w:rPr>
            </w:pPr>
            <w:r>
              <w:rPr>
                <w:rFonts w:hint="eastAsia"/>
                <w:lang w:val="en-US" w:eastAsia="zh-CN"/>
              </w:rPr>
              <w:t>35</w:t>
            </w:r>
          </w:p>
        </w:tc>
        <w:tc>
          <w:tcPr>
            <w:tcW w:w="1037" w:type="pct"/>
            <w:tcBorders>
              <w:top w:val="single" w:color="000000" w:sz="4" w:space="0"/>
              <w:left w:val="single" w:color="000000" w:sz="4" w:space="0"/>
              <w:bottom w:val="single" w:color="000000" w:sz="4" w:space="0"/>
              <w:right w:val="single" w:color="000000" w:sz="12" w:space="0"/>
            </w:tcBorders>
            <w:vAlign w:val="center"/>
          </w:tcPr>
          <w:p w14:paraId="0DDE122A">
            <w:pPr>
              <w:bidi w:val="0"/>
              <w:jc w:val="center"/>
              <w:rPr>
                <w:rFonts w:hint="eastAsia"/>
                <w:lang w:val="en-US" w:eastAsia="en-US"/>
              </w:rPr>
            </w:pPr>
          </w:p>
        </w:tc>
      </w:tr>
      <w:tr w14:paraId="74DBC3C4">
        <w:tblPrEx>
          <w:tblCellMar>
            <w:top w:w="0" w:type="dxa"/>
            <w:left w:w="0" w:type="dxa"/>
            <w:bottom w:w="0" w:type="dxa"/>
            <w:right w:w="0" w:type="dxa"/>
          </w:tblCellMar>
        </w:tblPrEx>
        <w:trPr>
          <w:trHeight w:val="431" w:hRule="exact"/>
          <w:jc w:val="center"/>
        </w:trPr>
        <w:tc>
          <w:tcPr>
            <w:tcW w:w="461" w:type="pct"/>
            <w:tcBorders>
              <w:top w:val="single" w:color="000000" w:sz="4" w:space="0"/>
              <w:left w:val="single" w:color="000000" w:sz="12" w:space="0"/>
              <w:bottom w:val="single" w:color="000000" w:sz="4" w:space="0"/>
              <w:right w:val="single" w:color="000000" w:sz="4" w:space="0"/>
            </w:tcBorders>
            <w:vAlign w:val="center"/>
          </w:tcPr>
          <w:p w14:paraId="6FF3964E">
            <w:pPr>
              <w:bidi w:val="0"/>
              <w:ind w:left="0" w:leftChars="0" w:firstLine="0" w:firstLineChars="0"/>
              <w:jc w:val="center"/>
              <w:rPr>
                <w:rFonts w:hint="eastAsia" w:ascii="仿宋" w:hAnsi="仿宋" w:eastAsia="仿宋" w:cs="仿宋"/>
                <w:sz w:val="24"/>
                <w:szCs w:val="22"/>
                <w:lang w:val="en-US" w:eastAsia="en-US" w:bidi="ar-SA"/>
              </w:rPr>
            </w:pPr>
            <w:r>
              <w:rPr>
                <w:rFonts w:hint="eastAsia"/>
              </w:rPr>
              <w:t>5</w:t>
            </w:r>
          </w:p>
        </w:tc>
        <w:tc>
          <w:tcPr>
            <w:tcW w:w="904" w:type="pct"/>
            <w:tcBorders>
              <w:top w:val="single" w:color="000000" w:sz="4" w:space="0"/>
              <w:left w:val="single" w:color="000000" w:sz="4" w:space="0"/>
              <w:bottom w:val="single" w:color="000000" w:sz="4" w:space="0"/>
              <w:right w:val="single" w:color="000000" w:sz="4" w:space="0"/>
            </w:tcBorders>
            <w:vAlign w:val="center"/>
          </w:tcPr>
          <w:p w14:paraId="7A1C48EB">
            <w:pPr>
              <w:bidi w:val="0"/>
              <w:ind w:left="0" w:leftChars="0" w:firstLine="0" w:firstLineChars="0"/>
              <w:jc w:val="center"/>
              <w:rPr>
                <w:rFonts w:hint="eastAsia" w:ascii="仿宋" w:hAnsi="仿宋" w:eastAsia="仿宋" w:cs="仿宋"/>
                <w:sz w:val="24"/>
                <w:szCs w:val="22"/>
                <w:lang w:val="en-US" w:eastAsia="en-US" w:bidi="ar-SA"/>
              </w:rPr>
            </w:pPr>
            <w:r>
              <w:rPr>
                <w:rFonts w:hint="eastAsia"/>
              </w:rPr>
              <w:t>基本车道数</w:t>
            </w:r>
          </w:p>
        </w:tc>
        <w:tc>
          <w:tcPr>
            <w:tcW w:w="458" w:type="pct"/>
            <w:tcBorders>
              <w:top w:val="single" w:color="000000" w:sz="4" w:space="0"/>
              <w:left w:val="single" w:color="000000" w:sz="4" w:space="0"/>
              <w:bottom w:val="single" w:color="000000" w:sz="4" w:space="0"/>
              <w:right w:val="single" w:color="000000" w:sz="4" w:space="0"/>
            </w:tcBorders>
            <w:vAlign w:val="center"/>
          </w:tcPr>
          <w:p w14:paraId="62DC7D5B">
            <w:pPr>
              <w:bidi w:val="0"/>
              <w:ind w:left="0" w:leftChars="0" w:firstLine="0" w:firstLineChars="0"/>
              <w:jc w:val="center"/>
              <w:rPr>
                <w:rFonts w:hint="eastAsia" w:ascii="仿宋" w:hAnsi="仿宋" w:eastAsia="仿宋" w:cs="仿宋"/>
                <w:sz w:val="24"/>
                <w:szCs w:val="22"/>
                <w:lang w:val="en-US" w:eastAsia="en-US" w:bidi="ar-SA"/>
              </w:rPr>
            </w:pPr>
            <w:r>
              <w:rPr>
                <w:rFonts w:hint="eastAsia"/>
              </w:rPr>
              <w:t>道</w:t>
            </w:r>
          </w:p>
        </w:tc>
        <w:tc>
          <w:tcPr>
            <w:tcW w:w="2138" w:type="pct"/>
            <w:tcBorders>
              <w:top w:val="single" w:color="000000" w:sz="4" w:space="0"/>
              <w:left w:val="single" w:color="000000" w:sz="4" w:space="0"/>
              <w:bottom w:val="single" w:color="000000" w:sz="4" w:space="0"/>
              <w:right w:val="single" w:color="000000" w:sz="4" w:space="0"/>
            </w:tcBorders>
            <w:vAlign w:val="center"/>
          </w:tcPr>
          <w:p w14:paraId="2552EBC2">
            <w:pPr>
              <w:bidi w:val="0"/>
              <w:ind w:left="0" w:leftChars="0" w:firstLine="0" w:firstLineChars="0"/>
              <w:jc w:val="center"/>
              <w:rPr>
                <w:rFonts w:hint="eastAsia" w:ascii="仿宋" w:hAnsi="仿宋" w:eastAsia="仿宋" w:cs="仿宋"/>
                <w:sz w:val="24"/>
                <w:szCs w:val="22"/>
                <w:lang w:val="en-US" w:eastAsia="zh-CN" w:bidi="ar-SA"/>
              </w:rPr>
            </w:pPr>
            <w:r>
              <w:rPr>
                <w:rFonts w:hint="eastAsia"/>
                <w:lang w:val="en-US" w:eastAsia="zh-CN"/>
              </w:rPr>
              <w:t>6</w:t>
            </w:r>
          </w:p>
        </w:tc>
        <w:tc>
          <w:tcPr>
            <w:tcW w:w="1037" w:type="pct"/>
            <w:tcBorders>
              <w:top w:val="single" w:color="000000" w:sz="4" w:space="0"/>
              <w:left w:val="single" w:color="000000" w:sz="4" w:space="0"/>
              <w:bottom w:val="single" w:color="000000" w:sz="4" w:space="0"/>
              <w:right w:val="single" w:color="000000" w:sz="12" w:space="0"/>
            </w:tcBorders>
            <w:vAlign w:val="center"/>
          </w:tcPr>
          <w:p w14:paraId="37F5F60B">
            <w:pPr>
              <w:bidi w:val="0"/>
              <w:jc w:val="center"/>
              <w:rPr>
                <w:rFonts w:hint="eastAsia"/>
                <w:lang w:val="en-US" w:eastAsia="en-US"/>
              </w:rPr>
            </w:pPr>
          </w:p>
        </w:tc>
      </w:tr>
      <w:tr w14:paraId="2AB7AD04">
        <w:tblPrEx>
          <w:tblCellMar>
            <w:top w:w="0" w:type="dxa"/>
            <w:left w:w="0" w:type="dxa"/>
            <w:bottom w:w="0" w:type="dxa"/>
            <w:right w:w="0" w:type="dxa"/>
          </w:tblCellMar>
        </w:tblPrEx>
        <w:trPr>
          <w:trHeight w:val="431" w:hRule="exact"/>
          <w:jc w:val="center"/>
        </w:trPr>
        <w:tc>
          <w:tcPr>
            <w:tcW w:w="461" w:type="pct"/>
            <w:tcBorders>
              <w:top w:val="single" w:color="000000" w:sz="4" w:space="0"/>
              <w:left w:val="single" w:color="000000" w:sz="12" w:space="0"/>
              <w:bottom w:val="single" w:color="000000" w:sz="4" w:space="0"/>
              <w:right w:val="single" w:color="000000" w:sz="4" w:space="0"/>
            </w:tcBorders>
            <w:vAlign w:val="center"/>
          </w:tcPr>
          <w:p w14:paraId="052004B4">
            <w:pPr>
              <w:bidi w:val="0"/>
              <w:ind w:left="0" w:leftChars="0" w:firstLine="0" w:firstLineChars="0"/>
              <w:jc w:val="center"/>
              <w:rPr>
                <w:rFonts w:hint="eastAsia" w:ascii="仿宋" w:hAnsi="仿宋" w:eastAsia="仿宋" w:cs="仿宋"/>
                <w:sz w:val="24"/>
                <w:szCs w:val="22"/>
                <w:lang w:val="en-US" w:eastAsia="zh-CN" w:bidi="ar-SA"/>
              </w:rPr>
            </w:pPr>
            <w:r>
              <w:rPr>
                <w:rFonts w:hint="eastAsia"/>
                <w:lang w:val="en-US" w:eastAsia="zh-CN"/>
              </w:rPr>
              <w:t>6</w:t>
            </w:r>
          </w:p>
        </w:tc>
        <w:tc>
          <w:tcPr>
            <w:tcW w:w="904" w:type="pct"/>
            <w:tcBorders>
              <w:top w:val="single" w:color="000000" w:sz="4" w:space="0"/>
              <w:left w:val="single" w:color="000000" w:sz="4" w:space="0"/>
              <w:bottom w:val="single" w:color="000000" w:sz="4" w:space="0"/>
              <w:right w:val="single" w:color="000000" w:sz="4" w:space="0"/>
            </w:tcBorders>
            <w:vAlign w:val="center"/>
          </w:tcPr>
          <w:p w14:paraId="23CD3305">
            <w:pPr>
              <w:bidi w:val="0"/>
              <w:ind w:left="0" w:leftChars="0" w:firstLine="0" w:firstLineChars="0"/>
              <w:jc w:val="center"/>
              <w:rPr>
                <w:rFonts w:hint="eastAsia" w:ascii="仿宋" w:hAnsi="仿宋" w:eastAsia="仿宋" w:cs="仿宋"/>
                <w:sz w:val="24"/>
                <w:szCs w:val="22"/>
                <w:lang w:val="en-US" w:eastAsia="en-US" w:bidi="ar-SA"/>
              </w:rPr>
            </w:pPr>
            <w:r>
              <w:rPr>
                <w:rFonts w:hint="eastAsia"/>
              </w:rPr>
              <w:t>轴载标准</w:t>
            </w:r>
          </w:p>
        </w:tc>
        <w:tc>
          <w:tcPr>
            <w:tcW w:w="458" w:type="pct"/>
            <w:tcBorders>
              <w:top w:val="single" w:color="000000" w:sz="4" w:space="0"/>
              <w:left w:val="single" w:color="000000" w:sz="4" w:space="0"/>
              <w:bottom w:val="single" w:color="000000" w:sz="4" w:space="0"/>
              <w:right w:val="single" w:color="000000" w:sz="4" w:space="0"/>
            </w:tcBorders>
            <w:vAlign w:val="center"/>
          </w:tcPr>
          <w:p w14:paraId="30C1F87C">
            <w:pPr>
              <w:bidi w:val="0"/>
              <w:ind w:left="42" w:leftChars="20" w:firstLine="480" w:firstLineChars="200"/>
              <w:jc w:val="center"/>
              <w:rPr>
                <w:rFonts w:hint="eastAsia" w:ascii="仿宋" w:hAnsi="仿宋" w:eastAsia="仿宋" w:cs="仿宋"/>
                <w:sz w:val="24"/>
                <w:szCs w:val="22"/>
                <w:lang w:val="en-US" w:eastAsia="en-US" w:bidi="ar-SA"/>
              </w:rPr>
            </w:pPr>
          </w:p>
        </w:tc>
        <w:tc>
          <w:tcPr>
            <w:tcW w:w="2138" w:type="pct"/>
            <w:tcBorders>
              <w:top w:val="single" w:color="000000" w:sz="4" w:space="0"/>
              <w:left w:val="single" w:color="000000" w:sz="4" w:space="0"/>
              <w:bottom w:val="single" w:color="000000" w:sz="4" w:space="0"/>
              <w:right w:val="single" w:color="000000" w:sz="4" w:space="0"/>
            </w:tcBorders>
            <w:vAlign w:val="center"/>
          </w:tcPr>
          <w:p w14:paraId="6F2E4FE5">
            <w:pPr>
              <w:bidi w:val="0"/>
              <w:ind w:left="0" w:leftChars="0" w:firstLine="0" w:firstLineChars="0"/>
              <w:jc w:val="center"/>
              <w:rPr>
                <w:rFonts w:hint="eastAsia" w:ascii="仿宋" w:hAnsi="仿宋" w:eastAsia="仿宋" w:cs="仿宋"/>
                <w:sz w:val="24"/>
                <w:szCs w:val="22"/>
                <w:lang w:val="en-US" w:eastAsia="en-US" w:bidi="ar-SA"/>
              </w:rPr>
            </w:pPr>
            <w:r>
              <w:rPr>
                <w:rFonts w:hint="eastAsia"/>
              </w:rPr>
              <w:t>BZZ-100</w:t>
            </w:r>
          </w:p>
        </w:tc>
        <w:tc>
          <w:tcPr>
            <w:tcW w:w="1037" w:type="pct"/>
            <w:tcBorders>
              <w:top w:val="single" w:color="000000" w:sz="4" w:space="0"/>
              <w:left w:val="single" w:color="000000" w:sz="4" w:space="0"/>
              <w:bottom w:val="single" w:color="000000" w:sz="4" w:space="0"/>
              <w:right w:val="single" w:color="000000" w:sz="12" w:space="0"/>
            </w:tcBorders>
            <w:vAlign w:val="center"/>
          </w:tcPr>
          <w:p w14:paraId="3D401BCA">
            <w:pPr>
              <w:bidi w:val="0"/>
              <w:jc w:val="center"/>
              <w:rPr>
                <w:rFonts w:hint="eastAsia"/>
                <w:lang w:val="en-US" w:eastAsia="en-US"/>
              </w:rPr>
            </w:pPr>
          </w:p>
        </w:tc>
      </w:tr>
      <w:tr w14:paraId="0036C644">
        <w:tblPrEx>
          <w:tblCellMar>
            <w:top w:w="0" w:type="dxa"/>
            <w:left w:w="0" w:type="dxa"/>
            <w:bottom w:w="0" w:type="dxa"/>
            <w:right w:w="0" w:type="dxa"/>
          </w:tblCellMar>
        </w:tblPrEx>
        <w:trPr>
          <w:trHeight w:val="431" w:hRule="exact"/>
          <w:jc w:val="center"/>
        </w:trPr>
        <w:tc>
          <w:tcPr>
            <w:tcW w:w="461" w:type="pct"/>
            <w:tcBorders>
              <w:top w:val="single" w:color="000000" w:sz="4" w:space="0"/>
              <w:left w:val="single" w:color="000000" w:sz="12" w:space="0"/>
              <w:bottom w:val="single" w:color="000000" w:sz="4" w:space="0"/>
              <w:right w:val="single" w:color="000000" w:sz="4" w:space="0"/>
            </w:tcBorders>
            <w:shd w:val="clear" w:color="auto" w:fill="auto"/>
            <w:vAlign w:val="center"/>
          </w:tcPr>
          <w:p w14:paraId="56C77A45">
            <w:pPr>
              <w:bidi w:val="0"/>
              <w:ind w:left="0" w:leftChars="0" w:firstLine="0" w:firstLineChars="0"/>
              <w:jc w:val="center"/>
              <w:rPr>
                <w:rFonts w:hint="eastAsia" w:ascii="仿宋" w:hAnsi="仿宋" w:eastAsia="仿宋" w:cs="仿宋"/>
                <w:sz w:val="24"/>
                <w:szCs w:val="22"/>
                <w:lang w:val="en-US" w:eastAsia="zh-CN" w:bidi="ar-SA"/>
              </w:rPr>
            </w:pPr>
            <w:r>
              <w:rPr>
                <w:rFonts w:hint="eastAsia"/>
                <w:lang w:val="en-US" w:eastAsia="zh-CN"/>
              </w:rPr>
              <w:t>7</w:t>
            </w:r>
          </w:p>
        </w:tc>
        <w:tc>
          <w:tcPr>
            <w:tcW w:w="9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D00F1">
            <w:pPr>
              <w:bidi w:val="0"/>
              <w:ind w:left="0" w:leftChars="0" w:firstLine="0" w:firstLineChars="0"/>
              <w:jc w:val="center"/>
              <w:rPr>
                <w:rFonts w:hint="eastAsia" w:ascii="仿宋" w:hAnsi="仿宋" w:eastAsia="仿宋" w:cs="仿宋"/>
                <w:sz w:val="24"/>
                <w:szCs w:val="22"/>
                <w:lang w:val="en-US" w:eastAsia="en-US" w:bidi="ar-SA"/>
              </w:rPr>
            </w:pPr>
            <w:r>
              <w:rPr>
                <w:rFonts w:hint="eastAsia"/>
              </w:rPr>
              <w:t>路面结构类型</w:t>
            </w:r>
          </w:p>
        </w:tc>
        <w:tc>
          <w:tcPr>
            <w:tcW w:w="4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AFA90">
            <w:pPr>
              <w:bidi w:val="0"/>
              <w:ind w:left="42" w:leftChars="20" w:firstLine="480" w:firstLineChars="200"/>
              <w:jc w:val="center"/>
              <w:rPr>
                <w:rFonts w:hint="eastAsia" w:ascii="仿宋" w:hAnsi="仿宋" w:eastAsia="仿宋" w:cs="仿宋"/>
                <w:sz w:val="24"/>
                <w:szCs w:val="22"/>
                <w:lang w:val="en-US" w:eastAsia="en-US" w:bidi="ar-SA"/>
              </w:rPr>
            </w:pPr>
          </w:p>
        </w:tc>
        <w:tc>
          <w:tcPr>
            <w:tcW w:w="21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5DB4C">
            <w:pPr>
              <w:bidi w:val="0"/>
              <w:ind w:left="0" w:leftChars="0" w:firstLine="0" w:firstLineChars="0"/>
              <w:jc w:val="center"/>
              <w:rPr>
                <w:rFonts w:hint="eastAsia" w:ascii="仿宋" w:hAnsi="仿宋" w:eastAsia="仿宋" w:cs="仿宋"/>
                <w:sz w:val="24"/>
                <w:szCs w:val="22"/>
                <w:lang w:val="en-US" w:eastAsia="en-US" w:bidi="ar-SA"/>
              </w:rPr>
            </w:pPr>
            <w:r>
              <w:rPr>
                <w:rFonts w:hint="eastAsia"/>
              </w:rPr>
              <w:t>沥青路面</w:t>
            </w:r>
          </w:p>
        </w:tc>
        <w:tc>
          <w:tcPr>
            <w:tcW w:w="1037" w:type="pct"/>
            <w:tcBorders>
              <w:top w:val="single" w:color="000000" w:sz="4" w:space="0"/>
              <w:left w:val="single" w:color="000000" w:sz="4" w:space="0"/>
              <w:bottom w:val="single" w:color="000000" w:sz="4" w:space="0"/>
              <w:right w:val="single" w:color="000000" w:sz="12" w:space="0"/>
            </w:tcBorders>
            <w:shd w:val="clear" w:color="auto" w:fill="auto"/>
            <w:vAlign w:val="center"/>
          </w:tcPr>
          <w:p w14:paraId="1219CC82">
            <w:pPr>
              <w:bidi w:val="0"/>
              <w:ind w:left="42" w:leftChars="20" w:firstLine="480" w:firstLineChars="200"/>
              <w:jc w:val="center"/>
              <w:rPr>
                <w:rFonts w:hint="eastAsia" w:ascii="仿宋" w:hAnsi="仿宋" w:eastAsia="仿宋" w:cs="仿宋"/>
                <w:sz w:val="24"/>
                <w:szCs w:val="22"/>
                <w:lang w:val="en-US" w:eastAsia="en-US" w:bidi="ar-SA"/>
              </w:rPr>
            </w:pPr>
          </w:p>
        </w:tc>
      </w:tr>
      <w:tr w14:paraId="77CF106C">
        <w:tblPrEx>
          <w:tblCellMar>
            <w:top w:w="0" w:type="dxa"/>
            <w:left w:w="0" w:type="dxa"/>
            <w:bottom w:w="0" w:type="dxa"/>
            <w:right w:w="0" w:type="dxa"/>
          </w:tblCellMar>
        </w:tblPrEx>
        <w:trPr>
          <w:trHeight w:val="431" w:hRule="exact"/>
          <w:jc w:val="center"/>
        </w:trPr>
        <w:tc>
          <w:tcPr>
            <w:tcW w:w="935"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28128A46">
            <w:pPr>
              <w:bidi w:val="0"/>
              <w:ind w:left="0" w:leftChars="0" w:firstLine="0" w:firstLineChars="0"/>
              <w:jc w:val="center"/>
              <w:rPr>
                <w:rFonts w:hint="eastAsia" w:ascii="仿宋" w:hAnsi="仿宋" w:eastAsia="仿宋" w:cs="仿宋"/>
                <w:sz w:val="24"/>
                <w:szCs w:val="22"/>
                <w:lang w:val="en-US" w:eastAsia="zh-CN" w:bidi="ar-SA"/>
              </w:rPr>
            </w:pPr>
            <w:r>
              <w:rPr>
                <w:rFonts w:hint="eastAsia"/>
              </w:rPr>
              <w:t>8</w:t>
            </w:r>
          </w:p>
        </w:tc>
        <w:tc>
          <w:tcPr>
            <w:tcW w:w="9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ABE27">
            <w:pPr>
              <w:bidi w:val="0"/>
              <w:ind w:left="0" w:leftChars="0" w:firstLine="0" w:firstLineChars="0"/>
              <w:jc w:val="center"/>
              <w:rPr>
                <w:rFonts w:hint="eastAsia" w:ascii="仿宋" w:hAnsi="仿宋" w:eastAsia="仿宋" w:cs="仿宋"/>
                <w:sz w:val="24"/>
                <w:szCs w:val="22"/>
                <w:lang w:val="en-US" w:eastAsia="en-US" w:bidi="ar-SA"/>
              </w:rPr>
            </w:pPr>
            <w:r>
              <w:rPr>
                <w:rFonts w:hint="eastAsia"/>
              </w:rPr>
              <w:t>路面结构设计年</w:t>
            </w:r>
          </w:p>
        </w:tc>
        <w:tc>
          <w:tcPr>
            <w:tcW w:w="4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842A48">
            <w:pPr>
              <w:bidi w:val="0"/>
              <w:ind w:left="0" w:leftChars="0" w:firstLine="0" w:firstLineChars="0"/>
              <w:jc w:val="center"/>
              <w:rPr>
                <w:rFonts w:hint="eastAsia" w:ascii="仿宋" w:hAnsi="仿宋" w:eastAsia="仿宋" w:cs="仿宋"/>
                <w:sz w:val="24"/>
                <w:szCs w:val="22"/>
                <w:lang w:val="en-US" w:eastAsia="en-US" w:bidi="ar-SA"/>
              </w:rPr>
            </w:pPr>
            <w:r>
              <w:rPr>
                <w:rFonts w:hint="eastAsia"/>
              </w:rPr>
              <w:t>年</w:t>
            </w:r>
          </w:p>
        </w:tc>
        <w:tc>
          <w:tcPr>
            <w:tcW w:w="21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A735E">
            <w:pPr>
              <w:bidi w:val="0"/>
              <w:ind w:left="0" w:leftChars="0" w:firstLine="0" w:firstLineChars="0"/>
              <w:jc w:val="center"/>
              <w:rPr>
                <w:rFonts w:hint="default" w:ascii="仿宋" w:hAnsi="仿宋" w:eastAsia="仿宋" w:cs="仿宋"/>
                <w:sz w:val="24"/>
                <w:szCs w:val="22"/>
                <w:lang w:val="en-US" w:eastAsia="zh-CN" w:bidi="ar-SA"/>
              </w:rPr>
            </w:pPr>
            <w:r>
              <w:rPr>
                <w:rFonts w:hint="eastAsia" w:eastAsia="仿宋"/>
                <w:lang w:val="en-US" w:eastAsia="zh-CN"/>
              </w:rPr>
              <w:t>15</w:t>
            </w:r>
          </w:p>
        </w:tc>
        <w:tc>
          <w:tcPr>
            <w:tcW w:w="1037" w:type="pct"/>
            <w:tcBorders>
              <w:top w:val="single" w:color="000000" w:sz="4" w:space="0"/>
              <w:left w:val="single" w:color="000000" w:sz="4" w:space="0"/>
              <w:bottom w:val="single" w:color="000000" w:sz="4" w:space="0"/>
              <w:right w:val="single" w:color="000000" w:sz="12" w:space="0"/>
            </w:tcBorders>
            <w:shd w:val="clear" w:color="auto" w:fill="auto"/>
            <w:vAlign w:val="center"/>
          </w:tcPr>
          <w:p w14:paraId="62C0EBBF">
            <w:pPr>
              <w:bidi w:val="0"/>
              <w:ind w:left="42" w:leftChars="20" w:firstLine="480" w:firstLineChars="200"/>
              <w:jc w:val="center"/>
              <w:rPr>
                <w:rFonts w:hint="eastAsia" w:ascii="仿宋" w:hAnsi="仿宋" w:eastAsia="仿宋" w:cs="仿宋"/>
                <w:sz w:val="24"/>
                <w:szCs w:val="22"/>
                <w:lang w:val="en-US" w:eastAsia="en-US" w:bidi="ar-SA"/>
              </w:rPr>
            </w:pPr>
          </w:p>
        </w:tc>
      </w:tr>
      <w:tr w14:paraId="0251BD81">
        <w:tblPrEx>
          <w:tblCellMar>
            <w:top w:w="0" w:type="dxa"/>
            <w:left w:w="0" w:type="dxa"/>
            <w:bottom w:w="0" w:type="dxa"/>
            <w:right w:w="0" w:type="dxa"/>
          </w:tblCellMar>
        </w:tblPrEx>
        <w:trPr>
          <w:trHeight w:val="431" w:hRule="exact"/>
          <w:jc w:val="center"/>
        </w:trPr>
        <w:tc>
          <w:tcPr>
            <w:tcW w:w="935"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68A8A1C2">
            <w:pPr>
              <w:bidi w:val="0"/>
              <w:ind w:left="0" w:leftChars="0" w:firstLine="0" w:firstLineChars="0"/>
              <w:jc w:val="center"/>
              <w:rPr>
                <w:rFonts w:hint="eastAsia" w:ascii="仿宋" w:hAnsi="仿宋" w:eastAsia="仿宋" w:cs="仿宋"/>
                <w:sz w:val="24"/>
                <w:szCs w:val="22"/>
                <w:lang w:val="en-US" w:eastAsia="zh-CN" w:bidi="ar-SA"/>
              </w:rPr>
            </w:pPr>
            <w:r>
              <w:rPr>
                <w:rFonts w:hint="eastAsia"/>
              </w:rPr>
              <w:t>9</w:t>
            </w:r>
          </w:p>
        </w:tc>
        <w:tc>
          <w:tcPr>
            <w:tcW w:w="9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94FD7">
            <w:pPr>
              <w:bidi w:val="0"/>
              <w:ind w:left="0" w:leftChars="0" w:firstLine="0" w:firstLineChars="0"/>
              <w:jc w:val="center"/>
              <w:rPr>
                <w:rFonts w:hint="eastAsia" w:ascii="仿宋" w:hAnsi="仿宋" w:eastAsia="仿宋" w:cs="仿宋"/>
                <w:sz w:val="24"/>
                <w:szCs w:val="22"/>
                <w:lang w:val="en-US" w:eastAsia="en-US" w:bidi="ar-SA"/>
              </w:rPr>
            </w:pPr>
            <w:r>
              <w:rPr>
                <w:rFonts w:hint="eastAsia"/>
              </w:rPr>
              <w:t>桥涵设计荷载</w:t>
            </w:r>
          </w:p>
        </w:tc>
        <w:tc>
          <w:tcPr>
            <w:tcW w:w="4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CA48E">
            <w:pPr>
              <w:bidi w:val="0"/>
              <w:ind w:left="0" w:leftChars="0" w:firstLine="0" w:firstLineChars="0"/>
              <w:jc w:val="center"/>
              <w:rPr>
                <w:rFonts w:hint="eastAsia" w:ascii="仿宋" w:hAnsi="仿宋" w:eastAsia="仿宋" w:cs="仿宋"/>
                <w:sz w:val="24"/>
                <w:szCs w:val="22"/>
                <w:lang w:val="en-US" w:eastAsia="en-US" w:bidi="ar-SA"/>
              </w:rPr>
            </w:pPr>
            <w:r>
              <w:rPr>
                <w:rFonts w:hint="eastAsia"/>
              </w:rPr>
              <w:t>—</w:t>
            </w:r>
          </w:p>
        </w:tc>
        <w:tc>
          <w:tcPr>
            <w:tcW w:w="21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DE4FB3">
            <w:pPr>
              <w:bidi w:val="0"/>
              <w:ind w:left="0" w:leftChars="0" w:firstLine="0" w:firstLineChars="0"/>
              <w:jc w:val="center"/>
              <w:rPr>
                <w:rFonts w:hint="eastAsia" w:ascii="仿宋" w:hAnsi="仿宋" w:eastAsia="仿宋" w:cs="仿宋"/>
                <w:sz w:val="24"/>
                <w:szCs w:val="22"/>
                <w:lang w:val="en-US" w:eastAsia="en-US" w:bidi="ar-SA"/>
              </w:rPr>
            </w:pPr>
            <w:r>
              <w:rPr>
                <w:rFonts w:hint="eastAsia"/>
              </w:rPr>
              <w:t>城-A</w:t>
            </w:r>
          </w:p>
        </w:tc>
        <w:tc>
          <w:tcPr>
            <w:tcW w:w="1037" w:type="pct"/>
            <w:tcBorders>
              <w:top w:val="single" w:color="000000" w:sz="4" w:space="0"/>
              <w:left w:val="single" w:color="000000" w:sz="4" w:space="0"/>
              <w:bottom w:val="single" w:color="000000" w:sz="4" w:space="0"/>
              <w:right w:val="single" w:color="000000" w:sz="12" w:space="0"/>
            </w:tcBorders>
            <w:shd w:val="clear" w:color="auto" w:fill="auto"/>
            <w:vAlign w:val="center"/>
          </w:tcPr>
          <w:p w14:paraId="693B5A2A">
            <w:pPr>
              <w:bidi w:val="0"/>
              <w:ind w:left="42" w:leftChars="20" w:firstLine="480" w:firstLineChars="200"/>
              <w:jc w:val="center"/>
              <w:rPr>
                <w:rFonts w:hint="eastAsia" w:ascii="仿宋" w:hAnsi="仿宋" w:eastAsia="仿宋" w:cs="仿宋"/>
                <w:sz w:val="24"/>
                <w:szCs w:val="22"/>
                <w:lang w:val="en-US" w:eastAsia="en-US" w:bidi="ar-SA"/>
              </w:rPr>
            </w:pPr>
          </w:p>
        </w:tc>
      </w:tr>
      <w:tr w14:paraId="00ABDF5F">
        <w:tblPrEx>
          <w:tblCellMar>
            <w:top w:w="0" w:type="dxa"/>
            <w:left w:w="0" w:type="dxa"/>
            <w:bottom w:w="0" w:type="dxa"/>
            <w:right w:w="0" w:type="dxa"/>
          </w:tblCellMar>
        </w:tblPrEx>
        <w:trPr>
          <w:trHeight w:val="431" w:hRule="exact"/>
          <w:jc w:val="center"/>
        </w:trPr>
        <w:tc>
          <w:tcPr>
            <w:tcW w:w="935"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5EDA645F">
            <w:pPr>
              <w:bidi w:val="0"/>
              <w:ind w:left="0" w:leftChars="0" w:firstLine="0" w:firstLineChars="0"/>
              <w:jc w:val="center"/>
              <w:rPr>
                <w:rFonts w:hint="eastAsia" w:ascii="仿宋" w:hAnsi="仿宋" w:eastAsia="仿宋" w:cs="仿宋"/>
                <w:sz w:val="24"/>
                <w:szCs w:val="22"/>
                <w:lang w:val="en-US" w:eastAsia="zh-CN" w:bidi="ar-SA"/>
              </w:rPr>
            </w:pPr>
            <w:r>
              <w:rPr>
                <w:rFonts w:hint="eastAsia"/>
              </w:rPr>
              <w:t>10</w:t>
            </w:r>
          </w:p>
        </w:tc>
        <w:tc>
          <w:tcPr>
            <w:tcW w:w="9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6D7AA">
            <w:pPr>
              <w:bidi w:val="0"/>
              <w:ind w:left="0" w:leftChars="0" w:firstLine="0" w:firstLineChars="0"/>
              <w:jc w:val="center"/>
              <w:rPr>
                <w:rFonts w:hint="eastAsia" w:ascii="仿宋" w:hAnsi="仿宋" w:eastAsia="仿宋" w:cs="仿宋"/>
                <w:sz w:val="24"/>
                <w:szCs w:val="22"/>
                <w:lang w:val="en-US" w:eastAsia="en-US" w:bidi="ar-SA"/>
              </w:rPr>
            </w:pPr>
            <w:r>
              <w:rPr>
                <w:rFonts w:hint="eastAsia"/>
              </w:rPr>
              <w:t>路基设计洪水频</w:t>
            </w:r>
          </w:p>
        </w:tc>
        <w:tc>
          <w:tcPr>
            <w:tcW w:w="4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1442A">
            <w:pPr>
              <w:bidi w:val="0"/>
              <w:ind w:left="0" w:leftChars="0" w:firstLine="0" w:firstLineChars="0"/>
              <w:jc w:val="center"/>
              <w:rPr>
                <w:rFonts w:hint="eastAsia" w:ascii="仿宋" w:hAnsi="仿宋" w:eastAsia="仿宋" w:cs="仿宋"/>
                <w:sz w:val="24"/>
                <w:szCs w:val="22"/>
                <w:lang w:val="en-US" w:eastAsia="en-US" w:bidi="ar-SA"/>
              </w:rPr>
            </w:pPr>
            <w:r>
              <w:rPr>
                <w:rFonts w:hint="eastAsia"/>
              </w:rPr>
              <w:t>—</w:t>
            </w:r>
          </w:p>
        </w:tc>
        <w:tc>
          <w:tcPr>
            <w:tcW w:w="21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5C9EF">
            <w:pPr>
              <w:bidi w:val="0"/>
              <w:ind w:left="0" w:leftChars="0" w:firstLine="0" w:firstLineChars="0"/>
              <w:jc w:val="center"/>
              <w:rPr>
                <w:rFonts w:hint="eastAsia" w:ascii="仿宋" w:hAnsi="仿宋" w:eastAsia="仿宋" w:cs="仿宋"/>
                <w:sz w:val="24"/>
                <w:szCs w:val="22"/>
                <w:lang w:val="en-US" w:eastAsia="en-US" w:bidi="ar-SA"/>
              </w:rPr>
            </w:pPr>
            <w:r>
              <w:rPr>
                <w:rFonts w:hint="eastAsia"/>
              </w:rPr>
              <w:t>1/100</w:t>
            </w:r>
          </w:p>
        </w:tc>
        <w:tc>
          <w:tcPr>
            <w:tcW w:w="1037" w:type="pct"/>
            <w:tcBorders>
              <w:top w:val="single" w:color="000000" w:sz="4" w:space="0"/>
              <w:left w:val="single" w:color="000000" w:sz="4" w:space="0"/>
              <w:bottom w:val="single" w:color="000000" w:sz="4" w:space="0"/>
              <w:right w:val="single" w:color="000000" w:sz="12" w:space="0"/>
            </w:tcBorders>
            <w:shd w:val="clear" w:color="auto" w:fill="auto"/>
            <w:vAlign w:val="center"/>
          </w:tcPr>
          <w:p w14:paraId="59575B70">
            <w:pPr>
              <w:bidi w:val="0"/>
              <w:ind w:left="42" w:leftChars="20" w:firstLine="480" w:firstLineChars="200"/>
              <w:jc w:val="center"/>
              <w:rPr>
                <w:rFonts w:hint="eastAsia" w:ascii="仿宋" w:hAnsi="仿宋" w:eastAsia="仿宋" w:cs="仿宋"/>
                <w:sz w:val="24"/>
                <w:szCs w:val="22"/>
                <w:lang w:val="en-US" w:eastAsia="en-US" w:bidi="ar-SA"/>
              </w:rPr>
            </w:pPr>
          </w:p>
        </w:tc>
      </w:tr>
      <w:tr w14:paraId="0728F626">
        <w:tblPrEx>
          <w:tblCellMar>
            <w:top w:w="0" w:type="dxa"/>
            <w:left w:w="0" w:type="dxa"/>
            <w:bottom w:w="0" w:type="dxa"/>
            <w:right w:w="0" w:type="dxa"/>
          </w:tblCellMar>
        </w:tblPrEx>
        <w:trPr>
          <w:trHeight w:val="431" w:hRule="exact"/>
          <w:jc w:val="center"/>
        </w:trPr>
        <w:tc>
          <w:tcPr>
            <w:tcW w:w="935"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60F07B5A">
            <w:pPr>
              <w:bidi w:val="0"/>
              <w:ind w:left="0" w:leftChars="0" w:firstLine="0" w:firstLineChars="0"/>
              <w:jc w:val="center"/>
              <w:rPr>
                <w:rFonts w:hint="eastAsia" w:ascii="仿宋" w:hAnsi="仿宋" w:eastAsia="仿宋" w:cs="仿宋"/>
                <w:sz w:val="24"/>
                <w:szCs w:val="22"/>
                <w:lang w:val="en-US" w:eastAsia="zh-CN" w:bidi="ar-SA"/>
              </w:rPr>
            </w:pPr>
            <w:r>
              <w:rPr>
                <w:rFonts w:hint="eastAsia"/>
              </w:rPr>
              <w:t>11</w:t>
            </w:r>
          </w:p>
        </w:tc>
        <w:tc>
          <w:tcPr>
            <w:tcW w:w="9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15751C">
            <w:pPr>
              <w:bidi w:val="0"/>
              <w:ind w:left="0" w:leftChars="0" w:firstLine="0" w:firstLineChars="0"/>
              <w:jc w:val="center"/>
              <w:rPr>
                <w:rFonts w:hint="eastAsia" w:ascii="仿宋" w:hAnsi="仿宋" w:eastAsia="仿宋" w:cs="仿宋"/>
                <w:sz w:val="24"/>
                <w:szCs w:val="22"/>
                <w:lang w:val="en-US" w:eastAsia="en-US" w:bidi="ar-SA"/>
              </w:rPr>
            </w:pPr>
            <w:r>
              <w:rPr>
                <w:rFonts w:hint="eastAsia"/>
              </w:rPr>
              <w:t>桥涵设计洪水频</w:t>
            </w:r>
          </w:p>
        </w:tc>
        <w:tc>
          <w:tcPr>
            <w:tcW w:w="4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A4F45E">
            <w:pPr>
              <w:bidi w:val="0"/>
              <w:ind w:left="0" w:leftChars="0" w:firstLine="0" w:firstLineChars="0"/>
              <w:jc w:val="center"/>
              <w:rPr>
                <w:rFonts w:hint="eastAsia" w:ascii="仿宋" w:hAnsi="仿宋" w:eastAsia="仿宋" w:cs="仿宋"/>
                <w:sz w:val="24"/>
                <w:szCs w:val="22"/>
                <w:lang w:val="en-US" w:eastAsia="en-US" w:bidi="ar-SA"/>
              </w:rPr>
            </w:pPr>
            <w:r>
              <w:rPr>
                <w:rFonts w:hint="eastAsia"/>
              </w:rPr>
              <w:t>—</w:t>
            </w:r>
          </w:p>
        </w:tc>
        <w:tc>
          <w:tcPr>
            <w:tcW w:w="21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105B1">
            <w:pPr>
              <w:bidi w:val="0"/>
              <w:ind w:left="0" w:leftChars="0" w:firstLine="0" w:firstLineChars="0"/>
              <w:jc w:val="center"/>
              <w:rPr>
                <w:rFonts w:hint="eastAsia" w:ascii="仿宋" w:hAnsi="仿宋" w:eastAsia="仿宋" w:cs="仿宋"/>
                <w:sz w:val="24"/>
                <w:szCs w:val="22"/>
                <w:lang w:val="en-US" w:eastAsia="en-US" w:bidi="ar-SA"/>
              </w:rPr>
            </w:pPr>
            <w:r>
              <w:rPr>
                <w:rFonts w:hint="eastAsia"/>
              </w:rPr>
              <w:t>1/100</w:t>
            </w:r>
          </w:p>
        </w:tc>
        <w:tc>
          <w:tcPr>
            <w:tcW w:w="1037" w:type="pct"/>
            <w:tcBorders>
              <w:top w:val="single" w:color="000000" w:sz="4" w:space="0"/>
              <w:left w:val="single" w:color="000000" w:sz="4" w:space="0"/>
              <w:bottom w:val="single" w:color="000000" w:sz="4" w:space="0"/>
              <w:right w:val="single" w:color="000000" w:sz="12" w:space="0"/>
            </w:tcBorders>
            <w:shd w:val="clear" w:color="auto" w:fill="auto"/>
            <w:vAlign w:val="center"/>
          </w:tcPr>
          <w:p w14:paraId="6E4AD9F1">
            <w:pPr>
              <w:bidi w:val="0"/>
              <w:ind w:left="42" w:leftChars="20" w:firstLine="480" w:firstLineChars="200"/>
              <w:jc w:val="center"/>
              <w:rPr>
                <w:rFonts w:hint="eastAsia" w:ascii="仿宋" w:hAnsi="仿宋" w:eastAsia="仿宋" w:cs="仿宋"/>
                <w:sz w:val="24"/>
                <w:szCs w:val="22"/>
                <w:lang w:val="en-US" w:eastAsia="en-US" w:bidi="ar-SA"/>
              </w:rPr>
            </w:pPr>
          </w:p>
        </w:tc>
      </w:tr>
      <w:tr w14:paraId="46014EF2">
        <w:tblPrEx>
          <w:tblCellMar>
            <w:top w:w="0" w:type="dxa"/>
            <w:left w:w="0" w:type="dxa"/>
            <w:bottom w:w="0" w:type="dxa"/>
            <w:right w:w="0" w:type="dxa"/>
          </w:tblCellMar>
        </w:tblPrEx>
        <w:trPr>
          <w:trHeight w:val="431" w:hRule="exact"/>
          <w:jc w:val="center"/>
        </w:trPr>
        <w:tc>
          <w:tcPr>
            <w:tcW w:w="935"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2C048094">
            <w:pPr>
              <w:bidi w:val="0"/>
              <w:ind w:left="0" w:leftChars="0" w:firstLine="0" w:firstLineChars="0"/>
              <w:jc w:val="center"/>
              <w:rPr>
                <w:rFonts w:hint="eastAsia" w:ascii="仿宋" w:hAnsi="仿宋" w:eastAsia="仿宋" w:cs="仿宋"/>
                <w:sz w:val="24"/>
                <w:szCs w:val="22"/>
                <w:lang w:val="en-US" w:eastAsia="zh-CN" w:bidi="ar-SA"/>
              </w:rPr>
            </w:pPr>
            <w:r>
              <w:rPr>
                <w:rFonts w:hint="eastAsia"/>
              </w:rPr>
              <w:t>12</w:t>
            </w:r>
          </w:p>
        </w:tc>
        <w:tc>
          <w:tcPr>
            <w:tcW w:w="9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CBD48C">
            <w:pPr>
              <w:bidi w:val="0"/>
              <w:ind w:left="0" w:leftChars="0" w:firstLine="0" w:firstLineChars="0"/>
              <w:jc w:val="center"/>
              <w:rPr>
                <w:rFonts w:hint="eastAsia" w:ascii="仿宋" w:hAnsi="仿宋" w:eastAsia="仿宋" w:cs="仿宋"/>
                <w:sz w:val="24"/>
                <w:szCs w:val="22"/>
                <w:lang w:val="en-US" w:eastAsia="en-US" w:bidi="ar-SA"/>
              </w:rPr>
            </w:pPr>
            <w:r>
              <w:rPr>
                <w:rFonts w:hint="eastAsia"/>
              </w:rPr>
              <w:t>地震动峰加速度</w:t>
            </w:r>
          </w:p>
        </w:tc>
        <w:tc>
          <w:tcPr>
            <w:tcW w:w="4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251D7F">
            <w:pPr>
              <w:bidi w:val="0"/>
              <w:ind w:left="0" w:leftChars="0" w:firstLine="0" w:firstLineChars="0"/>
              <w:jc w:val="center"/>
              <w:rPr>
                <w:rFonts w:hint="eastAsia" w:ascii="仿宋" w:hAnsi="仿宋" w:eastAsia="仿宋" w:cs="仿宋"/>
                <w:sz w:val="24"/>
                <w:szCs w:val="22"/>
                <w:lang w:val="en-US" w:eastAsia="en-US" w:bidi="ar-SA"/>
              </w:rPr>
            </w:pPr>
            <w:r>
              <w:rPr>
                <w:rFonts w:hint="eastAsia"/>
              </w:rPr>
              <w:t>—</w:t>
            </w:r>
          </w:p>
        </w:tc>
        <w:tc>
          <w:tcPr>
            <w:tcW w:w="21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55B83A">
            <w:pPr>
              <w:bidi w:val="0"/>
              <w:ind w:left="0" w:leftChars="0" w:firstLine="0" w:firstLineChars="0"/>
              <w:jc w:val="center"/>
              <w:rPr>
                <w:rFonts w:hint="eastAsia" w:ascii="仿宋" w:hAnsi="仿宋" w:eastAsia="仿宋" w:cs="仿宋"/>
                <w:sz w:val="24"/>
                <w:szCs w:val="22"/>
                <w:lang w:val="en-US" w:eastAsia="en-US" w:bidi="ar-SA"/>
              </w:rPr>
            </w:pPr>
            <w:r>
              <w:rPr>
                <w:rFonts w:hint="eastAsia"/>
              </w:rPr>
              <w:t>0.1g，按Ⅶ度设防</w:t>
            </w:r>
          </w:p>
        </w:tc>
        <w:tc>
          <w:tcPr>
            <w:tcW w:w="1037" w:type="pct"/>
            <w:tcBorders>
              <w:top w:val="single" w:color="000000" w:sz="4" w:space="0"/>
              <w:left w:val="single" w:color="000000" w:sz="4" w:space="0"/>
              <w:bottom w:val="single" w:color="000000" w:sz="4" w:space="0"/>
              <w:right w:val="single" w:color="000000" w:sz="12" w:space="0"/>
            </w:tcBorders>
            <w:shd w:val="clear" w:color="auto" w:fill="auto"/>
            <w:vAlign w:val="center"/>
          </w:tcPr>
          <w:p w14:paraId="15158A4C">
            <w:pPr>
              <w:bidi w:val="0"/>
              <w:ind w:left="42" w:leftChars="20" w:firstLine="480" w:firstLineChars="200"/>
              <w:jc w:val="center"/>
              <w:rPr>
                <w:rFonts w:hint="eastAsia" w:ascii="仿宋" w:hAnsi="仿宋" w:eastAsia="仿宋" w:cs="仿宋"/>
                <w:sz w:val="24"/>
                <w:szCs w:val="22"/>
                <w:lang w:val="en-US" w:eastAsia="en-US" w:bidi="ar-SA"/>
              </w:rPr>
            </w:pPr>
          </w:p>
        </w:tc>
      </w:tr>
      <w:tr w14:paraId="2890AAF4">
        <w:tblPrEx>
          <w:tblCellMar>
            <w:top w:w="0" w:type="dxa"/>
            <w:left w:w="0" w:type="dxa"/>
            <w:bottom w:w="0" w:type="dxa"/>
            <w:right w:w="0" w:type="dxa"/>
          </w:tblCellMar>
        </w:tblPrEx>
        <w:trPr>
          <w:trHeight w:val="431" w:hRule="exact"/>
          <w:jc w:val="center"/>
        </w:trPr>
        <w:tc>
          <w:tcPr>
            <w:tcW w:w="935"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01023EB2">
            <w:pPr>
              <w:bidi w:val="0"/>
              <w:ind w:left="0" w:leftChars="0" w:firstLine="0" w:firstLineChars="0"/>
              <w:jc w:val="center"/>
              <w:rPr>
                <w:rFonts w:hint="eastAsia" w:ascii="仿宋" w:hAnsi="仿宋" w:eastAsia="仿宋" w:cs="仿宋"/>
                <w:sz w:val="24"/>
                <w:szCs w:val="22"/>
                <w:lang w:val="en-US" w:eastAsia="zh-CN" w:bidi="ar-SA"/>
              </w:rPr>
            </w:pPr>
            <w:r>
              <w:rPr>
                <w:rFonts w:hint="eastAsia"/>
              </w:rPr>
              <w:t>13</w:t>
            </w:r>
          </w:p>
        </w:tc>
        <w:tc>
          <w:tcPr>
            <w:tcW w:w="9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B8D06E">
            <w:pPr>
              <w:bidi w:val="0"/>
              <w:ind w:left="0" w:leftChars="0" w:firstLine="0" w:firstLineChars="0"/>
              <w:jc w:val="center"/>
              <w:rPr>
                <w:rFonts w:hint="eastAsia" w:ascii="仿宋" w:hAnsi="仿宋" w:eastAsia="仿宋" w:cs="仿宋"/>
                <w:sz w:val="24"/>
                <w:szCs w:val="22"/>
                <w:lang w:val="en-US" w:eastAsia="en-US" w:bidi="ar-SA"/>
              </w:rPr>
            </w:pPr>
            <w:r>
              <w:rPr>
                <w:rFonts w:hint="eastAsia"/>
              </w:rPr>
              <w:t>坐标系</w:t>
            </w:r>
          </w:p>
        </w:tc>
        <w:tc>
          <w:tcPr>
            <w:tcW w:w="4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16B47F">
            <w:pPr>
              <w:bidi w:val="0"/>
              <w:ind w:left="0" w:leftChars="0" w:firstLine="0" w:firstLineChars="0"/>
              <w:jc w:val="center"/>
              <w:rPr>
                <w:rFonts w:hint="eastAsia" w:ascii="仿宋" w:hAnsi="仿宋" w:eastAsia="仿宋" w:cs="仿宋"/>
                <w:sz w:val="24"/>
                <w:szCs w:val="22"/>
                <w:lang w:val="en-US" w:eastAsia="en-US" w:bidi="ar-SA"/>
              </w:rPr>
            </w:pPr>
            <w:r>
              <w:rPr>
                <w:rFonts w:hint="eastAsia"/>
              </w:rPr>
              <w:t>m</w:t>
            </w:r>
          </w:p>
        </w:tc>
        <w:tc>
          <w:tcPr>
            <w:tcW w:w="21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BFCB1">
            <w:pPr>
              <w:bidi w:val="0"/>
              <w:ind w:left="0" w:leftChars="0" w:firstLine="0" w:firstLineChars="0"/>
              <w:jc w:val="center"/>
              <w:rPr>
                <w:rFonts w:hint="eastAsia" w:ascii="仿宋" w:hAnsi="仿宋" w:eastAsia="仿宋" w:cs="仿宋"/>
                <w:sz w:val="24"/>
                <w:szCs w:val="22"/>
                <w:lang w:val="en-US" w:eastAsia="en-US" w:bidi="ar-SA"/>
              </w:rPr>
            </w:pPr>
            <w:r>
              <w:rPr>
                <w:rFonts w:hint="eastAsia"/>
              </w:rPr>
              <w:t>2000 国家大地坐标系</w:t>
            </w:r>
          </w:p>
        </w:tc>
        <w:tc>
          <w:tcPr>
            <w:tcW w:w="1037" w:type="pct"/>
            <w:tcBorders>
              <w:top w:val="single" w:color="000000" w:sz="4" w:space="0"/>
              <w:left w:val="single" w:color="000000" w:sz="4" w:space="0"/>
              <w:bottom w:val="single" w:color="000000" w:sz="4" w:space="0"/>
              <w:right w:val="single" w:color="000000" w:sz="12" w:space="0"/>
            </w:tcBorders>
            <w:shd w:val="clear" w:color="auto" w:fill="auto"/>
            <w:vAlign w:val="center"/>
          </w:tcPr>
          <w:p w14:paraId="2ED16CB2">
            <w:pPr>
              <w:bidi w:val="0"/>
              <w:ind w:left="42" w:leftChars="20" w:firstLine="480" w:firstLineChars="200"/>
              <w:jc w:val="center"/>
              <w:rPr>
                <w:rFonts w:hint="eastAsia" w:ascii="仿宋" w:hAnsi="仿宋" w:eastAsia="仿宋" w:cs="仿宋"/>
                <w:sz w:val="24"/>
                <w:szCs w:val="22"/>
                <w:lang w:val="en-US" w:eastAsia="en-US" w:bidi="ar-SA"/>
              </w:rPr>
            </w:pPr>
          </w:p>
        </w:tc>
      </w:tr>
      <w:tr w14:paraId="17F72B7E">
        <w:tblPrEx>
          <w:tblCellMar>
            <w:top w:w="0" w:type="dxa"/>
            <w:left w:w="0" w:type="dxa"/>
            <w:bottom w:w="0" w:type="dxa"/>
            <w:right w:w="0" w:type="dxa"/>
          </w:tblCellMar>
        </w:tblPrEx>
        <w:trPr>
          <w:trHeight w:val="431" w:hRule="exact"/>
          <w:jc w:val="center"/>
        </w:trPr>
        <w:tc>
          <w:tcPr>
            <w:tcW w:w="935"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4972740C">
            <w:pPr>
              <w:bidi w:val="0"/>
              <w:ind w:left="0" w:leftChars="0" w:firstLine="0" w:firstLineChars="0"/>
              <w:jc w:val="center"/>
              <w:rPr>
                <w:rFonts w:hint="eastAsia" w:ascii="仿宋" w:hAnsi="仿宋" w:eastAsia="仿宋" w:cs="仿宋"/>
                <w:sz w:val="24"/>
                <w:szCs w:val="22"/>
                <w:lang w:val="en-US" w:eastAsia="zh-CN" w:bidi="ar-SA"/>
              </w:rPr>
            </w:pPr>
            <w:r>
              <w:rPr>
                <w:rFonts w:hint="eastAsia"/>
              </w:rPr>
              <w:t>14</w:t>
            </w:r>
          </w:p>
        </w:tc>
        <w:tc>
          <w:tcPr>
            <w:tcW w:w="9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F62FE8">
            <w:pPr>
              <w:bidi w:val="0"/>
              <w:ind w:left="0" w:leftChars="0" w:firstLine="0" w:firstLineChars="0"/>
              <w:jc w:val="center"/>
              <w:rPr>
                <w:rFonts w:hint="eastAsia" w:ascii="仿宋" w:hAnsi="仿宋" w:eastAsia="仿宋" w:cs="仿宋"/>
                <w:sz w:val="24"/>
                <w:szCs w:val="22"/>
                <w:lang w:val="en-US" w:eastAsia="en-US" w:bidi="ar-SA"/>
              </w:rPr>
            </w:pPr>
            <w:r>
              <w:rPr>
                <w:rFonts w:hint="eastAsia"/>
              </w:rPr>
              <w:t>高程系</w:t>
            </w:r>
          </w:p>
        </w:tc>
        <w:tc>
          <w:tcPr>
            <w:tcW w:w="4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19CE4">
            <w:pPr>
              <w:bidi w:val="0"/>
              <w:ind w:left="0" w:leftChars="0" w:firstLine="0" w:firstLineChars="0"/>
              <w:jc w:val="center"/>
              <w:rPr>
                <w:rFonts w:hint="eastAsia" w:ascii="仿宋" w:hAnsi="仿宋" w:eastAsia="仿宋" w:cs="仿宋"/>
                <w:sz w:val="24"/>
                <w:szCs w:val="22"/>
                <w:lang w:val="en-US" w:eastAsia="en-US" w:bidi="ar-SA"/>
              </w:rPr>
            </w:pPr>
            <w:r>
              <w:rPr>
                <w:rFonts w:hint="eastAsia"/>
              </w:rPr>
              <w:t>m</w:t>
            </w:r>
          </w:p>
        </w:tc>
        <w:tc>
          <w:tcPr>
            <w:tcW w:w="21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6A6081">
            <w:pPr>
              <w:bidi w:val="0"/>
              <w:ind w:left="0" w:leftChars="0" w:firstLine="0" w:firstLineChars="0"/>
              <w:jc w:val="center"/>
              <w:rPr>
                <w:rFonts w:hint="eastAsia" w:ascii="仿宋" w:hAnsi="仿宋" w:eastAsia="仿宋" w:cs="仿宋"/>
                <w:sz w:val="24"/>
                <w:szCs w:val="22"/>
                <w:lang w:val="en-US" w:eastAsia="en-US" w:bidi="ar-SA"/>
              </w:rPr>
            </w:pPr>
            <w:r>
              <w:rPr>
                <w:rFonts w:hint="eastAsia"/>
              </w:rPr>
              <w:t>1985 年国家高程基准</w:t>
            </w:r>
          </w:p>
        </w:tc>
        <w:tc>
          <w:tcPr>
            <w:tcW w:w="1037" w:type="pct"/>
            <w:tcBorders>
              <w:top w:val="single" w:color="000000" w:sz="4" w:space="0"/>
              <w:left w:val="single" w:color="000000" w:sz="4" w:space="0"/>
              <w:bottom w:val="single" w:color="000000" w:sz="4" w:space="0"/>
              <w:right w:val="single" w:color="000000" w:sz="12" w:space="0"/>
            </w:tcBorders>
            <w:shd w:val="clear" w:color="auto" w:fill="auto"/>
            <w:vAlign w:val="center"/>
          </w:tcPr>
          <w:p w14:paraId="3F0E75D2">
            <w:pPr>
              <w:bidi w:val="0"/>
              <w:ind w:left="42" w:leftChars="20" w:firstLine="480" w:firstLineChars="200"/>
              <w:jc w:val="center"/>
              <w:rPr>
                <w:rFonts w:hint="eastAsia" w:ascii="仿宋" w:hAnsi="仿宋" w:eastAsia="仿宋" w:cs="仿宋"/>
                <w:sz w:val="24"/>
                <w:szCs w:val="22"/>
                <w:lang w:val="en-US" w:eastAsia="en-US" w:bidi="ar-SA"/>
              </w:rPr>
            </w:pPr>
          </w:p>
        </w:tc>
      </w:tr>
    </w:tbl>
    <w:p w14:paraId="4A9E0017">
      <w:pPr>
        <w:keepNext w:val="0"/>
        <w:keepLines w:val="0"/>
        <w:widowControl/>
        <w:suppressLineNumbers w:val="0"/>
        <w:jc w:val="left"/>
        <w:rPr>
          <w:rFonts w:hint="eastAsia" w:ascii="仿宋" w:hAnsi="仿宋" w:eastAsia="仿宋" w:cs="仿宋"/>
          <w:b/>
          <w:bCs/>
          <w:color w:val="auto"/>
          <w:kern w:val="2"/>
          <w:sz w:val="28"/>
          <w:szCs w:val="28"/>
          <w:lang w:val="en-US" w:eastAsia="zh-CN" w:bidi="ar-SA"/>
        </w:rPr>
      </w:pPr>
      <w:r>
        <w:rPr>
          <w:rFonts w:hint="eastAsia" w:ascii="仿宋" w:hAnsi="仿宋" w:eastAsia="仿宋" w:cs="仿宋"/>
          <w:b/>
          <w:bCs/>
          <w:color w:val="auto"/>
          <w:kern w:val="2"/>
          <w:sz w:val="28"/>
          <w:szCs w:val="28"/>
          <w:lang w:val="en-US" w:eastAsia="zh-CN" w:bidi="ar-SA"/>
        </w:rPr>
        <w:t>4.20.3 地质条件</w:t>
      </w:r>
    </w:p>
    <w:p w14:paraId="7A359DC0">
      <w:pPr>
        <w:keepNext w:val="0"/>
        <w:keepLines w:val="0"/>
        <w:widowControl/>
        <w:suppressLineNumbers w:val="0"/>
        <w:jc w:val="left"/>
        <w:rPr>
          <w:rFonts w:hint="eastAsia" w:ascii="仿宋" w:hAnsi="仿宋" w:eastAsia="仿宋" w:cs="仿宋"/>
          <w:b/>
          <w:bCs/>
          <w:color w:val="auto"/>
          <w:kern w:val="2"/>
          <w:sz w:val="28"/>
          <w:szCs w:val="28"/>
          <w:lang w:val="en-US" w:eastAsia="zh-CN" w:bidi="ar-SA"/>
        </w:rPr>
      </w:pPr>
      <w:r>
        <w:rPr>
          <w:rFonts w:hint="eastAsia" w:ascii="仿宋" w:hAnsi="仿宋" w:eastAsia="仿宋" w:cs="仿宋"/>
          <w:b/>
          <w:bCs/>
          <w:color w:val="auto"/>
          <w:kern w:val="2"/>
          <w:sz w:val="28"/>
          <w:szCs w:val="28"/>
          <w:lang w:val="en-US" w:eastAsia="zh-CN" w:bidi="ar-SA"/>
        </w:rPr>
        <w:t>1、地层岩性</w:t>
      </w:r>
    </w:p>
    <w:p w14:paraId="517DB950">
      <w:pPr>
        <w:spacing w:line="520" w:lineRule="exact"/>
        <w:ind w:firstLine="532" w:firstLineChars="200"/>
        <w:jc w:val="left"/>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场地地层按层序由新到老叙述如下：</w:t>
      </w:r>
    </w:p>
    <w:p w14:paraId="5F8BA24D">
      <w:pPr>
        <w:spacing w:line="520" w:lineRule="exact"/>
        <w:ind w:firstLine="567"/>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根据本次勘察结果，场地内埋藏的地层主要有：地表水、第四系人工堆积杂填土、耕植土、第四系淤积成因淤泥、冲积硬塑粉质黏土。各地层的野外特征从新到老依次描述如下：</w:t>
      </w:r>
    </w:p>
    <w:p w14:paraId="190241BE">
      <w:pPr>
        <w:spacing w:line="520" w:lineRule="exact"/>
        <w:ind w:firstLine="567"/>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素填土（Q4ml）①：黄褐色，灰褐色，主要由粉质黏土和风化板岩岩块、岩屑混填而成，粒径一般为3~10cm不等，硬质物含量大于30%，结构不均匀，具孔隙，稍密，局部松散，稍湿，回填时间约为10年，为多年填土，已完成自重固结。采取率约为90%，工程性状差，为施工回填。无湿陷性。该层沿线15个钻孔均揭露，揭露层厚为0.60~15.20m。</w:t>
      </w:r>
    </w:p>
    <w:p w14:paraId="2E1D20B7">
      <w:pPr>
        <w:spacing w:line="520" w:lineRule="exact"/>
        <w:ind w:firstLine="567"/>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粉质黏土（Q3del）②：黄褐色、砖红色，硬塑，主要成分为粉质黏土，局部受铁锰质侵染呈灰褐色，土质较均匀，底部夹杂少量板岩碎屑，干强度韧性中等，无摇震反应，切面稍具光泽，残坡积成因。该层在沿线ZK1-ZK9处有揭露，揭露层厚为1.10~2.70m。</w:t>
      </w:r>
    </w:p>
    <w:p w14:paraId="477024A4">
      <w:pPr>
        <w:spacing w:line="520" w:lineRule="exact"/>
        <w:ind w:firstLine="567"/>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强风化板岩（Pt）③：灰黄色，泥质、砂质成份，变余泥质、砂质结构，板状构造，岩体极破碎，节理裂隙特发育，节理面被铁锰质氧化物侵染，岩芯多呈块状、短柱状，局部风化呈土状，锤击声哑，岩块用手易折断，遇水易软化，属于极软岩，岩石质量指标为极差的（RQD=0-10），岩体基本质量等级为Ⅴ类。岩芯采取率80%～90%。该层沿线15个钻孔均揭露，揭露层厚为1.10~5.20m。</w:t>
      </w:r>
    </w:p>
    <w:p w14:paraId="73ED2555">
      <w:pPr>
        <w:spacing w:line="520" w:lineRule="exact"/>
        <w:ind w:firstLine="567"/>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中风化板岩（Pt）④：灰黄色、灰绿色，泥质、砂质成份，变余泥质、砂质结构，板状构造，节理裂隙较发育，节理面被铁锰质氧化物侵染，岩体较完整，岩芯多呈柱状、短柱状，少量呈饼状、块状，属软岩，岩石质量为差的(RQD=25-50)，岩体基本质量等级为Ⅳ类。岩芯采取率80%～90%。该层沿线15个钻孔均揭露，未揭穿该层，揭露层厚为3.40~9.90m。</w:t>
      </w:r>
    </w:p>
    <w:p w14:paraId="31C53E35">
      <w:pPr>
        <w:keepNext w:val="0"/>
        <w:keepLines w:val="0"/>
        <w:widowControl/>
        <w:suppressLineNumbers w:val="0"/>
        <w:jc w:val="left"/>
        <w:rPr>
          <w:rFonts w:hint="eastAsia" w:ascii="仿宋" w:hAnsi="仿宋" w:eastAsia="仿宋" w:cs="仿宋"/>
          <w:b/>
          <w:bCs/>
          <w:color w:val="auto"/>
          <w:kern w:val="2"/>
          <w:sz w:val="28"/>
          <w:szCs w:val="28"/>
          <w:lang w:val="en-US" w:eastAsia="zh-CN" w:bidi="ar-SA"/>
        </w:rPr>
      </w:pPr>
      <w:r>
        <w:rPr>
          <w:rFonts w:hint="eastAsia" w:ascii="仿宋" w:hAnsi="仿宋" w:eastAsia="仿宋" w:cs="仿宋"/>
          <w:b/>
          <w:bCs/>
          <w:color w:val="auto"/>
          <w:kern w:val="2"/>
          <w:sz w:val="28"/>
          <w:szCs w:val="28"/>
          <w:lang w:val="en-US" w:eastAsia="zh-CN" w:bidi="ar-SA"/>
        </w:rPr>
        <w:t>2、地表水及地下水</w:t>
      </w:r>
    </w:p>
    <w:p w14:paraId="2FB28D05">
      <w:pPr>
        <w:spacing w:line="520" w:lineRule="exact"/>
        <w:ind w:firstLine="532" w:firstLineChars="200"/>
        <w:jc w:val="left"/>
        <w:rPr>
          <w:rFonts w:hint="default"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拟建道路已基本整平至设计路面线，沿线及周边未见地表水。</w:t>
      </w:r>
    </w:p>
    <w:p w14:paraId="1506AD38">
      <w:pPr>
        <w:spacing w:line="520" w:lineRule="exact"/>
        <w:ind w:firstLine="532" w:firstLineChars="200"/>
        <w:jc w:val="left"/>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路基施工时，应修建临时排水设施，</w:t>
      </w:r>
      <w:r>
        <w:rPr>
          <w:rFonts w:hint="default" w:ascii="仿宋" w:hAnsi="仿宋" w:eastAsia="仿宋" w:cs="仿宋"/>
          <w:color w:val="000000" w:themeColor="text1"/>
          <w:w w:val="95"/>
          <w:kern w:val="2"/>
          <w:sz w:val="28"/>
          <w:szCs w:val="28"/>
          <w:lang w:val="en-US" w:eastAsia="zh-CN" w:bidi="ar-SA"/>
          <w14:textFill>
            <w14:solidFill>
              <w14:schemeClr w14:val="tx1"/>
            </w14:solidFill>
          </w14:textFill>
        </w:rPr>
        <w:t>以透水性材料填实至浸水线以上再填筑路基，并在地势低洼易于积水地段做好地下水、地表水的疏排。</w:t>
      </w: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避免影响填方路基的稳定性。</w:t>
      </w:r>
    </w:p>
    <w:p w14:paraId="4A6884FF">
      <w:pPr>
        <w:spacing w:line="520" w:lineRule="exact"/>
        <w:ind w:firstLine="532" w:firstLineChars="200"/>
        <w:jc w:val="left"/>
        <w:rPr>
          <w:rFonts w:hint="default"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勘察期间揭露场地地下水为上层滞水，主要分布于杂填土①孔隙中，仅在ZK10~ZK15处有揭露，揭露地下水埋深4.30~5.20m,相当于绝对标高43.00~43.05m。依照周边无污染源原则，场地土对建筑材料具有微腐蚀性。</w:t>
      </w:r>
    </w:p>
    <w:p w14:paraId="6394023D">
      <w:pPr>
        <w:keepNext w:val="0"/>
        <w:keepLines w:val="0"/>
        <w:widowControl/>
        <w:suppressLineNumbers w:val="0"/>
        <w:jc w:val="left"/>
        <w:rPr>
          <w:rFonts w:hint="eastAsia" w:ascii="仿宋" w:hAnsi="仿宋" w:eastAsia="仿宋" w:cs="仿宋"/>
          <w:b/>
          <w:bCs/>
          <w:color w:val="auto"/>
          <w:kern w:val="2"/>
          <w:sz w:val="28"/>
          <w:szCs w:val="28"/>
          <w:lang w:val="en-US" w:eastAsia="zh-CN" w:bidi="ar-SA"/>
        </w:rPr>
      </w:pPr>
      <w:r>
        <w:rPr>
          <w:rFonts w:hint="eastAsia" w:ascii="仿宋" w:hAnsi="仿宋" w:eastAsia="仿宋" w:cs="仿宋"/>
          <w:b/>
          <w:bCs/>
          <w:color w:val="auto"/>
          <w:kern w:val="2"/>
          <w:sz w:val="28"/>
          <w:szCs w:val="28"/>
          <w:lang w:val="en-US" w:eastAsia="zh-CN" w:bidi="ar-SA"/>
        </w:rPr>
        <w:t>3、参数建议</w:t>
      </w:r>
    </w:p>
    <w:p w14:paraId="74240790">
      <w:pPr>
        <w:spacing w:line="520" w:lineRule="exact"/>
        <w:ind w:firstLine="532" w:firstLineChars="200"/>
        <w:jc w:val="left"/>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依据《岩土工程勘察规范》、《建筑地基基础设计规范》、《建筑桩基技术规范》及室内岩土试验数据，结合原位测试成果和现场调查，本项目场地内主要岩土层的力学参数建议值见下表：</w:t>
      </w:r>
    </w:p>
    <w:p w14:paraId="4343A1F4">
      <w:pPr>
        <w:spacing w:line="520" w:lineRule="exact"/>
        <w:ind w:firstLine="567"/>
        <w:rPr>
          <w:rFonts w:hint="eastAsia"/>
          <w:sz w:val="26"/>
          <w:szCs w:val="26"/>
          <w:lang w:eastAsia="zh-CN"/>
        </w:rPr>
      </w:pPr>
    </w:p>
    <w:p w14:paraId="75FCB1AD">
      <w:pPr>
        <w:spacing w:line="520" w:lineRule="exact"/>
        <w:ind w:firstLine="1371" w:firstLineChars="569"/>
        <w:rPr>
          <w:rFonts w:ascii="Times New Roman" w:hAnsi="Times New Roman" w:cs="Times New Roman"/>
          <w:b/>
          <w:bCs/>
          <w:sz w:val="24"/>
          <w:szCs w:val="24"/>
        </w:rPr>
      </w:pPr>
    </w:p>
    <w:p w14:paraId="2A5930C3">
      <w:pPr>
        <w:spacing w:line="520" w:lineRule="exact"/>
        <w:jc w:val="center"/>
        <w:rPr>
          <w:rFonts w:hint="eastAsia"/>
          <w:sz w:val="26"/>
          <w:szCs w:val="26"/>
          <w:lang w:eastAsia="zh-CN"/>
        </w:rPr>
      </w:pPr>
      <w:r>
        <w:rPr>
          <w:rFonts w:ascii="Times New Roman" w:hAnsi="Times New Roman" w:cs="Times New Roman"/>
          <w:b/>
          <w:bCs/>
          <w:sz w:val="24"/>
          <w:szCs w:val="24"/>
        </w:rPr>
        <w:t>场地岩土层工程特性指标推荐值</w:t>
      </w:r>
    </w:p>
    <w:p w14:paraId="3EF82908">
      <w:pPr>
        <w:spacing w:line="520" w:lineRule="exact"/>
        <w:ind w:firstLine="562" w:firstLineChars="200"/>
        <w:rPr>
          <w:rFonts w:hint="eastAsia"/>
          <w:b/>
          <w:bCs/>
          <w:sz w:val="28"/>
          <w:lang w:eastAsia="zh-CN"/>
        </w:rPr>
      </w:pPr>
      <w:r>
        <w:rPr>
          <w:rFonts w:hint="eastAsia"/>
          <w:b/>
          <w:bCs/>
          <w:sz w:val="28"/>
          <w:lang w:eastAsia="zh-CN"/>
        </w:rPr>
        <w:drawing>
          <wp:anchor distT="0" distB="0" distL="114300" distR="114300" simplePos="0" relativeHeight="251661312" behindDoc="0" locked="0" layoutInCell="1" allowOverlap="1">
            <wp:simplePos x="0" y="0"/>
            <wp:positionH relativeFrom="column">
              <wp:posOffset>20955</wp:posOffset>
            </wp:positionH>
            <wp:positionV relativeFrom="paragraph">
              <wp:posOffset>15240</wp:posOffset>
            </wp:positionV>
            <wp:extent cx="6433820" cy="3171190"/>
            <wp:effectExtent l="0" t="0" r="5080" b="10160"/>
            <wp:wrapNone/>
            <wp:docPr id="34" name="图片 34" descr="cc4094bd-3e29-4b85-b43f-7614bb58b1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cc4094bd-3e29-4b85-b43f-7614bb58b1c9"/>
                    <pic:cNvPicPr>
                      <a:picLocks noChangeAspect="1"/>
                    </pic:cNvPicPr>
                  </pic:nvPicPr>
                  <pic:blipFill>
                    <a:blip r:embed="rId34"/>
                    <a:stretch>
                      <a:fillRect/>
                    </a:stretch>
                  </pic:blipFill>
                  <pic:spPr>
                    <a:xfrm>
                      <a:off x="0" y="0"/>
                      <a:ext cx="6433820" cy="3171190"/>
                    </a:xfrm>
                    <a:prstGeom prst="rect">
                      <a:avLst/>
                    </a:prstGeom>
                  </pic:spPr>
                </pic:pic>
              </a:graphicData>
            </a:graphic>
          </wp:anchor>
        </w:drawing>
      </w:r>
    </w:p>
    <w:p w14:paraId="2D4C7B95">
      <w:pPr>
        <w:spacing w:line="520" w:lineRule="exact"/>
        <w:ind w:firstLine="562" w:firstLineChars="200"/>
        <w:rPr>
          <w:rFonts w:hint="eastAsia"/>
          <w:b/>
          <w:bCs/>
          <w:sz w:val="28"/>
          <w:lang w:eastAsia="zh-CN"/>
        </w:rPr>
      </w:pPr>
    </w:p>
    <w:p w14:paraId="0943352F">
      <w:pPr>
        <w:spacing w:line="520" w:lineRule="exact"/>
        <w:ind w:firstLine="562" w:firstLineChars="200"/>
        <w:rPr>
          <w:rFonts w:hint="eastAsia"/>
          <w:b/>
          <w:bCs/>
          <w:sz w:val="28"/>
          <w:lang w:eastAsia="zh-CN"/>
        </w:rPr>
      </w:pPr>
    </w:p>
    <w:p w14:paraId="13210B29">
      <w:pPr>
        <w:spacing w:line="520" w:lineRule="exact"/>
        <w:ind w:firstLine="562" w:firstLineChars="200"/>
        <w:rPr>
          <w:rFonts w:hint="eastAsia"/>
          <w:b/>
          <w:bCs/>
          <w:sz w:val="28"/>
          <w:lang w:eastAsia="zh-CN"/>
        </w:rPr>
      </w:pPr>
    </w:p>
    <w:p w14:paraId="00CBBE84">
      <w:pPr>
        <w:spacing w:line="520" w:lineRule="exact"/>
        <w:ind w:firstLine="562" w:firstLineChars="200"/>
        <w:rPr>
          <w:rFonts w:hint="eastAsia"/>
          <w:b/>
          <w:bCs/>
          <w:sz w:val="28"/>
          <w:lang w:eastAsia="zh-CN"/>
        </w:rPr>
      </w:pPr>
    </w:p>
    <w:p w14:paraId="7EB9A7FE">
      <w:pPr>
        <w:spacing w:line="520" w:lineRule="exact"/>
        <w:ind w:firstLine="562" w:firstLineChars="200"/>
        <w:rPr>
          <w:rFonts w:hint="eastAsia"/>
          <w:b/>
          <w:bCs/>
          <w:sz w:val="28"/>
          <w:lang w:eastAsia="zh-CN"/>
        </w:rPr>
      </w:pPr>
    </w:p>
    <w:p w14:paraId="58DB361B">
      <w:pPr>
        <w:spacing w:line="520" w:lineRule="exact"/>
        <w:ind w:firstLine="562" w:firstLineChars="200"/>
        <w:rPr>
          <w:rFonts w:hint="eastAsia"/>
          <w:b/>
          <w:bCs/>
          <w:sz w:val="28"/>
          <w:lang w:eastAsia="zh-CN"/>
        </w:rPr>
      </w:pPr>
      <w:r>
        <w:rPr>
          <w:rFonts w:hint="eastAsia"/>
          <w:b/>
          <w:bCs/>
          <w:sz w:val="28"/>
          <w:lang w:val="en-US" w:eastAsia="zh-CN"/>
        </w:rPr>
        <w:t>4、</w:t>
      </w:r>
      <w:r>
        <w:rPr>
          <w:rFonts w:hint="eastAsia"/>
          <w:b/>
          <w:bCs/>
          <w:sz w:val="28"/>
          <w:lang w:eastAsia="zh-CN"/>
        </w:rPr>
        <w:t>地震效应评级</w:t>
      </w:r>
    </w:p>
    <w:p w14:paraId="4E011F1C">
      <w:pPr>
        <w:keepNext w:val="0"/>
        <w:keepLines w:val="0"/>
        <w:pageBreakBefore w:val="0"/>
        <w:widowControl w:val="0"/>
        <w:kinsoku/>
        <w:wordWrap/>
        <w:overflowPunct/>
        <w:topLinePunct w:val="0"/>
        <w:autoSpaceDE/>
        <w:autoSpaceDN/>
        <w:bidi w:val="0"/>
        <w:adjustRightInd/>
        <w:snapToGrid/>
        <w:spacing w:line="520" w:lineRule="exact"/>
        <w:ind w:firstLine="567"/>
        <w:textAlignment w:val="auto"/>
        <w:rPr>
          <w:rFonts w:hint="eastAsia"/>
          <w:sz w:val="26"/>
          <w:szCs w:val="26"/>
          <w:lang w:val="en-US" w:eastAsia="zh-CN"/>
        </w:rPr>
      </w:pPr>
    </w:p>
    <w:p w14:paraId="11BAD1BB">
      <w:pPr>
        <w:keepNext w:val="0"/>
        <w:keepLines w:val="0"/>
        <w:pageBreakBefore w:val="0"/>
        <w:widowControl w:val="0"/>
        <w:kinsoku/>
        <w:wordWrap/>
        <w:overflowPunct/>
        <w:topLinePunct w:val="0"/>
        <w:autoSpaceDE/>
        <w:autoSpaceDN/>
        <w:bidi w:val="0"/>
        <w:adjustRightInd/>
        <w:snapToGrid/>
        <w:spacing w:line="520" w:lineRule="exact"/>
        <w:ind w:firstLine="567"/>
        <w:textAlignment w:val="auto"/>
        <w:rPr>
          <w:rFonts w:hint="eastAsia"/>
          <w:sz w:val="26"/>
          <w:szCs w:val="26"/>
          <w:lang w:val="en-US" w:eastAsia="zh-CN"/>
        </w:rPr>
      </w:pPr>
    </w:p>
    <w:p w14:paraId="727CF94B">
      <w:pPr>
        <w:spacing w:line="520" w:lineRule="exact"/>
        <w:ind w:firstLine="532" w:firstLineChars="200"/>
        <w:jc w:val="left"/>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p>
    <w:p w14:paraId="6D0D696C">
      <w:pPr>
        <w:spacing w:line="520" w:lineRule="exact"/>
        <w:ind w:firstLine="532" w:firstLineChars="200"/>
        <w:jc w:val="left"/>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根据区域资料及岩土名称、性状，从拟建建筑设计地坪标高开始计算覆盖层厚度与等效剪切波速。根据场地设计地坪标高、岩层起伏情况、填土层厚度， 按《建筑抗震设计规范》（GB50011-2010）（2016年版）表4.1.3及</w:t>
      </w:r>
      <w:r>
        <w:rPr>
          <w:rFonts w:hint="default" w:ascii="仿宋" w:hAnsi="仿宋" w:eastAsia="仿宋" w:cs="仿宋"/>
          <w:color w:val="000000" w:themeColor="text1"/>
          <w:w w:val="95"/>
          <w:kern w:val="2"/>
          <w:sz w:val="28"/>
          <w:szCs w:val="28"/>
          <w:lang w:val="en-US" w:eastAsia="zh-CN" w:bidi="ar-SA"/>
          <w14:textFill>
            <w14:solidFill>
              <w14:schemeClr w14:val="tx1"/>
            </w14:solidFill>
          </w14:textFill>
        </w:rPr>
        <w:t>《建筑与市政工程抗震通用规范》</w:t>
      </w: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w:t>
      </w:r>
      <w:r>
        <w:rPr>
          <w:rFonts w:hint="default" w:ascii="仿宋" w:hAnsi="仿宋" w:eastAsia="仿宋" w:cs="仿宋"/>
          <w:color w:val="000000" w:themeColor="text1"/>
          <w:w w:val="95"/>
          <w:kern w:val="2"/>
          <w:sz w:val="28"/>
          <w:szCs w:val="28"/>
          <w:lang w:val="en-US" w:eastAsia="zh-CN" w:bidi="ar-SA"/>
          <w14:textFill>
            <w14:solidFill>
              <w14:schemeClr w14:val="tx1"/>
            </w14:solidFill>
          </w14:textFill>
        </w:rPr>
        <w:t xml:space="preserve">GB 55002-2021 </w:t>
      </w: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）第</w:t>
      </w:r>
      <w:r>
        <w:rPr>
          <w:rFonts w:hint="default" w:ascii="仿宋" w:hAnsi="仿宋" w:eastAsia="仿宋" w:cs="仿宋"/>
          <w:color w:val="000000" w:themeColor="text1"/>
          <w:w w:val="95"/>
          <w:kern w:val="2"/>
          <w:sz w:val="28"/>
          <w:szCs w:val="28"/>
          <w:lang w:val="en-US" w:eastAsia="zh-CN" w:bidi="ar-SA"/>
          <w14:textFill>
            <w14:solidFill>
              <w14:schemeClr w14:val="tx1"/>
            </w14:solidFill>
          </w14:textFill>
        </w:rPr>
        <w:t>3.13条</w:t>
      </w: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综合判定：拟建场地土类型为中软土，场地类别为Ⅱ类。</w:t>
      </w:r>
    </w:p>
    <w:p w14:paraId="2B92F7A9">
      <w:pPr>
        <w:keepNext w:val="0"/>
        <w:keepLines w:val="0"/>
        <w:widowControl/>
        <w:suppressLineNumbers w:val="0"/>
        <w:jc w:val="left"/>
        <w:rPr>
          <w:rFonts w:hint="eastAsia" w:ascii="仿宋" w:hAnsi="仿宋" w:eastAsia="仿宋" w:cs="仿宋"/>
          <w:b/>
          <w:bCs/>
          <w:color w:val="auto"/>
          <w:kern w:val="2"/>
          <w:sz w:val="28"/>
          <w:szCs w:val="28"/>
          <w:lang w:val="en-US" w:eastAsia="zh-CN" w:bidi="ar-SA"/>
        </w:rPr>
      </w:pPr>
      <w:r>
        <w:rPr>
          <w:rFonts w:hint="eastAsia" w:ascii="仿宋" w:hAnsi="仿宋" w:eastAsia="仿宋" w:cs="仿宋"/>
          <w:b/>
          <w:bCs/>
          <w:color w:val="auto"/>
          <w:kern w:val="2"/>
          <w:sz w:val="28"/>
          <w:szCs w:val="28"/>
          <w:lang w:val="en-US" w:eastAsia="zh-CN" w:bidi="ar-SA"/>
        </w:rPr>
        <w:t>5、道路基础持力层建议</w:t>
      </w:r>
    </w:p>
    <w:p w14:paraId="4B6BECB1">
      <w:pPr>
        <w:spacing w:line="520" w:lineRule="exact"/>
        <w:ind w:firstLine="532" w:firstLineChars="200"/>
        <w:jc w:val="left"/>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拟建道路设计路面标高以下地层为：素填土①层，该层未经处理不可做路基持力层；粉质黏土（硬塑）②层、强风化板岩③层、中风化板岩④,其力学性质均较好，厚度一般，均可作为路基持力层。但根据拟建道路设计标高，粉质黏土②层仅K0+056~K0+160区域埋深较浅，其它区域强风化板岩③层及中风化板岩④层埋深较大，根据场地地质条件及拟建道路设计标高综合考虑：建议K0+056~K0+160区域以粉质黏土②层作为路基持力层，其它路段对素填土①层进行处理（可对素填土①进行换填、夯实、分层压实处理，或进行采用高压喷射注浆加固或振动碎石桩加固处理）并检测合格满足设计要求后方能在其上进行填方施工，并按要求进行分层碾压至设计路面标高，以碾压且满足设计要求后的填土层作为路基持力层。</w:t>
      </w:r>
    </w:p>
    <w:p w14:paraId="39C542FD">
      <w:pPr>
        <w:spacing w:line="520" w:lineRule="exact"/>
        <w:ind w:firstLine="532" w:firstLineChars="200"/>
        <w:jc w:val="left"/>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采用振动碎石桩地基处理时， 根据现场实际情况可采用三角形、正方形、矩形布桩，施工后，应将表层的松散层挖除或夯压密实， 随后铺设并压实砂石垫层。严格控制填料量，通过现场试验确定。</w:t>
      </w:r>
    </w:p>
    <w:p w14:paraId="188365CA">
      <w:pPr>
        <w:keepNext w:val="0"/>
        <w:keepLines w:val="0"/>
        <w:pageBreakBefore w:val="0"/>
        <w:widowControl w:val="0"/>
        <w:kinsoku/>
        <w:wordWrap/>
        <w:overflowPunct/>
        <w:topLinePunct w:val="0"/>
        <w:autoSpaceDE/>
        <w:autoSpaceDN/>
        <w:bidi w:val="0"/>
        <w:adjustRightInd/>
        <w:snapToGrid/>
        <w:spacing w:beforeLines="0" w:afterLines="0"/>
        <w:ind w:firstLine="0" w:firstLineChars="0"/>
        <w:jc w:val="left"/>
        <w:textAlignment w:val="auto"/>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b/>
          <w:bCs/>
          <w:color w:val="auto"/>
          <w:kern w:val="2"/>
          <w:sz w:val="28"/>
          <w:szCs w:val="28"/>
          <w:lang w:val="en-US" w:eastAsia="zh-CN" w:bidi="ar-SA"/>
        </w:rPr>
        <w:t>6、软基处理</w:t>
      </w:r>
      <w:r>
        <w:rPr>
          <w:rFonts w:hint="eastAsia" w:ascii="Times New Roman" w:hAnsi="Times New Roman" w:cs="Times New Roman"/>
          <w:b/>
          <w:bCs/>
          <w:sz w:val="28"/>
          <w:lang w:val="en-US" w:eastAsia="zh-CN"/>
        </w:rPr>
        <w:br w:type="textWrapping"/>
      </w: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t>根据工程地质报告数据，本次瓦子坡路K0+055-K0+185段红线范围内清杂土均厚0.8m，然后进行0.8m素土回填碾压，处理面积约3326m2。K0+185~K0+259段红线范围内清杂土均厚1.5m，然后进行0.5m片石+0.2m碎石+0.8m素土回填碾压，处理面积约2564m2。</w:t>
      </w:r>
    </w:p>
    <w:p w14:paraId="16F00763">
      <w:pPr>
        <w:keepNext w:val="0"/>
        <w:keepLines w:val="0"/>
        <w:widowControl/>
        <w:suppressLineNumbers w:val="0"/>
        <w:jc w:val="left"/>
        <w:rPr>
          <w:rFonts w:hint="eastAsia" w:ascii="仿宋" w:hAnsi="仿宋" w:eastAsia="仿宋" w:cs="仿宋"/>
          <w:b/>
          <w:bCs/>
          <w:color w:val="auto"/>
          <w:kern w:val="2"/>
          <w:sz w:val="28"/>
          <w:szCs w:val="28"/>
          <w:lang w:val="en-US" w:eastAsia="zh-CN" w:bidi="ar-SA"/>
        </w:rPr>
      </w:pPr>
      <w:r>
        <w:rPr>
          <w:rFonts w:hint="eastAsia" w:ascii="仿宋" w:hAnsi="仿宋" w:eastAsia="仿宋" w:cs="仿宋"/>
          <w:b/>
          <w:bCs/>
          <w:color w:val="auto"/>
          <w:kern w:val="2"/>
          <w:sz w:val="28"/>
          <w:szCs w:val="28"/>
          <w:lang w:val="en-US" w:eastAsia="zh-CN" w:bidi="ar-SA"/>
        </w:rPr>
        <w:t xml:space="preserve">4.19.4  设计原则及指导思想 </w:t>
      </w:r>
    </w:p>
    <w:p w14:paraId="20C18EF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（1）以科学发展观为指导，以建设资源节约型、环境友好型社会为目标，符合“两型社会”总体要求。 </w:t>
      </w:r>
    </w:p>
    <w:p w14:paraId="4BD1A14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（2）优化提升小区道路交通系统建设水平，进一步完善小区道路微循环路网，提高道路交通的服务水平和安全等级，减少交通事故发生。 </w:t>
      </w:r>
    </w:p>
    <w:p w14:paraId="7F096D4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（3）完善城市背街小巷改造，改善旧城区环境面貌。</w:t>
      </w:r>
    </w:p>
    <w:p w14:paraId="42E51A98">
      <w:pPr>
        <w:keepNext w:val="0"/>
        <w:keepLines w:val="0"/>
        <w:widowControl/>
        <w:suppressLineNumbers w:val="0"/>
        <w:jc w:val="left"/>
        <w:rPr>
          <w:rFonts w:hint="eastAsia" w:ascii="仿宋" w:hAnsi="仿宋" w:eastAsia="仿宋" w:cs="仿宋"/>
          <w:b/>
          <w:bCs/>
          <w:color w:val="auto"/>
          <w:kern w:val="2"/>
          <w:sz w:val="28"/>
          <w:szCs w:val="28"/>
          <w:lang w:val="en-US" w:eastAsia="zh-CN" w:bidi="ar-SA"/>
        </w:rPr>
      </w:pPr>
      <w:r>
        <w:rPr>
          <w:rFonts w:hint="eastAsia" w:ascii="仿宋" w:hAnsi="仿宋" w:eastAsia="仿宋" w:cs="仿宋"/>
          <w:b/>
          <w:bCs/>
          <w:color w:val="auto"/>
          <w:kern w:val="2"/>
          <w:sz w:val="28"/>
          <w:szCs w:val="28"/>
          <w:lang w:val="en-US" w:eastAsia="zh-CN" w:bidi="ar-SA"/>
        </w:rPr>
        <w:t>4.20.5  路基路面设计</w:t>
      </w:r>
    </w:p>
    <w:p w14:paraId="78FD62C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4.1、道路线型设计</w:t>
      </w:r>
    </w:p>
    <w:p w14:paraId="7E29F7B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设计范围内道路线型根据现有线路走向进行拟合。 </w:t>
      </w:r>
    </w:p>
    <w:p w14:paraId="092F0E65">
      <w:pPr>
        <w:numPr>
          <w:ilvl w:val="0"/>
          <w:numId w:val="8"/>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红盾新村:改造路面8759平方米。</w:t>
      </w:r>
    </w:p>
    <w:p w14:paraId="2F952404">
      <w:pPr>
        <w:numPr>
          <w:ilvl w:val="0"/>
          <w:numId w:val="8"/>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大桥新城：拆除及恢复路面880平方米</w:t>
      </w:r>
    </w:p>
    <w:p w14:paraId="687AF258">
      <w:pPr>
        <w:numPr>
          <w:ilvl w:val="0"/>
          <w:numId w:val="8"/>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廖家小区：拆除及恢复路面23414平方米。</w:t>
      </w:r>
    </w:p>
    <w:p w14:paraId="1F51779C">
      <w:pPr>
        <w:numPr>
          <w:ilvl w:val="0"/>
          <w:numId w:val="8"/>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梅子柿社区：拆除及恢复路面11345平方米。</w:t>
      </w:r>
    </w:p>
    <w:p w14:paraId="6753EBCF">
      <w:pPr>
        <w:numPr>
          <w:ilvl w:val="0"/>
          <w:numId w:val="8"/>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西塘社区：拆除及恢复路面4096平方米。</w:t>
      </w:r>
    </w:p>
    <w:p w14:paraId="0584CB33">
      <w:pPr>
        <w:numPr>
          <w:ilvl w:val="0"/>
          <w:numId w:val="8"/>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瓦子坡临时路:改造临时路4475平方米，除修建车行道外，南北两侧修建人行道。</w:t>
      </w:r>
    </w:p>
    <w:p w14:paraId="5172071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4.2竖向设计</w:t>
      </w:r>
    </w:p>
    <w:p w14:paraId="6B5EAB9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本项目为改造工程，受现状道路及建筑标高限制，总体竖向基本维持现状不变，局部优化平顺衔接，“白改黑”部分在现状基础上抬高。瓦子坡路纵断面设置一处变坡点，道路纵坡为1.6%、</w:t>
      </w:r>
      <w:r>
        <w:rPr>
          <w:rFonts w:hint="default" w:ascii="仿宋" w:hAnsi="仿宋" w:eastAsia="仿宋" w:cs="仿宋"/>
          <w:color w:val="auto"/>
          <w:w w:val="95"/>
          <w:sz w:val="28"/>
          <w:szCs w:val="28"/>
          <w:lang w:val="en-US" w:eastAsia="zh-CN"/>
        </w:rPr>
        <w:t>0.3</w:t>
      </w:r>
      <w:r>
        <w:rPr>
          <w:rFonts w:hint="eastAsia" w:ascii="仿宋" w:hAnsi="仿宋" w:eastAsia="仿宋" w:cs="仿宋"/>
          <w:color w:val="auto"/>
          <w:w w:val="95"/>
          <w:sz w:val="28"/>
          <w:szCs w:val="28"/>
          <w:lang w:val="en-US" w:eastAsia="zh-CN"/>
        </w:rPr>
        <w:t>6</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，纵断面各项指标满足规范要求。</w:t>
      </w:r>
    </w:p>
    <w:p w14:paraId="2DBC7BD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4.3横断面设计</w:t>
      </w:r>
    </w:p>
    <w:p w14:paraId="5BF0D3F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本项目为改造工程，受两侧用地及建筑限制，路宽基本维持现状不变。路面横坡坡度为1.5%，≥6m宽以上路面采用直线型双向路拱，&lt;6m宽路面采用直线型单向路拱。</w:t>
      </w:r>
    </w:p>
    <w:p w14:paraId="062C2FDC">
      <w:pPr>
        <w:spacing w:line="360" w:lineRule="auto"/>
        <w:ind w:firstLine="532" w:firstLineChars="200"/>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瓦子坡路为城市次干路，路幅宽度35</w:t>
      </w:r>
      <w:r>
        <w:rPr>
          <w:rFonts w:hint="default" w:ascii="仿宋" w:hAnsi="仿宋" w:eastAsia="仿宋" w:cs="仿宋"/>
          <w:color w:val="auto"/>
          <w:w w:val="95"/>
          <w:sz w:val="28"/>
          <w:szCs w:val="28"/>
          <w:lang w:val="en-US" w:eastAsia="zh-CN"/>
        </w:rPr>
        <w:t>m</w:t>
      </w:r>
      <w:r>
        <w:rPr>
          <w:rFonts w:hint="eastAsia" w:ascii="仿宋" w:hAnsi="仿宋" w:eastAsia="仿宋" w:cs="仿宋"/>
          <w:color w:val="auto"/>
          <w:w w:val="95"/>
          <w:sz w:val="28"/>
          <w:szCs w:val="28"/>
          <w:lang w:val="en-US" w:eastAsia="zh-CN"/>
        </w:rPr>
        <w:t>，长度约0.26</w:t>
      </w:r>
      <w:r>
        <w:rPr>
          <w:rFonts w:hint="default" w:ascii="仿宋" w:hAnsi="仿宋" w:eastAsia="仿宋" w:cs="仿宋"/>
          <w:color w:val="auto"/>
          <w:w w:val="95"/>
          <w:sz w:val="28"/>
          <w:szCs w:val="28"/>
          <w:lang w:val="en-US" w:eastAsia="zh-CN"/>
        </w:rPr>
        <w:t>km</w:t>
      </w:r>
      <w:r>
        <w:rPr>
          <w:rFonts w:hint="eastAsia" w:ascii="仿宋" w:hAnsi="仿宋" w:eastAsia="仿宋" w:cs="仿宋"/>
          <w:color w:val="auto"/>
          <w:w w:val="95"/>
          <w:sz w:val="28"/>
          <w:szCs w:val="28"/>
          <w:lang w:val="en-US" w:eastAsia="zh-CN"/>
        </w:rPr>
        <w:t>。设计横断面方案一宽度组成为：35米</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6.5米</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人行道</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3.75米（机非混行车道）</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3.5米（机动车道）</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3.5米（机动车道）</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0.5米（分隔带）+3.5米（机动车道）</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3.5米（机动车道）+3.75米（机非混行车道））</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6.5米</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人行道</w:t>
      </w:r>
      <w:r>
        <w:rPr>
          <w:rFonts w:hint="default" w:ascii="仿宋" w:hAnsi="仿宋" w:eastAsia="仿宋" w:cs="仿宋"/>
          <w:color w:val="auto"/>
          <w:w w:val="95"/>
          <w:sz w:val="28"/>
          <w:szCs w:val="28"/>
          <w:lang w:val="en-US" w:eastAsia="zh-CN"/>
        </w:rPr>
        <w:t>)</w:t>
      </w:r>
    </w:p>
    <w:p w14:paraId="2D3B8AA4">
      <w:pPr>
        <w:spacing w:line="360" w:lineRule="auto"/>
      </w:pPr>
      <w:r>
        <w:drawing>
          <wp:inline distT="0" distB="0" distL="114300" distR="114300">
            <wp:extent cx="5657215" cy="3639820"/>
            <wp:effectExtent l="0" t="0" r="635" b="1778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35"/>
                    <a:srcRect t="5117" b="3688"/>
                    <a:stretch>
                      <a:fillRect/>
                    </a:stretch>
                  </pic:blipFill>
                  <pic:spPr>
                    <a:xfrm>
                      <a:off x="0" y="0"/>
                      <a:ext cx="5657215" cy="3639820"/>
                    </a:xfrm>
                    <a:prstGeom prst="rect">
                      <a:avLst/>
                    </a:prstGeom>
                    <a:noFill/>
                    <a:ln>
                      <a:noFill/>
                    </a:ln>
                  </pic:spPr>
                </pic:pic>
              </a:graphicData>
            </a:graphic>
          </wp:inline>
        </w:drawing>
      </w:r>
    </w:p>
    <w:p w14:paraId="78A0015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设计横断面方案二宽度组成为：35米=2.5米（非机动车道）+4米</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人行道</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3.75米（机非混行车道）</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3.5米（机动车道）</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3.5米（机动车道）</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0.5米（分隔带）+3.5米（机动车道）</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3.5米（机动车道）+3.75米（机非混行车道））</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4米</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人行道</w:t>
      </w:r>
      <w:r>
        <w:rPr>
          <w:rFonts w:hint="default" w:ascii="仿宋" w:hAnsi="仿宋" w:eastAsia="仿宋" w:cs="仿宋"/>
          <w:color w:val="auto"/>
          <w:w w:val="95"/>
          <w:sz w:val="28"/>
          <w:szCs w:val="28"/>
          <w:lang w:val="en-US" w:eastAsia="zh-CN"/>
        </w:rPr>
        <w:t>)</w:t>
      </w:r>
      <w:r>
        <w:rPr>
          <w:rFonts w:hint="eastAsia" w:ascii="仿宋" w:hAnsi="仿宋" w:eastAsia="仿宋" w:cs="仿宋"/>
          <w:color w:val="auto"/>
          <w:w w:val="95"/>
          <w:sz w:val="28"/>
          <w:szCs w:val="28"/>
          <w:lang w:val="en-US" w:eastAsia="zh-CN"/>
        </w:rPr>
        <w:t>+2.5米（非机动车道）</w:t>
      </w:r>
    </w:p>
    <w:p w14:paraId="14911CF1">
      <w:pPr>
        <w:spacing w:line="360" w:lineRule="auto"/>
        <w:ind w:firstLine="420" w:firstLineChars="200"/>
        <w:rPr>
          <w:rFonts w:hint="default" w:ascii="仿宋" w:hAnsi="仿宋" w:eastAsia="仿宋" w:cs="仿宋"/>
          <w:color w:val="auto"/>
          <w:w w:val="95"/>
          <w:sz w:val="28"/>
          <w:szCs w:val="28"/>
          <w:lang w:val="en-US" w:eastAsia="zh-CN"/>
        </w:rPr>
      </w:pPr>
      <w:r>
        <w:drawing>
          <wp:inline distT="0" distB="0" distL="114300" distR="114300">
            <wp:extent cx="5278755" cy="3655695"/>
            <wp:effectExtent l="0" t="0" r="17145" b="1905"/>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36"/>
                    <a:srcRect t="2365"/>
                    <a:stretch>
                      <a:fillRect/>
                    </a:stretch>
                  </pic:blipFill>
                  <pic:spPr>
                    <a:xfrm>
                      <a:off x="0" y="0"/>
                      <a:ext cx="5278755" cy="3655695"/>
                    </a:xfrm>
                    <a:prstGeom prst="rect">
                      <a:avLst/>
                    </a:prstGeom>
                    <a:noFill/>
                    <a:ln>
                      <a:noFill/>
                    </a:ln>
                  </pic:spPr>
                </pic:pic>
              </a:graphicData>
            </a:graphic>
          </wp:inline>
        </w:drawing>
      </w:r>
    </w:p>
    <w:p w14:paraId="02AB16E5">
      <w:pPr>
        <w:spacing w:line="360" w:lineRule="auto"/>
        <w:ind w:firstLine="532" w:firstLineChars="200"/>
        <w:rPr>
          <w:rFonts w:hint="eastAsia"/>
          <w:lang w:val="en-US" w:eastAsia="zh-CN"/>
        </w:rPr>
      </w:pPr>
      <w:r>
        <w:rPr>
          <w:rFonts w:hint="eastAsia" w:ascii="仿宋" w:hAnsi="仿宋" w:eastAsia="仿宋" w:cs="仿宋"/>
          <w:color w:val="auto"/>
          <w:w w:val="95"/>
          <w:sz w:val="28"/>
          <w:szCs w:val="28"/>
          <w:lang w:val="en-US" w:eastAsia="zh-CN"/>
        </w:rPr>
        <w:t>参考已建瓦子坡路分幅，本次改造段横断面采用方案一。</w:t>
      </w:r>
    </w:p>
    <w:p w14:paraId="1ED63B7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4.4路基设计</w:t>
      </w:r>
    </w:p>
    <w:p w14:paraId="6319BE8B">
      <w:pPr>
        <w:spacing w:line="360" w:lineRule="auto"/>
        <w:ind w:firstLine="532" w:firstLineChars="200"/>
        <w:rPr>
          <w:rFonts w:hint="eastAsia"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 xml:space="preserve">1. </w:t>
      </w:r>
      <w:r>
        <w:rPr>
          <w:rFonts w:hint="eastAsia" w:ascii="仿宋" w:hAnsi="仿宋" w:eastAsia="仿宋" w:cs="仿宋"/>
          <w:color w:val="auto"/>
          <w:w w:val="95"/>
          <w:sz w:val="28"/>
          <w:szCs w:val="28"/>
          <w:lang w:val="en-US" w:eastAsia="zh-CN"/>
        </w:rPr>
        <w:t>一般路基（浅填低挖路基）</w:t>
      </w:r>
    </w:p>
    <w:p w14:paraId="13A6843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标准路基：路基填方边坡坡度为</w:t>
      </w:r>
      <w:r>
        <w:rPr>
          <w:rFonts w:hint="default" w:ascii="仿宋" w:hAnsi="仿宋" w:eastAsia="仿宋" w:cs="仿宋"/>
          <w:color w:val="auto"/>
          <w:w w:val="95"/>
          <w:sz w:val="28"/>
          <w:szCs w:val="28"/>
          <w:lang w:val="en-US" w:eastAsia="zh-CN"/>
        </w:rPr>
        <w:t>1</w:t>
      </w:r>
      <w:r>
        <w:rPr>
          <w:rFonts w:hint="eastAsia" w:ascii="仿宋" w:hAnsi="仿宋" w:eastAsia="仿宋" w:cs="仿宋"/>
          <w:color w:val="auto"/>
          <w:w w:val="95"/>
          <w:sz w:val="28"/>
          <w:szCs w:val="28"/>
          <w:lang w:val="en-US" w:eastAsia="zh-CN"/>
        </w:rPr>
        <w:t>：1.5，挖方边坡坡度为</w:t>
      </w:r>
      <w:r>
        <w:rPr>
          <w:rFonts w:hint="default" w:ascii="仿宋" w:hAnsi="仿宋" w:eastAsia="仿宋" w:cs="仿宋"/>
          <w:color w:val="auto"/>
          <w:w w:val="95"/>
          <w:sz w:val="28"/>
          <w:szCs w:val="28"/>
          <w:lang w:val="en-US" w:eastAsia="zh-CN"/>
        </w:rPr>
        <w:t>1</w:t>
      </w:r>
      <w:r>
        <w:rPr>
          <w:rFonts w:hint="eastAsia" w:ascii="仿宋" w:hAnsi="仿宋" w:eastAsia="仿宋" w:cs="仿宋"/>
          <w:color w:val="auto"/>
          <w:w w:val="95"/>
          <w:sz w:val="28"/>
          <w:szCs w:val="28"/>
          <w:lang w:val="en-US" w:eastAsia="zh-CN"/>
        </w:rPr>
        <w:t>：</w:t>
      </w:r>
      <w:r>
        <w:rPr>
          <w:rFonts w:hint="default" w:ascii="仿宋" w:hAnsi="仿宋" w:eastAsia="仿宋" w:cs="仿宋"/>
          <w:color w:val="auto"/>
          <w:w w:val="95"/>
          <w:sz w:val="28"/>
          <w:szCs w:val="28"/>
          <w:lang w:val="en-US" w:eastAsia="zh-CN"/>
        </w:rPr>
        <w:t>1</w:t>
      </w:r>
      <w:r>
        <w:rPr>
          <w:rFonts w:hint="eastAsia" w:ascii="仿宋" w:hAnsi="仿宋" w:eastAsia="仿宋" w:cs="仿宋"/>
          <w:color w:val="auto"/>
          <w:w w:val="95"/>
          <w:sz w:val="28"/>
          <w:szCs w:val="28"/>
          <w:lang w:val="en-US" w:eastAsia="zh-CN"/>
        </w:rPr>
        <w:t>。</w:t>
      </w:r>
    </w:p>
    <w:p w14:paraId="211B645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填方前，应清表</w:t>
      </w:r>
      <w:r>
        <w:rPr>
          <w:rFonts w:hint="default" w:ascii="仿宋" w:hAnsi="仿宋" w:eastAsia="仿宋" w:cs="仿宋"/>
          <w:color w:val="auto"/>
          <w:w w:val="95"/>
          <w:sz w:val="28"/>
          <w:szCs w:val="28"/>
          <w:lang w:val="en-US" w:eastAsia="zh-CN"/>
        </w:rPr>
        <w:t>30cm</w:t>
      </w:r>
      <w:r>
        <w:rPr>
          <w:rFonts w:hint="eastAsia" w:ascii="仿宋" w:hAnsi="仿宋" w:eastAsia="仿宋" w:cs="仿宋"/>
          <w:color w:val="auto"/>
          <w:w w:val="95"/>
          <w:sz w:val="28"/>
          <w:szCs w:val="28"/>
          <w:lang w:val="en-US" w:eastAsia="zh-CN"/>
        </w:rPr>
        <w:t>，将地表草皮、腐殖土、树根、建筑垃圾等彻底清除后，再进行碾压密实，要求土基回弹模量达到</w:t>
      </w:r>
      <w:r>
        <w:rPr>
          <w:rFonts w:hint="default" w:ascii="仿宋" w:hAnsi="仿宋" w:eastAsia="仿宋" w:cs="仿宋"/>
          <w:color w:val="auto"/>
          <w:w w:val="95"/>
          <w:sz w:val="28"/>
          <w:szCs w:val="28"/>
          <w:lang w:val="en-US" w:eastAsia="zh-CN"/>
        </w:rPr>
        <w:t>40MPa</w:t>
      </w:r>
      <w:r>
        <w:rPr>
          <w:rFonts w:hint="eastAsia" w:ascii="仿宋" w:hAnsi="仿宋" w:eastAsia="仿宋" w:cs="仿宋"/>
          <w:color w:val="auto"/>
          <w:w w:val="95"/>
          <w:sz w:val="28"/>
          <w:szCs w:val="28"/>
          <w:lang w:val="en-US" w:eastAsia="zh-CN"/>
        </w:rPr>
        <w:t>，如达不到要求，需进行路基换填处理。</w:t>
      </w:r>
    </w:p>
    <w:p w14:paraId="5A8D45E0">
      <w:pPr>
        <w:spacing w:line="360" w:lineRule="auto"/>
        <w:ind w:firstLine="532" w:firstLineChars="200"/>
        <w:rPr>
          <w:rFonts w:hint="eastAsia"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 xml:space="preserve">2. </w:t>
      </w:r>
      <w:r>
        <w:rPr>
          <w:rFonts w:hint="eastAsia" w:ascii="仿宋" w:hAnsi="仿宋" w:eastAsia="仿宋" w:cs="仿宋"/>
          <w:color w:val="auto"/>
          <w:w w:val="95"/>
          <w:sz w:val="28"/>
          <w:szCs w:val="28"/>
          <w:lang w:val="en-US" w:eastAsia="zh-CN"/>
        </w:rPr>
        <w:t>填方边坡</w:t>
      </w:r>
    </w:p>
    <w:p w14:paraId="398CC59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本项目填方路基边坡高度 H≤8m ，坡度为 1∶1.5。 </w:t>
      </w:r>
    </w:p>
    <w:p w14:paraId="2D592517">
      <w:pPr>
        <w:spacing w:line="360" w:lineRule="auto"/>
        <w:ind w:firstLine="532" w:firstLineChars="200"/>
        <w:rPr>
          <w:rFonts w:hint="eastAsia"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 xml:space="preserve">3. </w:t>
      </w:r>
      <w:r>
        <w:rPr>
          <w:rFonts w:hint="eastAsia" w:ascii="仿宋" w:hAnsi="仿宋" w:eastAsia="仿宋" w:cs="仿宋"/>
          <w:color w:val="auto"/>
          <w:w w:val="95"/>
          <w:sz w:val="28"/>
          <w:szCs w:val="28"/>
          <w:lang w:val="en-US" w:eastAsia="zh-CN"/>
        </w:rPr>
        <w:t>挖方边坡</w:t>
      </w:r>
    </w:p>
    <w:p w14:paraId="5EB8804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挖方路基边坡坡率根据地质条件及边坡高度等情况综合确定。一般土质边坡一般为 1：1.25～ 1：1.75。</w:t>
      </w:r>
    </w:p>
    <w:p w14:paraId="3EB64DC3">
      <w:pPr>
        <w:spacing w:line="360" w:lineRule="auto"/>
        <w:ind w:firstLine="532" w:firstLineChars="200"/>
        <w:rPr>
          <w:rFonts w:hint="eastAsia"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 xml:space="preserve">4. </w:t>
      </w:r>
      <w:r>
        <w:rPr>
          <w:rFonts w:hint="eastAsia" w:ascii="仿宋" w:hAnsi="仿宋" w:eastAsia="仿宋" w:cs="仿宋"/>
          <w:color w:val="auto"/>
          <w:w w:val="95"/>
          <w:sz w:val="28"/>
          <w:szCs w:val="28"/>
          <w:lang w:val="en-US" w:eastAsia="zh-CN"/>
        </w:rPr>
        <w:t>特殊路基</w:t>
      </w:r>
    </w:p>
    <w:p w14:paraId="03B7DCC0">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路床开挖后，对于拟建路基范围内的杂填土、房渣土及软弱土层均需要进行换填处理。处理措施为清除路基范围内的非适宜材料。</w:t>
      </w:r>
    </w:p>
    <w:p w14:paraId="26CFE933">
      <w:pPr>
        <w:spacing w:line="360" w:lineRule="auto"/>
        <w:ind w:firstLine="532" w:firstLineChars="200"/>
        <w:rPr>
          <w:rFonts w:hint="eastAsia"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 xml:space="preserve">5. </w:t>
      </w:r>
      <w:r>
        <w:rPr>
          <w:rFonts w:hint="eastAsia" w:ascii="仿宋" w:hAnsi="仿宋" w:eastAsia="仿宋" w:cs="仿宋"/>
          <w:color w:val="auto"/>
          <w:w w:val="95"/>
          <w:sz w:val="28"/>
          <w:szCs w:val="28"/>
          <w:lang w:val="en-US" w:eastAsia="zh-CN"/>
        </w:rPr>
        <w:t>路基填筑及压实度</w:t>
      </w:r>
    </w:p>
    <w:p w14:paraId="3656EAD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根据道路的性质不同，采用不同的路基压实度，除满足《城市道路工程设计规范》（CJJ37-2012）的要求外，还应满足《城市道路路基设计规范》（CJJ194-2013）的相关要求，按重型压实标准考虑。路基填筑分层碾压，每层厚度不大于20cm，控制路基填料的强度，CBR 值应满足规范要求。回填采用同一材料，不同材料不得混填。</w:t>
      </w:r>
    </w:p>
    <w:p w14:paraId="46946D8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路床填料及压实标准应严格按要求执行，以确保土路基顶面回弹模量不小于40MPa。瓦子坡路为城市次干道，路基填料最小强度要求、路基压实度要求均采用城市次干道标准，其余小区道路恢复按城市支路标准；</w:t>
      </w:r>
    </w:p>
    <w:p w14:paraId="5792BDEA">
      <w:pPr>
        <w:spacing w:line="660" w:lineRule="exact"/>
        <w:ind w:left="0" w:leftChars="0" w:firstLine="0" w:firstLineChars="0"/>
        <w:jc w:val="center"/>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路基填料最小强度要求</w:t>
      </w:r>
    </w:p>
    <w:tbl>
      <w:tblPr>
        <w:tblStyle w:val="19"/>
        <w:tblW w:w="0" w:type="auto"/>
        <w:jc w:val="center"/>
        <w:tblLayout w:type="autofit"/>
        <w:tblCellMar>
          <w:top w:w="0" w:type="dxa"/>
          <w:left w:w="0" w:type="dxa"/>
          <w:bottom w:w="0" w:type="dxa"/>
          <w:right w:w="0" w:type="dxa"/>
        </w:tblCellMar>
      </w:tblPr>
      <w:tblGrid>
        <w:gridCol w:w="845"/>
        <w:gridCol w:w="640"/>
        <w:gridCol w:w="2087"/>
        <w:gridCol w:w="836"/>
        <w:gridCol w:w="835"/>
        <w:gridCol w:w="562"/>
        <w:gridCol w:w="1662"/>
      </w:tblGrid>
      <w:tr w14:paraId="6418CA9C">
        <w:tblPrEx>
          <w:tblCellMar>
            <w:top w:w="0" w:type="dxa"/>
            <w:left w:w="0" w:type="dxa"/>
            <w:bottom w:w="0" w:type="dxa"/>
            <w:right w:w="0" w:type="dxa"/>
          </w:tblCellMar>
        </w:tblPrEx>
        <w:trPr>
          <w:trHeight w:val="360" w:hRule="exact"/>
          <w:jc w:val="center"/>
        </w:trPr>
        <w:tc>
          <w:tcPr>
            <w:tcW w:w="0" w:type="auto"/>
            <w:gridSpan w:val="2"/>
            <w:vMerge w:val="restart"/>
            <w:tcBorders>
              <w:top w:val="single" w:color="auto" w:sz="4" w:space="0"/>
              <w:left w:val="nil"/>
              <w:bottom w:val="single" w:color="auto" w:sz="4" w:space="0"/>
              <w:right w:val="single" w:color="auto" w:sz="4" w:space="0"/>
            </w:tcBorders>
            <w:vAlign w:val="center"/>
          </w:tcPr>
          <w:p w14:paraId="252A629D">
            <w:pPr>
              <w:bidi w:val="0"/>
              <w:ind w:left="0" w:leftChars="0" w:firstLine="0" w:firstLineChars="0"/>
              <w:jc w:val="center"/>
              <w:rPr>
                <w:rFonts w:hint="default"/>
              </w:rPr>
            </w:pPr>
            <w:r>
              <w:rPr>
                <w:rFonts w:hint="default"/>
              </w:rPr>
              <w:t>路基类型</w:t>
            </w:r>
          </w:p>
        </w:tc>
        <w:tc>
          <w:tcPr>
            <w:tcW w:w="0" w:type="auto"/>
            <w:vMerge w:val="restart"/>
            <w:tcBorders>
              <w:top w:val="single" w:color="auto" w:sz="4" w:space="0"/>
              <w:left w:val="single" w:color="auto" w:sz="4" w:space="0"/>
              <w:bottom w:val="single" w:color="auto" w:sz="4" w:space="0"/>
              <w:right w:val="single" w:color="auto" w:sz="4" w:space="0"/>
            </w:tcBorders>
            <w:vAlign w:val="center"/>
          </w:tcPr>
          <w:p w14:paraId="0B26B269">
            <w:pPr>
              <w:bidi w:val="0"/>
              <w:ind w:left="0" w:leftChars="0" w:firstLine="0" w:firstLineChars="0"/>
              <w:jc w:val="center"/>
              <w:rPr>
                <w:rFonts w:hint="default"/>
              </w:rPr>
            </w:pPr>
            <w:r>
              <w:rPr>
                <w:rFonts w:hint="default"/>
              </w:rPr>
              <w:t>路面底面以下深度(cm)</w:t>
            </w:r>
          </w:p>
        </w:tc>
        <w:tc>
          <w:tcPr>
            <w:tcW w:w="0" w:type="auto"/>
            <w:gridSpan w:val="3"/>
            <w:tcBorders>
              <w:top w:val="single" w:color="auto" w:sz="4" w:space="0"/>
              <w:left w:val="single" w:color="auto" w:sz="4" w:space="0"/>
              <w:bottom w:val="single" w:color="auto" w:sz="4" w:space="0"/>
              <w:right w:val="single" w:color="auto" w:sz="4" w:space="0"/>
            </w:tcBorders>
            <w:vAlign w:val="center"/>
          </w:tcPr>
          <w:p w14:paraId="08080F19">
            <w:pPr>
              <w:bidi w:val="0"/>
              <w:ind w:left="0" w:leftChars="0" w:firstLine="0" w:firstLineChars="0"/>
              <w:jc w:val="center"/>
              <w:rPr>
                <w:rFonts w:hint="default"/>
              </w:rPr>
            </w:pPr>
            <w:r>
              <w:rPr>
                <w:rFonts w:hint="default"/>
              </w:rPr>
              <w:t>填料最小强度(CBR) (％)</w:t>
            </w:r>
          </w:p>
        </w:tc>
        <w:tc>
          <w:tcPr>
            <w:tcW w:w="0" w:type="auto"/>
            <w:vMerge w:val="restart"/>
            <w:tcBorders>
              <w:top w:val="single" w:color="auto" w:sz="4" w:space="0"/>
              <w:left w:val="single" w:color="auto" w:sz="4" w:space="0"/>
              <w:bottom w:val="single" w:color="auto" w:sz="4" w:space="0"/>
              <w:right w:val="nil"/>
            </w:tcBorders>
            <w:vAlign w:val="center"/>
          </w:tcPr>
          <w:p w14:paraId="4F81C300">
            <w:pPr>
              <w:bidi w:val="0"/>
              <w:ind w:left="0" w:leftChars="0" w:firstLine="0" w:firstLineChars="0"/>
              <w:jc w:val="center"/>
              <w:rPr>
                <w:rFonts w:hint="default"/>
              </w:rPr>
            </w:pPr>
            <w:r>
              <w:rPr>
                <w:rFonts w:hint="default"/>
              </w:rPr>
              <w:t>填料最大粒径(cm)</w:t>
            </w:r>
          </w:p>
        </w:tc>
      </w:tr>
      <w:tr w14:paraId="57AC75C6">
        <w:tblPrEx>
          <w:tblCellMar>
            <w:top w:w="0" w:type="dxa"/>
            <w:left w:w="0" w:type="dxa"/>
            <w:bottom w:w="0" w:type="dxa"/>
            <w:right w:w="0" w:type="dxa"/>
          </w:tblCellMar>
        </w:tblPrEx>
        <w:trPr>
          <w:trHeight w:val="370" w:hRule="exact"/>
          <w:jc w:val="center"/>
        </w:trPr>
        <w:tc>
          <w:tcPr>
            <w:tcW w:w="0" w:type="auto"/>
            <w:gridSpan w:val="2"/>
            <w:vMerge w:val="continue"/>
            <w:tcBorders>
              <w:top w:val="single" w:color="auto" w:sz="4" w:space="0"/>
              <w:left w:val="nil"/>
              <w:bottom w:val="single" w:color="auto" w:sz="4" w:space="0"/>
              <w:right w:val="single" w:color="auto" w:sz="4" w:space="0"/>
            </w:tcBorders>
            <w:vAlign w:val="center"/>
          </w:tcPr>
          <w:p w14:paraId="21EAE480">
            <w:pPr>
              <w:bidi w:val="0"/>
              <w:jc w:val="cente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07090AAD">
            <w:pPr>
              <w:bidi w:val="0"/>
              <w:jc w:val="center"/>
            </w:pPr>
          </w:p>
        </w:tc>
        <w:tc>
          <w:tcPr>
            <w:tcW w:w="0" w:type="auto"/>
            <w:tcBorders>
              <w:top w:val="single" w:color="auto" w:sz="4" w:space="0"/>
              <w:left w:val="single" w:color="auto" w:sz="4" w:space="0"/>
              <w:bottom w:val="single" w:color="auto" w:sz="4" w:space="0"/>
              <w:right w:val="single" w:color="auto" w:sz="4" w:space="0"/>
            </w:tcBorders>
            <w:vAlign w:val="center"/>
          </w:tcPr>
          <w:p w14:paraId="3F3206A4">
            <w:pPr>
              <w:bidi w:val="0"/>
              <w:ind w:left="0" w:leftChars="0" w:firstLine="0" w:firstLineChars="0"/>
              <w:jc w:val="center"/>
              <w:rPr>
                <w:rFonts w:hint="default"/>
              </w:rPr>
            </w:pPr>
            <w:r>
              <w:rPr>
                <w:rFonts w:hint="default"/>
              </w:rPr>
              <w:t>主干路</w:t>
            </w:r>
          </w:p>
        </w:tc>
        <w:tc>
          <w:tcPr>
            <w:tcW w:w="0" w:type="auto"/>
            <w:tcBorders>
              <w:top w:val="single" w:color="auto" w:sz="4" w:space="0"/>
              <w:left w:val="single" w:color="auto" w:sz="4" w:space="0"/>
              <w:bottom w:val="single" w:color="auto" w:sz="4" w:space="0"/>
              <w:right w:val="single" w:color="auto" w:sz="4" w:space="0"/>
            </w:tcBorders>
            <w:vAlign w:val="center"/>
          </w:tcPr>
          <w:p w14:paraId="4D371C1D">
            <w:pPr>
              <w:bidi w:val="0"/>
              <w:ind w:left="0" w:leftChars="0" w:firstLine="0" w:firstLineChars="0"/>
              <w:jc w:val="center"/>
              <w:rPr>
                <w:rFonts w:hint="default"/>
              </w:rPr>
            </w:pPr>
            <w:r>
              <w:rPr>
                <w:rFonts w:hint="default"/>
              </w:rPr>
              <w:t>次干路</w:t>
            </w:r>
          </w:p>
        </w:tc>
        <w:tc>
          <w:tcPr>
            <w:tcW w:w="0" w:type="auto"/>
            <w:tcBorders>
              <w:top w:val="single" w:color="auto" w:sz="4" w:space="0"/>
              <w:left w:val="single" w:color="auto" w:sz="4" w:space="0"/>
              <w:bottom w:val="single" w:color="auto" w:sz="4" w:space="0"/>
              <w:right w:val="single" w:color="auto" w:sz="4" w:space="0"/>
            </w:tcBorders>
            <w:vAlign w:val="center"/>
          </w:tcPr>
          <w:p w14:paraId="53B2EEA0">
            <w:pPr>
              <w:bidi w:val="0"/>
              <w:ind w:left="0" w:leftChars="0" w:firstLine="0" w:firstLineChars="0"/>
              <w:jc w:val="center"/>
              <w:rPr>
                <w:rFonts w:hint="default"/>
              </w:rPr>
            </w:pPr>
            <w:r>
              <w:rPr>
                <w:rFonts w:hint="default"/>
              </w:rPr>
              <w:t>支路</w:t>
            </w:r>
          </w:p>
        </w:tc>
        <w:tc>
          <w:tcPr>
            <w:tcW w:w="0" w:type="auto"/>
            <w:vMerge w:val="continue"/>
            <w:tcBorders>
              <w:top w:val="single" w:color="auto" w:sz="4" w:space="0"/>
              <w:left w:val="single" w:color="auto" w:sz="4" w:space="0"/>
              <w:bottom w:val="single" w:color="auto" w:sz="4" w:space="0"/>
              <w:right w:val="nil"/>
            </w:tcBorders>
            <w:vAlign w:val="center"/>
          </w:tcPr>
          <w:p w14:paraId="20477E16">
            <w:pPr>
              <w:bidi w:val="0"/>
              <w:jc w:val="center"/>
            </w:pPr>
          </w:p>
        </w:tc>
      </w:tr>
      <w:tr w14:paraId="6D780978">
        <w:tblPrEx>
          <w:tblCellMar>
            <w:top w:w="0" w:type="dxa"/>
            <w:left w:w="0" w:type="dxa"/>
            <w:bottom w:w="0" w:type="dxa"/>
            <w:right w:w="0" w:type="dxa"/>
          </w:tblCellMar>
        </w:tblPrEx>
        <w:trPr>
          <w:trHeight w:val="367" w:hRule="exact"/>
          <w:jc w:val="center"/>
        </w:trPr>
        <w:tc>
          <w:tcPr>
            <w:tcW w:w="0" w:type="auto"/>
            <w:vMerge w:val="restart"/>
            <w:tcBorders>
              <w:top w:val="single" w:color="auto" w:sz="4" w:space="0"/>
              <w:left w:val="nil"/>
              <w:bottom w:val="single" w:color="auto" w:sz="4" w:space="0"/>
              <w:right w:val="single" w:color="auto" w:sz="4" w:space="0"/>
            </w:tcBorders>
            <w:vAlign w:val="center"/>
          </w:tcPr>
          <w:p w14:paraId="5C0F9222">
            <w:pPr>
              <w:bidi w:val="0"/>
              <w:ind w:left="0" w:leftChars="0" w:firstLine="0" w:firstLineChars="0"/>
              <w:jc w:val="center"/>
              <w:rPr>
                <w:rFonts w:hint="default"/>
              </w:rPr>
            </w:pPr>
            <w:r>
              <w:rPr>
                <w:rFonts w:hint="default"/>
              </w:rPr>
              <w:t>填方路基</w:t>
            </w:r>
          </w:p>
        </w:tc>
        <w:tc>
          <w:tcPr>
            <w:tcW w:w="0" w:type="auto"/>
            <w:tcBorders>
              <w:top w:val="single" w:color="auto" w:sz="4" w:space="0"/>
              <w:left w:val="single" w:color="auto" w:sz="4" w:space="0"/>
              <w:bottom w:val="single" w:color="auto" w:sz="4" w:space="0"/>
              <w:right w:val="single" w:color="auto" w:sz="4" w:space="0"/>
            </w:tcBorders>
            <w:vAlign w:val="center"/>
          </w:tcPr>
          <w:p w14:paraId="6DE6E9EC">
            <w:pPr>
              <w:bidi w:val="0"/>
              <w:ind w:left="0" w:leftChars="0" w:firstLine="0" w:firstLineChars="0"/>
              <w:jc w:val="center"/>
              <w:rPr>
                <w:rFonts w:hint="default"/>
              </w:rPr>
            </w:pPr>
            <w:r>
              <w:rPr>
                <w:rFonts w:hint="default"/>
              </w:rPr>
              <w:t>上路床</w:t>
            </w:r>
          </w:p>
        </w:tc>
        <w:tc>
          <w:tcPr>
            <w:tcW w:w="0" w:type="auto"/>
            <w:tcBorders>
              <w:top w:val="single" w:color="auto" w:sz="4" w:space="0"/>
              <w:left w:val="single" w:color="auto" w:sz="4" w:space="0"/>
              <w:bottom w:val="single" w:color="auto" w:sz="4" w:space="0"/>
              <w:right w:val="single" w:color="auto" w:sz="4" w:space="0"/>
            </w:tcBorders>
            <w:vAlign w:val="center"/>
          </w:tcPr>
          <w:p w14:paraId="7DA33B68">
            <w:pPr>
              <w:bidi w:val="0"/>
              <w:ind w:left="0" w:leftChars="0" w:firstLine="0" w:firstLineChars="0"/>
              <w:jc w:val="center"/>
              <w:rPr>
                <w:rFonts w:hint="default"/>
              </w:rPr>
            </w:pPr>
            <w:r>
              <w:rPr>
                <w:rFonts w:hint="default"/>
              </w:rPr>
              <w:t>0～30</w:t>
            </w:r>
          </w:p>
        </w:tc>
        <w:tc>
          <w:tcPr>
            <w:tcW w:w="0" w:type="auto"/>
            <w:tcBorders>
              <w:top w:val="single" w:color="auto" w:sz="4" w:space="0"/>
              <w:left w:val="single" w:color="auto" w:sz="4" w:space="0"/>
              <w:bottom w:val="single" w:color="auto" w:sz="4" w:space="0"/>
              <w:right w:val="single" w:color="auto" w:sz="4" w:space="0"/>
            </w:tcBorders>
            <w:vAlign w:val="center"/>
          </w:tcPr>
          <w:p w14:paraId="6CB28DE3">
            <w:pPr>
              <w:bidi w:val="0"/>
              <w:ind w:left="0" w:leftChars="0" w:firstLine="0" w:firstLineChars="0"/>
              <w:jc w:val="center"/>
              <w:rPr>
                <w:rFonts w:hint="default"/>
              </w:rPr>
            </w:pPr>
            <w:r>
              <w:t>8</w:t>
            </w:r>
          </w:p>
        </w:tc>
        <w:tc>
          <w:tcPr>
            <w:tcW w:w="0" w:type="auto"/>
            <w:tcBorders>
              <w:top w:val="single" w:color="auto" w:sz="4" w:space="0"/>
              <w:left w:val="single" w:color="auto" w:sz="4" w:space="0"/>
              <w:bottom w:val="single" w:color="auto" w:sz="4" w:space="0"/>
              <w:right w:val="single" w:color="auto" w:sz="4" w:space="0"/>
            </w:tcBorders>
            <w:vAlign w:val="center"/>
          </w:tcPr>
          <w:p w14:paraId="79F86479">
            <w:pPr>
              <w:bidi w:val="0"/>
              <w:ind w:left="0" w:leftChars="0" w:firstLine="0" w:firstLineChars="0"/>
              <w:jc w:val="center"/>
              <w:rPr>
                <w:rFonts w:hint="default"/>
              </w:rPr>
            </w:pPr>
            <w:r>
              <w:t>6</w:t>
            </w:r>
          </w:p>
        </w:tc>
        <w:tc>
          <w:tcPr>
            <w:tcW w:w="0" w:type="auto"/>
            <w:tcBorders>
              <w:top w:val="single" w:color="auto" w:sz="4" w:space="0"/>
              <w:left w:val="single" w:color="auto" w:sz="4" w:space="0"/>
              <w:bottom w:val="single" w:color="auto" w:sz="4" w:space="0"/>
              <w:right w:val="single" w:color="auto" w:sz="4" w:space="0"/>
            </w:tcBorders>
            <w:vAlign w:val="center"/>
          </w:tcPr>
          <w:p w14:paraId="51F5D19F">
            <w:pPr>
              <w:bidi w:val="0"/>
              <w:ind w:left="0" w:leftChars="0" w:firstLine="0" w:firstLineChars="0"/>
              <w:jc w:val="center"/>
              <w:rPr>
                <w:rFonts w:hint="default"/>
              </w:rPr>
            </w:pPr>
            <w:r>
              <w:t>5</w:t>
            </w:r>
          </w:p>
        </w:tc>
        <w:tc>
          <w:tcPr>
            <w:tcW w:w="0" w:type="auto"/>
            <w:tcBorders>
              <w:top w:val="single" w:color="auto" w:sz="4" w:space="0"/>
              <w:left w:val="single" w:color="auto" w:sz="4" w:space="0"/>
              <w:bottom w:val="single" w:color="auto" w:sz="4" w:space="0"/>
              <w:right w:val="nil"/>
            </w:tcBorders>
            <w:vAlign w:val="center"/>
          </w:tcPr>
          <w:p w14:paraId="4519DAD6">
            <w:pPr>
              <w:bidi w:val="0"/>
              <w:ind w:left="0" w:leftChars="0" w:firstLine="0" w:firstLineChars="0"/>
              <w:jc w:val="center"/>
              <w:rPr>
                <w:rFonts w:hint="default"/>
              </w:rPr>
            </w:pPr>
            <w:r>
              <w:t>10</w:t>
            </w:r>
          </w:p>
        </w:tc>
      </w:tr>
      <w:tr w14:paraId="2CBA466B">
        <w:tblPrEx>
          <w:tblCellMar>
            <w:top w:w="0" w:type="dxa"/>
            <w:left w:w="0" w:type="dxa"/>
            <w:bottom w:w="0" w:type="dxa"/>
            <w:right w:w="0" w:type="dxa"/>
          </w:tblCellMar>
        </w:tblPrEx>
        <w:trPr>
          <w:trHeight w:val="370" w:hRule="exact"/>
          <w:jc w:val="center"/>
        </w:trPr>
        <w:tc>
          <w:tcPr>
            <w:tcW w:w="0" w:type="auto"/>
            <w:vMerge w:val="continue"/>
            <w:tcBorders>
              <w:top w:val="single" w:color="auto" w:sz="4" w:space="0"/>
              <w:left w:val="nil"/>
              <w:bottom w:val="single" w:color="auto" w:sz="4" w:space="0"/>
              <w:right w:val="single" w:color="auto" w:sz="4" w:space="0"/>
            </w:tcBorders>
            <w:vAlign w:val="center"/>
          </w:tcPr>
          <w:p w14:paraId="436EE5B8">
            <w:pPr>
              <w:bidi w:val="0"/>
              <w:jc w:val="center"/>
            </w:pPr>
          </w:p>
        </w:tc>
        <w:tc>
          <w:tcPr>
            <w:tcW w:w="0" w:type="auto"/>
            <w:tcBorders>
              <w:top w:val="single" w:color="auto" w:sz="4" w:space="0"/>
              <w:left w:val="single" w:color="auto" w:sz="4" w:space="0"/>
              <w:bottom w:val="single" w:color="auto" w:sz="4" w:space="0"/>
              <w:right w:val="single" w:color="auto" w:sz="4" w:space="0"/>
            </w:tcBorders>
            <w:vAlign w:val="center"/>
          </w:tcPr>
          <w:p w14:paraId="1B084149">
            <w:pPr>
              <w:bidi w:val="0"/>
              <w:ind w:left="0" w:leftChars="0" w:firstLine="0" w:firstLineChars="0"/>
              <w:jc w:val="center"/>
              <w:rPr>
                <w:rFonts w:hint="default"/>
              </w:rPr>
            </w:pPr>
            <w:r>
              <w:rPr>
                <w:rFonts w:hint="default"/>
              </w:rPr>
              <w:t>下路床</w:t>
            </w:r>
          </w:p>
        </w:tc>
        <w:tc>
          <w:tcPr>
            <w:tcW w:w="0" w:type="auto"/>
            <w:tcBorders>
              <w:top w:val="single" w:color="auto" w:sz="4" w:space="0"/>
              <w:left w:val="single" w:color="auto" w:sz="4" w:space="0"/>
              <w:bottom w:val="single" w:color="auto" w:sz="4" w:space="0"/>
              <w:right w:val="single" w:color="auto" w:sz="4" w:space="0"/>
            </w:tcBorders>
            <w:vAlign w:val="center"/>
          </w:tcPr>
          <w:p w14:paraId="12EA2711">
            <w:pPr>
              <w:bidi w:val="0"/>
              <w:ind w:left="0" w:leftChars="0" w:firstLine="0" w:firstLineChars="0"/>
              <w:jc w:val="center"/>
              <w:rPr>
                <w:rFonts w:hint="default"/>
              </w:rPr>
            </w:pPr>
            <w:r>
              <w:rPr>
                <w:rFonts w:hint="default"/>
              </w:rPr>
              <w:t>30～80</w:t>
            </w:r>
          </w:p>
        </w:tc>
        <w:tc>
          <w:tcPr>
            <w:tcW w:w="0" w:type="auto"/>
            <w:tcBorders>
              <w:top w:val="single" w:color="auto" w:sz="4" w:space="0"/>
              <w:left w:val="single" w:color="auto" w:sz="4" w:space="0"/>
              <w:bottom w:val="single" w:color="auto" w:sz="4" w:space="0"/>
              <w:right w:val="single" w:color="auto" w:sz="4" w:space="0"/>
            </w:tcBorders>
            <w:vAlign w:val="center"/>
          </w:tcPr>
          <w:p w14:paraId="76D4C1CD">
            <w:pPr>
              <w:bidi w:val="0"/>
              <w:ind w:left="0" w:leftChars="0" w:firstLine="0" w:firstLineChars="0"/>
              <w:jc w:val="center"/>
              <w:rPr>
                <w:rFonts w:hint="default"/>
              </w:rPr>
            </w:pPr>
            <w:r>
              <w:t>5</w:t>
            </w:r>
          </w:p>
        </w:tc>
        <w:tc>
          <w:tcPr>
            <w:tcW w:w="0" w:type="auto"/>
            <w:tcBorders>
              <w:top w:val="single" w:color="auto" w:sz="4" w:space="0"/>
              <w:left w:val="single" w:color="auto" w:sz="4" w:space="0"/>
              <w:bottom w:val="single" w:color="auto" w:sz="4" w:space="0"/>
              <w:right w:val="single" w:color="auto" w:sz="4" w:space="0"/>
            </w:tcBorders>
            <w:vAlign w:val="center"/>
          </w:tcPr>
          <w:p w14:paraId="3A09C0BF">
            <w:pPr>
              <w:bidi w:val="0"/>
              <w:ind w:left="0" w:leftChars="0" w:firstLine="0" w:firstLineChars="0"/>
              <w:jc w:val="center"/>
              <w:rPr>
                <w:rFonts w:hint="default"/>
              </w:rPr>
            </w:pPr>
            <w:r>
              <w:t>4</w:t>
            </w:r>
          </w:p>
        </w:tc>
        <w:tc>
          <w:tcPr>
            <w:tcW w:w="0" w:type="auto"/>
            <w:tcBorders>
              <w:top w:val="single" w:color="auto" w:sz="4" w:space="0"/>
              <w:left w:val="single" w:color="auto" w:sz="4" w:space="0"/>
              <w:bottom w:val="single" w:color="auto" w:sz="4" w:space="0"/>
              <w:right w:val="single" w:color="auto" w:sz="4" w:space="0"/>
            </w:tcBorders>
            <w:vAlign w:val="center"/>
          </w:tcPr>
          <w:p w14:paraId="420A2869">
            <w:pPr>
              <w:bidi w:val="0"/>
              <w:ind w:left="0" w:leftChars="0" w:firstLine="0" w:firstLineChars="0"/>
              <w:jc w:val="center"/>
              <w:rPr>
                <w:rFonts w:hint="default"/>
              </w:rPr>
            </w:pPr>
            <w:r>
              <w:t>3</w:t>
            </w:r>
          </w:p>
        </w:tc>
        <w:tc>
          <w:tcPr>
            <w:tcW w:w="0" w:type="auto"/>
            <w:tcBorders>
              <w:top w:val="single" w:color="auto" w:sz="4" w:space="0"/>
              <w:left w:val="single" w:color="auto" w:sz="4" w:space="0"/>
              <w:bottom w:val="single" w:color="auto" w:sz="4" w:space="0"/>
              <w:right w:val="nil"/>
            </w:tcBorders>
            <w:vAlign w:val="center"/>
          </w:tcPr>
          <w:p w14:paraId="1AC156B1">
            <w:pPr>
              <w:bidi w:val="0"/>
              <w:ind w:left="0" w:leftChars="0" w:firstLine="0" w:firstLineChars="0"/>
              <w:jc w:val="center"/>
              <w:rPr>
                <w:rFonts w:hint="default"/>
              </w:rPr>
            </w:pPr>
            <w:r>
              <w:t>10</w:t>
            </w:r>
          </w:p>
        </w:tc>
      </w:tr>
      <w:tr w14:paraId="11F32F59">
        <w:tblPrEx>
          <w:tblCellMar>
            <w:top w:w="0" w:type="dxa"/>
            <w:left w:w="0" w:type="dxa"/>
            <w:bottom w:w="0" w:type="dxa"/>
            <w:right w:w="0" w:type="dxa"/>
          </w:tblCellMar>
        </w:tblPrEx>
        <w:trPr>
          <w:trHeight w:val="370" w:hRule="exact"/>
          <w:jc w:val="center"/>
        </w:trPr>
        <w:tc>
          <w:tcPr>
            <w:tcW w:w="0" w:type="auto"/>
            <w:vMerge w:val="continue"/>
            <w:tcBorders>
              <w:top w:val="single" w:color="auto" w:sz="4" w:space="0"/>
              <w:left w:val="nil"/>
              <w:bottom w:val="single" w:color="auto" w:sz="4" w:space="0"/>
              <w:right w:val="single" w:color="auto" w:sz="4" w:space="0"/>
            </w:tcBorders>
            <w:vAlign w:val="center"/>
          </w:tcPr>
          <w:p w14:paraId="24B74BA5">
            <w:pPr>
              <w:bidi w:val="0"/>
              <w:jc w:val="center"/>
            </w:pPr>
          </w:p>
        </w:tc>
        <w:tc>
          <w:tcPr>
            <w:tcW w:w="0" w:type="auto"/>
            <w:tcBorders>
              <w:top w:val="single" w:color="auto" w:sz="4" w:space="0"/>
              <w:left w:val="single" w:color="auto" w:sz="4" w:space="0"/>
              <w:bottom w:val="single" w:color="auto" w:sz="4" w:space="0"/>
              <w:right w:val="single" w:color="auto" w:sz="4" w:space="0"/>
            </w:tcBorders>
            <w:vAlign w:val="center"/>
          </w:tcPr>
          <w:p w14:paraId="5995FBF8">
            <w:pPr>
              <w:bidi w:val="0"/>
              <w:ind w:left="0" w:leftChars="0" w:firstLine="0" w:firstLineChars="0"/>
              <w:jc w:val="center"/>
              <w:rPr>
                <w:rFonts w:hint="default"/>
              </w:rPr>
            </w:pPr>
            <w:r>
              <w:rPr>
                <w:rFonts w:hint="default"/>
              </w:rPr>
              <w:t>上路堤</w:t>
            </w:r>
          </w:p>
        </w:tc>
        <w:tc>
          <w:tcPr>
            <w:tcW w:w="0" w:type="auto"/>
            <w:tcBorders>
              <w:top w:val="single" w:color="auto" w:sz="4" w:space="0"/>
              <w:left w:val="single" w:color="auto" w:sz="4" w:space="0"/>
              <w:bottom w:val="single" w:color="auto" w:sz="4" w:space="0"/>
              <w:right w:val="single" w:color="auto" w:sz="4" w:space="0"/>
            </w:tcBorders>
            <w:vAlign w:val="center"/>
          </w:tcPr>
          <w:p w14:paraId="4C0093BF">
            <w:pPr>
              <w:bidi w:val="0"/>
              <w:ind w:left="0" w:leftChars="0" w:firstLine="0" w:firstLineChars="0"/>
              <w:jc w:val="center"/>
              <w:rPr>
                <w:rFonts w:hint="default"/>
              </w:rPr>
            </w:pPr>
            <w:r>
              <w:rPr>
                <w:rFonts w:hint="default"/>
              </w:rPr>
              <w:t>80～150</w:t>
            </w:r>
          </w:p>
        </w:tc>
        <w:tc>
          <w:tcPr>
            <w:tcW w:w="0" w:type="auto"/>
            <w:tcBorders>
              <w:top w:val="single" w:color="auto" w:sz="4" w:space="0"/>
              <w:left w:val="single" w:color="auto" w:sz="4" w:space="0"/>
              <w:bottom w:val="single" w:color="auto" w:sz="4" w:space="0"/>
              <w:right w:val="single" w:color="auto" w:sz="4" w:space="0"/>
            </w:tcBorders>
            <w:vAlign w:val="center"/>
          </w:tcPr>
          <w:p w14:paraId="476118AC">
            <w:pPr>
              <w:bidi w:val="0"/>
              <w:ind w:left="0" w:leftChars="0" w:firstLine="0" w:firstLineChars="0"/>
              <w:jc w:val="center"/>
              <w:rPr>
                <w:rFonts w:hint="default"/>
              </w:rPr>
            </w:pPr>
            <w:r>
              <w:t>4</w:t>
            </w:r>
          </w:p>
        </w:tc>
        <w:tc>
          <w:tcPr>
            <w:tcW w:w="0" w:type="auto"/>
            <w:tcBorders>
              <w:top w:val="single" w:color="auto" w:sz="4" w:space="0"/>
              <w:left w:val="single" w:color="auto" w:sz="4" w:space="0"/>
              <w:bottom w:val="single" w:color="auto" w:sz="4" w:space="0"/>
              <w:right w:val="single" w:color="auto" w:sz="4" w:space="0"/>
            </w:tcBorders>
            <w:vAlign w:val="center"/>
          </w:tcPr>
          <w:p w14:paraId="39CCC3C2">
            <w:pPr>
              <w:bidi w:val="0"/>
              <w:ind w:left="0" w:leftChars="0" w:firstLine="0" w:firstLineChars="0"/>
              <w:jc w:val="center"/>
              <w:rPr>
                <w:rFonts w:hint="default"/>
              </w:rPr>
            </w:pPr>
            <w:r>
              <w:t>3</w:t>
            </w:r>
          </w:p>
        </w:tc>
        <w:tc>
          <w:tcPr>
            <w:tcW w:w="0" w:type="auto"/>
            <w:tcBorders>
              <w:top w:val="single" w:color="auto" w:sz="4" w:space="0"/>
              <w:left w:val="single" w:color="auto" w:sz="4" w:space="0"/>
              <w:bottom w:val="single" w:color="auto" w:sz="4" w:space="0"/>
              <w:right w:val="single" w:color="auto" w:sz="4" w:space="0"/>
            </w:tcBorders>
            <w:vAlign w:val="center"/>
          </w:tcPr>
          <w:p w14:paraId="5D3223F1">
            <w:pPr>
              <w:bidi w:val="0"/>
              <w:ind w:left="0" w:leftChars="0" w:firstLine="0" w:firstLineChars="0"/>
              <w:jc w:val="center"/>
              <w:rPr>
                <w:rFonts w:hint="default"/>
              </w:rPr>
            </w:pPr>
            <w:r>
              <w:t>3</w:t>
            </w:r>
          </w:p>
        </w:tc>
        <w:tc>
          <w:tcPr>
            <w:tcW w:w="0" w:type="auto"/>
            <w:tcBorders>
              <w:top w:val="single" w:color="auto" w:sz="4" w:space="0"/>
              <w:left w:val="single" w:color="auto" w:sz="4" w:space="0"/>
              <w:bottom w:val="single" w:color="auto" w:sz="4" w:space="0"/>
              <w:right w:val="nil"/>
            </w:tcBorders>
            <w:vAlign w:val="center"/>
          </w:tcPr>
          <w:p w14:paraId="1CDCF0E8">
            <w:pPr>
              <w:bidi w:val="0"/>
              <w:ind w:left="0" w:leftChars="0" w:firstLine="0" w:firstLineChars="0"/>
              <w:jc w:val="center"/>
              <w:rPr>
                <w:rFonts w:hint="default"/>
              </w:rPr>
            </w:pPr>
            <w:r>
              <w:t>15</w:t>
            </w:r>
          </w:p>
        </w:tc>
      </w:tr>
      <w:tr w14:paraId="1576BB1F">
        <w:tblPrEx>
          <w:tblCellMar>
            <w:top w:w="0" w:type="dxa"/>
            <w:left w:w="0" w:type="dxa"/>
            <w:bottom w:w="0" w:type="dxa"/>
            <w:right w:w="0" w:type="dxa"/>
          </w:tblCellMar>
        </w:tblPrEx>
        <w:trPr>
          <w:trHeight w:val="370" w:hRule="exact"/>
          <w:jc w:val="center"/>
        </w:trPr>
        <w:tc>
          <w:tcPr>
            <w:tcW w:w="0" w:type="auto"/>
            <w:vMerge w:val="continue"/>
            <w:tcBorders>
              <w:top w:val="single" w:color="auto" w:sz="4" w:space="0"/>
              <w:left w:val="nil"/>
              <w:bottom w:val="single" w:color="auto" w:sz="4" w:space="0"/>
              <w:right w:val="single" w:color="auto" w:sz="4" w:space="0"/>
            </w:tcBorders>
            <w:vAlign w:val="center"/>
          </w:tcPr>
          <w:p w14:paraId="2EE4C152">
            <w:pPr>
              <w:bidi w:val="0"/>
              <w:jc w:val="center"/>
            </w:pPr>
          </w:p>
        </w:tc>
        <w:tc>
          <w:tcPr>
            <w:tcW w:w="0" w:type="auto"/>
            <w:tcBorders>
              <w:top w:val="single" w:color="auto" w:sz="4" w:space="0"/>
              <w:left w:val="single" w:color="auto" w:sz="4" w:space="0"/>
              <w:bottom w:val="single" w:color="auto" w:sz="4" w:space="0"/>
              <w:right w:val="single" w:color="auto" w:sz="4" w:space="0"/>
            </w:tcBorders>
            <w:vAlign w:val="center"/>
          </w:tcPr>
          <w:p w14:paraId="5EECEA42">
            <w:pPr>
              <w:bidi w:val="0"/>
              <w:ind w:left="0" w:leftChars="0" w:firstLine="0" w:firstLineChars="0"/>
              <w:jc w:val="center"/>
              <w:rPr>
                <w:rFonts w:hint="default"/>
              </w:rPr>
            </w:pPr>
            <w:r>
              <w:rPr>
                <w:rFonts w:hint="default"/>
              </w:rPr>
              <w:t>下路堤</w:t>
            </w:r>
          </w:p>
        </w:tc>
        <w:tc>
          <w:tcPr>
            <w:tcW w:w="0" w:type="auto"/>
            <w:tcBorders>
              <w:top w:val="single" w:color="auto" w:sz="4" w:space="0"/>
              <w:left w:val="single" w:color="auto" w:sz="4" w:space="0"/>
              <w:bottom w:val="single" w:color="auto" w:sz="4" w:space="0"/>
              <w:right w:val="single" w:color="auto" w:sz="4" w:space="0"/>
            </w:tcBorders>
            <w:vAlign w:val="center"/>
          </w:tcPr>
          <w:p w14:paraId="452B8B06">
            <w:pPr>
              <w:bidi w:val="0"/>
              <w:ind w:left="0" w:leftChars="0" w:firstLine="0" w:firstLineChars="0"/>
              <w:jc w:val="center"/>
              <w:rPr>
                <w:rFonts w:hint="default"/>
              </w:rPr>
            </w:pPr>
            <w:r>
              <w:rPr>
                <w:rFonts w:hint="default"/>
              </w:rPr>
              <w:t>150 以下</w:t>
            </w:r>
          </w:p>
        </w:tc>
        <w:tc>
          <w:tcPr>
            <w:tcW w:w="0" w:type="auto"/>
            <w:tcBorders>
              <w:top w:val="single" w:color="auto" w:sz="4" w:space="0"/>
              <w:left w:val="single" w:color="auto" w:sz="4" w:space="0"/>
              <w:bottom w:val="single" w:color="auto" w:sz="4" w:space="0"/>
              <w:right w:val="single" w:color="auto" w:sz="4" w:space="0"/>
            </w:tcBorders>
            <w:vAlign w:val="center"/>
          </w:tcPr>
          <w:p w14:paraId="30048616">
            <w:pPr>
              <w:bidi w:val="0"/>
              <w:ind w:left="0" w:leftChars="0" w:firstLine="0" w:firstLineChars="0"/>
              <w:jc w:val="center"/>
              <w:rPr>
                <w:rFonts w:hint="default"/>
              </w:rPr>
            </w:pPr>
            <w:r>
              <w:t>3</w:t>
            </w:r>
          </w:p>
        </w:tc>
        <w:tc>
          <w:tcPr>
            <w:tcW w:w="0" w:type="auto"/>
            <w:tcBorders>
              <w:top w:val="single" w:color="auto" w:sz="4" w:space="0"/>
              <w:left w:val="single" w:color="auto" w:sz="4" w:space="0"/>
              <w:bottom w:val="single" w:color="auto" w:sz="4" w:space="0"/>
              <w:right w:val="single" w:color="auto" w:sz="4" w:space="0"/>
            </w:tcBorders>
            <w:vAlign w:val="center"/>
          </w:tcPr>
          <w:p w14:paraId="1A3295DD">
            <w:pPr>
              <w:bidi w:val="0"/>
              <w:ind w:left="0" w:leftChars="0" w:firstLine="0" w:firstLineChars="0"/>
              <w:jc w:val="center"/>
              <w:rPr>
                <w:rFonts w:hint="default"/>
              </w:rPr>
            </w:pPr>
            <w:r>
              <w:t>2</w:t>
            </w:r>
          </w:p>
        </w:tc>
        <w:tc>
          <w:tcPr>
            <w:tcW w:w="0" w:type="auto"/>
            <w:tcBorders>
              <w:top w:val="single" w:color="auto" w:sz="4" w:space="0"/>
              <w:left w:val="single" w:color="auto" w:sz="4" w:space="0"/>
              <w:bottom w:val="single" w:color="auto" w:sz="4" w:space="0"/>
              <w:right w:val="single" w:color="auto" w:sz="4" w:space="0"/>
            </w:tcBorders>
            <w:vAlign w:val="center"/>
          </w:tcPr>
          <w:p w14:paraId="052945E8">
            <w:pPr>
              <w:bidi w:val="0"/>
              <w:ind w:left="0" w:leftChars="0" w:firstLine="0" w:firstLineChars="0"/>
              <w:jc w:val="center"/>
              <w:rPr>
                <w:rFonts w:hint="default"/>
              </w:rPr>
            </w:pPr>
            <w:r>
              <w:t>2</w:t>
            </w:r>
          </w:p>
        </w:tc>
        <w:tc>
          <w:tcPr>
            <w:tcW w:w="0" w:type="auto"/>
            <w:tcBorders>
              <w:top w:val="single" w:color="auto" w:sz="4" w:space="0"/>
              <w:left w:val="single" w:color="auto" w:sz="4" w:space="0"/>
              <w:bottom w:val="single" w:color="auto" w:sz="4" w:space="0"/>
              <w:right w:val="nil"/>
            </w:tcBorders>
            <w:vAlign w:val="center"/>
          </w:tcPr>
          <w:p w14:paraId="210EB5A3">
            <w:pPr>
              <w:bidi w:val="0"/>
              <w:ind w:left="0" w:leftChars="0" w:firstLine="0" w:firstLineChars="0"/>
              <w:jc w:val="center"/>
              <w:rPr>
                <w:rFonts w:hint="default"/>
              </w:rPr>
            </w:pPr>
            <w:r>
              <w:t>15</w:t>
            </w:r>
          </w:p>
        </w:tc>
      </w:tr>
      <w:tr w14:paraId="469E598F">
        <w:tblPrEx>
          <w:tblCellMar>
            <w:top w:w="0" w:type="dxa"/>
            <w:left w:w="0" w:type="dxa"/>
            <w:bottom w:w="0" w:type="dxa"/>
            <w:right w:w="0" w:type="dxa"/>
          </w:tblCellMar>
        </w:tblPrEx>
        <w:trPr>
          <w:trHeight w:val="364" w:hRule="exact"/>
          <w:jc w:val="center"/>
        </w:trPr>
        <w:tc>
          <w:tcPr>
            <w:tcW w:w="0" w:type="auto"/>
            <w:gridSpan w:val="2"/>
            <w:tcBorders>
              <w:top w:val="single" w:color="auto" w:sz="4" w:space="0"/>
              <w:left w:val="nil"/>
              <w:bottom w:val="single" w:color="auto" w:sz="4" w:space="0"/>
              <w:right w:val="single" w:color="auto" w:sz="4" w:space="0"/>
            </w:tcBorders>
            <w:vAlign w:val="center"/>
          </w:tcPr>
          <w:p w14:paraId="5AA7DF37">
            <w:pPr>
              <w:bidi w:val="0"/>
              <w:ind w:left="0" w:leftChars="0" w:firstLine="0" w:firstLineChars="0"/>
              <w:jc w:val="center"/>
              <w:rPr>
                <w:rFonts w:hint="default"/>
              </w:rPr>
            </w:pPr>
            <w:r>
              <w:rPr>
                <w:rFonts w:hint="default"/>
              </w:rPr>
              <w:t>零填及路堑路床</w:t>
            </w:r>
          </w:p>
        </w:tc>
        <w:tc>
          <w:tcPr>
            <w:tcW w:w="0" w:type="auto"/>
            <w:tcBorders>
              <w:top w:val="single" w:color="auto" w:sz="4" w:space="0"/>
              <w:left w:val="single" w:color="auto" w:sz="4" w:space="0"/>
              <w:bottom w:val="single" w:color="auto" w:sz="4" w:space="0"/>
              <w:right w:val="single" w:color="auto" w:sz="4" w:space="0"/>
            </w:tcBorders>
            <w:vAlign w:val="center"/>
          </w:tcPr>
          <w:p w14:paraId="7260FD20">
            <w:pPr>
              <w:bidi w:val="0"/>
              <w:ind w:left="0" w:leftChars="0" w:firstLine="0" w:firstLineChars="0"/>
              <w:jc w:val="center"/>
              <w:rPr>
                <w:rFonts w:hint="default"/>
              </w:rPr>
            </w:pPr>
            <w:r>
              <w:rPr>
                <w:rFonts w:hint="default"/>
              </w:rPr>
              <w:t>0～30</w:t>
            </w:r>
          </w:p>
        </w:tc>
        <w:tc>
          <w:tcPr>
            <w:tcW w:w="0" w:type="auto"/>
            <w:tcBorders>
              <w:top w:val="single" w:color="auto" w:sz="4" w:space="0"/>
              <w:left w:val="single" w:color="auto" w:sz="4" w:space="0"/>
              <w:bottom w:val="single" w:color="auto" w:sz="4" w:space="0"/>
              <w:right w:val="single" w:color="auto" w:sz="4" w:space="0"/>
            </w:tcBorders>
            <w:vAlign w:val="center"/>
          </w:tcPr>
          <w:p w14:paraId="50331C36">
            <w:pPr>
              <w:bidi w:val="0"/>
              <w:ind w:left="0" w:leftChars="0" w:firstLine="0" w:firstLineChars="0"/>
              <w:jc w:val="center"/>
              <w:rPr>
                <w:rFonts w:hint="default"/>
              </w:rPr>
            </w:pPr>
            <w:r>
              <w:t>8</w:t>
            </w:r>
          </w:p>
        </w:tc>
        <w:tc>
          <w:tcPr>
            <w:tcW w:w="0" w:type="auto"/>
            <w:tcBorders>
              <w:top w:val="single" w:color="auto" w:sz="4" w:space="0"/>
              <w:left w:val="single" w:color="auto" w:sz="4" w:space="0"/>
              <w:bottom w:val="single" w:color="auto" w:sz="4" w:space="0"/>
              <w:right w:val="single" w:color="auto" w:sz="4" w:space="0"/>
            </w:tcBorders>
            <w:vAlign w:val="center"/>
          </w:tcPr>
          <w:p w14:paraId="76137895">
            <w:pPr>
              <w:bidi w:val="0"/>
              <w:ind w:left="0" w:leftChars="0" w:firstLine="0" w:firstLineChars="0"/>
              <w:jc w:val="center"/>
              <w:rPr>
                <w:rFonts w:hint="default"/>
              </w:rPr>
            </w:pPr>
            <w:r>
              <w:t>6</w:t>
            </w:r>
          </w:p>
        </w:tc>
        <w:tc>
          <w:tcPr>
            <w:tcW w:w="0" w:type="auto"/>
            <w:tcBorders>
              <w:top w:val="single" w:color="auto" w:sz="4" w:space="0"/>
              <w:left w:val="single" w:color="auto" w:sz="4" w:space="0"/>
              <w:bottom w:val="single" w:color="auto" w:sz="4" w:space="0"/>
              <w:right w:val="single" w:color="auto" w:sz="4" w:space="0"/>
            </w:tcBorders>
            <w:vAlign w:val="center"/>
          </w:tcPr>
          <w:p w14:paraId="0626C860">
            <w:pPr>
              <w:bidi w:val="0"/>
              <w:ind w:left="0" w:leftChars="0" w:firstLine="0" w:firstLineChars="0"/>
              <w:jc w:val="center"/>
              <w:rPr>
                <w:rFonts w:hint="default"/>
              </w:rPr>
            </w:pPr>
            <w:r>
              <w:t>5</w:t>
            </w:r>
          </w:p>
        </w:tc>
        <w:tc>
          <w:tcPr>
            <w:tcW w:w="0" w:type="auto"/>
            <w:tcBorders>
              <w:top w:val="single" w:color="auto" w:sz="4" w:space="0"/>
              <w:left w:val="single" w:color="auto" w:sz="4" w:space="0"/>
              <w:bottom w:val="single" w:color="auto" w:sz="4" w:space="0"/>
              <w:right w:val="nil"/>
            </w:tcBorders>
            <w:vAlign w:val="center"/>
          </w:tcPr>
          <w:p w14:paraId="24FFA645">
            <w:pPr>
              <w:bidi w:val="0"/>
              <w:ind w:left="0" w:leftChars="0" w:firstLine="0" w:firstLineChars="0"/>
              <w:jc w:val="center"/>
              <w:rPr>
                <w:rFonts w:hint="default"/>
              </w:rPr>
            </w:pPr>
            <w:r>
              <w:t>10</w:t>
            </w:r>
          </w:p>
        </w:tc>
      </w:tr>
    </w:tbl>
    <w:p w14:paraId="41449045">
      <w:pPr>
        <w:spacing w:line="660" w:lineRule="exact"/>
        <w:ind w:left="0" w:leftChars="0" w:firstLine="0" w:firstLineChars="0"/>
        <w:jc w:val="center"/>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路基压实度要求（重型）</w:t>
      </w:r>
    </w:p>
    <w:tbl>
      <w:tblPr>
        <w:tblStyle w:val="19"/>
        <w:tblW w:w="0" w:type="auto"/>
        <w:jc w:val="center"/>
        <w:tblLayout w:type="autofit"/>
        <w:tblCellMar>
          <w:top w:w="0" w:type="dxa"/>
          <w:left w:w="0" w:type="dxa"/>
          <w:bottom w:w="0" w:type="dxa"/>
          <w:right w:w="0" w:type="dxa"/>
        </w:tblCellMar>
      </w:tblPr>
      <w:tblGrid>
        <w:gridCol w:w="1265"/>
        <w:gridCol w:w="2087"/>
        <w:gridCol w:w="640"/>
        <w:gridCol w:w="640"/>
        <w:gridCol w:w="430"/>
        <w:gridCol w:w="635"/>
      </w:tblGrid>
      <w:tr w14:paraId="357CB559">
        <w:tblPrEx>
          <w:tblCellMar>
            <w:top w:w="0" w:type="dxa"/>
            <w:left w:w="0" w:type="dxa"/>
            <w:bottom w:w="0" w:type="dxa"/>
            <w:right w:w="0" w:type="dxa"/>
          </w:tblCellMar>
        </w:tblPrEx>
        <w:trPr>
          <w:trHeight w:val="440" w:hRule="exact"/>
          <w:jc w:val="center"/>
        </w:trPr>
        <w:tc>
          <w:tcPr>
            <w:tcW w:w="0" w:type="auto"/>
            <w:vMerge w:val="restart"/>
            <w:tcBorders>
              <w:top w:val="single" w:color="000000" w:sz="12" w:space="0"/>
              <w:left w:val="nil"/>
              <w:right w:val="single" w:color="000000" w:sz="4" w:space="0"/>
            </w:tcBorders>
            <w:vAlign w:val="center"/>
          </w:tcPr>
          <w:p w14:paraId="438D05D2">
            <w:pPr>
              <w:bidi w:val="0"/>
              <w:ind w:left="0" w:leftChars="0" w:firstLine="0" w:firstLineChars="0"/>
              <w:jc w:val="center"/>
              <w:rPr>
                <w:rFonts w:hint="default"/>
              </w:rPr>
            </w:pPr>
            <w:r>
              <w:rPr>
                <w:rFonts w:hint="default"/>
              </w:rPr>
              <w:t>路基类型</w:t>
            </w:r>
          </w:p>
        </w:tc>
        <w:tc>
          <w:tcPr>
            <w:tcW w:w="0" w:type="auto"/>
            <w:vMerge w:val="restart"/>
            <w:tcBorders>
              <w:top w:val="single" w:color="000000" w:sz="12" w:space="0"/>
              <w:left w:val="single" w:color="000000" w:sz="4" w:space="0"/>
              <w:right w:val="single" w:color="000000" w:sz="4" w:space="0"/>
            </w:tcBorders>
            <w:vAlign w:val="center"/>
          </w:tcPr>
          <w:p w14:paraId="434DCB40">
            <w:pPr>
              <w:bidi w:val="0"/>
              <w:ind w:left="0" w:leftChars="0" w:firstLine="0" w:firstLineChars="0"/>
              <w:jc w:val="center"/>
              <w:rPr>
                <w:rFonts w:hint="default"/>
              </w:rPr>
            </w:pPr>
            <w:r>
              <w:rPr>
                <w:rFonts w:hint="default"/>
              </w:rPr>
              <w:t>路床顶面以下深度</w:t>
            </w:r>
            <w:r>
              <w:t>(cm)</w:t>
            </w:r>
          </w:p>
        </w:tc>
        <w:tc>
          <w:tcPr>
            <w:tcW w:w="0" w:type="auto"/>
            <w:gridSpan w:val="4"/>
            <w:tcBorders>
              <w:top w:val="single" w:color="000000" w:sz="12" w:space="0"/>
              <w:left w:val="single" w:color="000000" w:sz="4" w:space="0"/>
              <w:bottom w:val="single" w:color="000000" w:sz="4" w:space="0"/>
              <w:right w:val="nil"/>
            </w:tcBorders>
            <w:vAlign w:val="center"/>
          </w:tcPr>
          <w:p w14:paraId="50AF0F39">
            <w:pPr>
              <w:bidi w:val="0"/>
              <w:ind w:left="0" w:leftChars="0" w:firstLine="0" w:firstLineChars="0"/>
              <w:jc w:val="center"/>
              <w:rPr>
                <w:rFonts w:hint="default"/>
              </w:rPr>
            </w:pPr>
            <w:r>
              <w:rPr>
                <w:rFonts w:hint="default"/>
              </w:rPr>
              <w:t>压实度(%)</w:t>
            </w:r>
          </w:p>
        </w:tc>
      </w:tr>
      <w:tr w14:paraId="5B5832E7">
        <w:tblPrEx>
          <w:tblCellMar>
            <w:top w:w="0" w:type="dxa"/>
            <w:left w:w="0" w:type="dxa"/>
            <w:bottom w:w="0" w:type="dxa"/>
            <w:right w:w="0" w:type="dxa"/>
          </w:tblCellMar>
        </w:tblPrEx>
        <w:trPr>
          <w:trHeight w:val="360" w:hRule="exact"/>
          <w:jc w:val="center"/>
        </w:trPr>
        <w:tc>
          <w:tcPr>
            <w:tcW w:w="0" w:type="auto"/>
            <w:vMerge w:val="continue"/>
            <w:tcBorders>
              <w:left w:val="nil"/>
              <w:bottom w:val="single" w:color="000000" w:sz="4" w:space="0"/>
              <w:right w:val="single" w:color="000000" w:sz="4" w:space="0"/>
            </w:tcBorders>
            <w:vAlign w:val="center"/>
          </w:tcPr>
          <w:p w14:paraId="3F75C7C7">
            <w:pPr>
              <w:bidi w:val="0"/>
              <w:jc w:val="center"/>
            </w:pPr>
          </w:p>
        </w:tc>
        <w:tc>
          <w:tcPr>
            <w:tcW w:w="0" w:type="auto"/>
            <w:vMerge w:val="continue"/>
            <w:tcBorders>
              <w:left w:val="single" w:color="000000" w:sz="4" w:space="0"/>
              <w:bottom w:val="single" w:color="000000" w:sz="4" w:space="0"/>
              <w:right w:val="single" w:color="000000" w:sz="4" w:space="0"/>
            </w:tcBorders>
            <w:vAlign w:val="center"/>
          </w:tcPr>
          <w:p w14:paraId="14F1FFC0">
            <w:pPr>
              <w:bidi w:val="0"/>
              <w:jc w:val="center"/>
            </w:pPr>
          </w:p>
        </w:tc>
        <w:tc>
          <w:tcPr>
            <w:tcW w:w="0" w:type="auto"/>
            <w:tcBorders>
              <w:top w:val="single" w:color="000000" w:sz="4" w:space="0"/>
              <w:left w:val="single" w:color="000000" w:sz="4" w:space="0"/>
              <w:bottom w:val="single" w:color="000000" w:sz="4" w:space="0"/>
              <w:right w:val="single" w:color="000000" w:sz="4" w:space="0"/>
            </w:tcBorders>
            <w:vAlign w:val="center"/>
          </w:tcPr>
          <w:p w14:paraId="67C69207">
            <w:pPr>
              <w:bidi w:val="0"/>
              <w:ind w:left="0" w:leftChars="0" w:firstLine="0" w:firstLineChars="0"/>
              <w:jc w:val="center"/>
              <w:rPr>
                <w:rFonts w:hint="default"/>
              </w:rPr>
            </w:pPr>
            <w:r>
              <w:rPr>
                <w:rFonts w:hint="default"/>
              </w:rPr>
              <w:t>主干路</w:t>
            </w:r>
          </w:p>
        </w:tc>
        <w:tc>
          <w:tcPr>
            <w:tcW w:w="0" w:type="auto"/>
            <w:tcBorders>
              <w:top w:val="single" w:color="000000" w:sz="4" w:space="0"/>
              <w:left w:val="single" w:color="000000" w:sz="4" w:space="0"/>
              <w:bottom w:val="single" w:color="000000" w:sz="4" w:space="0"/>
              <w:right w:val="single" w:color="000000" w:sz="4" w:space="0"/>
            </w:tcBorders>
            <w:vAlign w:val="center"/>
          </w:tcPr>
          <w:p w14:paraId="3E659866">
            <w:pPr>
              <w:bidi w:val="0"/>
              <w:ind w:left="0" w:leftChars="0" w:firstLine="0" w:firstLineChars="0"/>
              <w:jc w:val="center"/>
              <w:rPr>
                <w:rFonts w:hint="default"/>
              </w:rPr>
            </w:pPr>
            <w:r>
              <w:rPr>
                <w:rFonts w:hint="default"/>
              </w:rPr>
              <w:t>次干路</w:t>
            </w:r>
          </w:p>
        </w:tc>
        <w:tc>
          <w:tcPr>
            <w:tcW w:w="0" w:type="auto"/>
            <w:tcBorders>
              <w:top w:val="single" w:color="000000" w:sz="4" w:space="0"/>
              <w:left w:val="single" w:color="000000" w:sz="4" w:space="0"/>
              <w:bottom w:val="single" w:color="000000" w:sz="4" w:space="0"/>
              <w:right w:val="single" w:color="000000" w:sz="4" w:space="0"/>
            </w:tcBorders>
            <w:vAlign w:val="center"/>
          </w:tcPr>
          <w:p w14:paraId="20529DE7">
            <w:pPr>
              <w:bidi w:val="0"/>
              <w:ind w:left="0" w:leftChars="0" w:firstLine="0" w:firstLineChars="0"/>
              <w:jc w:val="center"/>
              <w:rPr>
                <w:rFonts w:hint="default"/>
              </w:rPr>
            </w:pPr>
            <w:r>
              <w:rPr>
                <w:rFonts w:hint="default"/>
              </w:rPr>
              <w:t>支路</w:t>
            </w:r>
          </w:p>
        </w:tc>
        <w:tc>
          <w:tcPr>
            <w:tcW w:w="0" w:type="auto"/>
            <w:tcBorders>
              <w:top w:val="single" w:color="000000" w:sz="4" w:space="0"/>
              <w:left w:val="single" w:color="000000" w:sz="4" w:space="0"/>
              <w:bottom w:val="single" w:color="000000" w:sz="4" w:space="0"/>
              <w:right w:val="nil"/>
            </w:tcBorders>
            <w:vAlign w:val="center"/>
          </w:tcPr>
          <w:p w14:paraId="554198A6">
            <w:pPr>
              <w:bidi w:val="0"/>
              <w:ind w:left="0" w:leftChars="0" w:firstLine="0" w:firstLineChars="0"/>
              <w:jc w:val="center"/>
              <w:rPr>
                <w:rFonts w:hint="default"/>
              </w:rPr>
            </w:pPr>
            <w:r>
              <w:rPr>
                <w:rFonts w:hint="default"/>
              </w:rPr>
              <w:t>人行道</w:t>
            </w:r>
          </w:p>
        </w:tc>
      </w:tr>
      <w:tr w14:paraId="0EF21B38">
        <w:tblPrEx>
          <w:tblCellMar>
            <w:top w:w="0" w:type="dxa"/>
            <w:left w:w="0" w:type="dxa"/>
            <w:bottom w:w="0" w:type="dxa"/>
            <w:right w:w="0" w:type="dxa"/>
          </w:tblCellMar>
        </w:tblPrEx>
        <w:trPr>
          <w:trHeight w:val="360" w:hRule="exact"/>
          <w:jc w:val="center"/>
        </w:trPr>
        <w:tc>
          <w:tcPr>
            <w:tcW w:w="0" w:type="auto"/>
            <w:vMerge w:val="restart"/>
            <w:tcBorders>
              <w:top w:val="single" w:color="000000" w:sz="4" w:space="0"/>
              <w:left w:val="nil"/>
              <w:right w:val="single" w:color="000000" w:sz="4" w:space="0"/>
            </w:tcBorders>
            <w:vAlign w:val="center"/>
          </w:tcPr>
          <w:p w14:paraId="634D1518">
            <w:pPr>
              <w:bidi w:val="0"/>
              <w:ind w:left="0" w:leftChars="0" w:firstLine="0" w:firstLineChars="0"/>
              <w:jc w:val="center"/>
              <w:rPr>
                <w:rFonts w:hint="default"/>
              </w:rPr>
            </w:pPr>
            <w:r>
              <w:rPr>
                <w:rFonts w:hint="default"/>
              </w:rPr>
              <w:t>填方</w:t>
            </w:r>
          </w:p>
        </w:tc>
        <w:tc>
          <w:tcPr>
            <w:tcW w:w="0" w:type="auto"/>
            <w:tcBorders>
              <w:top w:val="single" w:color="000000" w:sz="4" w:space="0"/>
              <w:left w:val="single" w:color="000000" w:sz="4" w:space="0"/>
              <w:bottom w:val="single" w:color="000000" w:sz="4" w:space="0"/>
              <w:right w:val="single" w:color="000000" w:sz="4" w:space="0"/>
            </w:tcBorders>
            <w:vAlign w:val="center"/>
          </w:tcPr>
          <w:p w14:paraId="5ED4FD9B">
            <w:pPr>
              <w:bidi w:val="0"/>
              <w:ind w:left="0" w:leftChars="0" w:firstLine="0" w:firstLineChars="0"/>
              <w:jc w:val="center"/>
              <w:rPr>
                <w:rFonts w:hint="default"/>
              </w:rPr>
            </w:pPr>
            <w:r>
              <w:t>0~80</w:t>
            </w:r>
          </w:p>
        </w:tc>
        <w:tc>
          <w:tcPr>
            <w:tcW w:w="0" w:type="auto"/>
            <w:tcBorders>
              <w:top w:val="single" w:color="000000" w:sz="4" w:space="0"/>
              <w:left w:val="single" w:color="000000" w:sz="4" w:space="0"/>
              <w:bottom w:val="single" w:color="000000" w:sz="4" w:space="0"/>
              <w:right w:val="single" w:color="000000" w:sz="4" w:space="0"/>
            </w:tcBorders>
            <w:vAlign w:val="center"/>
          </w:tcPr>
          <w:p w14:paraId="7C358F15">
            <w:pPr>
              <w:bidi w:val="0"/>
              <w:ind w:left="0" w:leftChars="0" w:firstLine="0" w:firstLineChars="0"/>
              <w:jc w:val="center"/>
              <w:rPr>
                <w:rFonts w:hint="default"/>
              </w:rPr>
            </w:pPr>
            <w:r>
              <w:t>95</w:t>
            </w:r>
          </w:p>
        </w:tc>
        <w:tc>
          <w:tcPr>
            <w:tcW w:w="0" w:type="auto"/>
            <w:tcBorders>
              <w:top w:val="single" w:color="000000" w:sz="4" w:space="0"/>
              <w:left w:val="single" w:color="000000" w:sz="4" w:space="0"/>
              <w:bottom w:val="single" w:color="000000" w:sz="4" w:space="0"/>
              <w:right w:val="single" w:color="000000" w:sz="4" w:space="0"/>
            </w:tcBorders>
            <w:vAlign w:val="center"/>
          </w:tcPr>
          <w:p w14:paraId="2BF7D3B1">
            <w:pPr>
              <w:bidi w:val="0"/>
              <w:ind w:left="0" w:leftChars="0" w:firstLine="0" w:firstLineChars="0"/>
              <w:jc w:val="center"/>
              <w:rPr>
                <w:rFonts w:hint="default"/>
              </w:rPr>
            </w:pPr>
            <w:r>
              <w:t>94</w:t>
            </w:r>
          </w:p>
        </w:tc>
        <w:tc>
          <w:tcPr>
            <w:tcW w:w="0" w:type="auto"/>
            <w:tcBorders>
              <w:top w:val="single" w:color="000000" w:sz="4" w:space="0"/>
              <w:left w:val="single" w:color="000000" w:sz="4" w:space="0"/>
              <w:bottom w:val="single" w:color="000000" w:sz="4" w:space="0"/>
              <w:right w:val="single" w:color="000000" w:sz="4" w:space="0"/>
            </w:tcBorders>
            <w:vAlign w:val="center"/>
          </w:tcPr>
          <w:p w14:paraId="7EBC553F">
            <w:pPr>
              <w:bidi w:val="0"/>
              <w:ind w:left="0" w:leftChars="0" w:firstLine="0" w:firstLineChars="0"/>
              <w:jc w:val="center"/>
              <w:rPr>
                <w:rFonts w:hint="default"/>
              </w:rPr>
            </w:pPr>
            <w:r>
              <w:t>92</w:t>
            </w:r>
          </w:p>
        </w:tc>
        <w:tc>
          <w:tcPr>
            <w:tcW w:w="0" w:type="auto"/>
            <w:tcBorders>
              <w:top w:val="single" w:color="000000" w:sz="4" w:space="0"/>
              <w:left w:val="single" w:color="000000" w:sz="4" w:space="0"/>
              <w:bottom w:val="single" w:color="000000" w:sz="4" w:space="0"/>
              <w:right w:val="nil"/>
            </w:tcBorders>
            <w:vAlign w:val="center"/>
          </w:tcPr>
          <w:p w14:paraId="5CC9047D">
            <w:pPr>
              <w:bidi w:val="0"/>
              <w:ind w:left="0" w:leftChars="0" w:firstLine="0" w:firstLineChars="0"/>
              <w:jc w:val="center"/>
              <w:rPr>
                <w:rFonts w:hint="default"/>
              </w:rPr>
            </w:pPr>
            <w:r>
              <w:t>92</w:t>
            </w:r>
          </w:p>
        </w:tc>
      </w:tr>
      <w:tr w14:paraId="30756D9E">
        <w:tblPrEx>
          <w:tblCellMar>
            <w:top w:w="0" w:type="dxa"/>
            <w:left w:w="0" w:type="dxa"/>
            <w:bottom w:w="0" w:type="dxa"/>
            <w:right w:w="0" w:type="dxa"/>
          </w:tblCellMar>
        </w:tblPrEx>
        <w:trPr>
          <w:trHeight w:val="360" w:hRule="exact"/>
          <w:jc w:val="center"/>
        </w:trPr>
        <w:tc>
          <w:tcPr>
            <w:tcW w:w="0" w:type="auto"/>
            <w:vMerge w:val="continue"/>
            <w:tcBorders>
              <w:left w:val="nil"/>
              <w:right w:val="single" w:color="000000" w:sz="4" w:space="0"/>
            </w:tcBorders>
            <w:vAlign w:val="center"/>
          </w:tcPr>
          <w:p w14:paraId="4158EC94">
            <w:pPr>
              <w:bidi w:val="0"/>
              <w:jc w:val="center"/>
            </w:pPr>
          </w:p>
        </w:tc>
        <w:tc>
          <w:tcPr>
            <w:tcW w:w="0" w:type="auto"/>
            <w:tcBorders>
              <w:top w:val="single" w:color="000000" w:sz="4" w:space="0"/>
              <w:left w:val="single" w:color="000000" w:sz="4" w:space="0"/>
              <w:bottom w:val="single" w:color="000000" w:sz="4" w:space="0"/>
              <w:right w:val="single" w:color="000000" w:sz="4" w:space="0"/>
            </w:tcBorders>
            <w:vAlign w:val="center"/>
          </w:tcPr>
          <w:p w14:paraId="6797F661">
            <w:pPr>
              <w:bidi w:val="0"/>
              <w:ind w:left="0" w:leftChars="0" w:firstLine="0" w:firstLineChars="0"/>
              <w:jc w:val="center"/>
              <w:rPr>
                <w:rFonts w:hint="default"/>
              </w:rPr>
            </w:pPr>
            <w:r>
              <w:t>80~150</w:t>
            </w:r>
          </w:p>
        </w:tc>
        <w:tc>
          <w:tcPr>
            <w:tcW w:w="0" w:type="auto"/>
            <w:tcBorders>
              <w:top w:val="single" w:color="000000" w:sz="4" w:space="0"/>
              <w:left w:val="single" w:color="000000" w:sz="4" w:space="0"/>
              <w:bottom w:val="single" w:color="000000" w:sz="4" w:space="0"/>
              <w:right w:val="single" w:color="000000" w:sz="4" w:space="0"/>
            </w:tcBorders>
            <w:vAlign w:val="center"/>
          </w:tcPr>
          <w:p w14:paraId="583A7AEE">
            <w:pPr>
              <w:bidi w:val="0"/>
              <w:ind w:left="0" w:leftChars="0" w:firstLine="0" w:firstLineChars="0"/>
              <w:jc w:val="center"/>
              <w:rPr>
                <w:rFonts w:hint="default"/>
              </w:rPr>
            </w:pPr>
            <w:r>
              <w:t>93</w:t>
            </w:r>
          </w:p>
        </w:tc>
        <w:tc>
          <w:tcPr>
            <w:tcW w:w="0" w:type="auto"/>
            <w:tcBorders>
              <w:top w:val="single" w:color="000000" w:sz="4" w:space="0"/>
              <w:left w:val="single" w:color="000000" w:sz="4" w:space="0"/>
              <w:bottom w:val="single" w:color="000000" w:sz="4" w:space="0"/>
              <w:right w:val="single" w:color="000000" w:sz="4" w:space="0"/>
            </w:tcBorders>
            <w:vAlign w:val="center"/>
          </w:tcPr>
          <w:p w14:paraId="7DED3796">
            <w:pPr>
              <w:bidi w:val="0"/>
              <w:ind w:left="0" w:leftChars="0" w:firstLine="0" w:firstLineChars="0"/>
              <w:jc w:val="center"/>
              <w:rPr>
                <w:rFonts w:hint="default"/>
              </w:rPr>
            </w:pPr>
            <w:r>
              <w:t>92</w:t>
            </w:r>
          </w:p>
        </w:tc>
        <w:tc>
          <w:tcPr>
            <w:tcW w:w="0" w:type="auto"/>
            <w:tcBorders>
              <w:top w:val="single" w:color="000000" w:sz="4" w:space="0"/>
              <w:left w:val="single" w:color="000000" w:sz="4" w:space="0"/>
              <w:bottom w:val="single" w:color="000000" w:sz="4" w:space="0"/>
              <w:right w:val="single" w:color="000000" w:sz="4" w:space="0"/>
            </w:tcBorders>
            <w:vAlign w:val="center"/>
          </w:tcPr>
          <w:p w14:paraId="179D2FD8">
            <w:pPr>
              <w:bidi w:val="0"/>
              <w:ind w:left="0" w:leftChars="0" w:firstLine="0" w:firstLineChars="0"/>
              <w:jc w:val="center"/>
              <w:rPr>
                <w:rFonts w:hint="default"/>
              </w:rPr>
            </w:pPr>
            <w:r>
              <w:t>91</w:t>
            </w:r>
          </w:p>
        </w:tc>
        <w:tc>
          <w:tcPr>
            <w:tcW w:w="0" w:type="auto"/>
            <w:tcBorders>
              <w:top w:val="single" w:color="000000" w:sz="4" w:space="0"/>
              <w:left w:val="single" w:color="000000" w:sz="4" w:space="0"/>
              <w:bottom w:val="single" w:color="000000" w:sz="4" w:space="0"/>
              <w:right w:val="nil"/>
            </w:tcBorders>
            <w:vAlign w:val="center"/>
          </w:tcPr>
          <w:p w14:paraId="6CAA5730">
            <w:pPr>
              <w:bidi w:val="0"/>
              <w:ind w:left="0" w:leftChars="0" w:firstLine="0" w:firstLineChars="0"/>
              <w:jc w:val="center"/>
              <w:rPr>
                <w:rFonts w:hint="default"/>
              </w:rPr>
            </w:pPr>
            <w:r>
              <w:t>91</w:t>
            </w:r>
          </w:p>
        </w:tc>
      </w:tr>
      <w:tr w14:paraId="6F780407">
        <w:tblPrEx>
          <w:tblCellMar>
            <w:top w:w="0" w:type="dxa"/>
            <w:left w:w="0" w:type="dxa"/>
            <w:bottom w:w="0" w:type="dxa"/>
            <w:right w:w="0" w:type="dxa"/>
          </w:tblCellMar>
        </w:tblPrEx>
        <w:trPr>
          <w:trHeight w:val="360" w:hRule="exact"/>
          <w:jc w:val="center"/>
        </w:trPr>
        <w:tc>
          <w:tcPr>
            <w:tcW w:w="0" w:type="auto"/>
            <w:vMerge w:val="continue"/>
            <w:tcBorders>
              <w:left w:val="nil"/>
              <w:bottom w:val="single" w:color="000000" w:sz="4" w:space="0"/>
              <w:right w:val="single" w:color="000000" w:sz="4" w:space="0"/>
            </w:tcBorders>
            <w:vAlign w:val="center"/>
          </w:tcPr>
          <w:p w14:paraId="47FB296A">
            <w:pPr>
              <w:bidi w:val="0"/>
              <w:jc w:val="center"/>
            </w:pPr>
          </w:p>
        </w:tc>
        <w:tc>
          <w:tcPr>
            <w:tcW w:w="0" w:type="auto"/>
            <w:tcBorders>
              <w:top w:val="single" w:color="000000" w:sz="4" w:space="0"/>
              <w:left w:val="single" w:color="000000" w:sz="4" w:space="0"/>
              <w:bottom w:val="single" w:color="000000" w:sz="4" w:space="0"/>
              <w:right w:val="single" w:color="000000" w:sz="4" w:space="0"/>
            </w:tcBorders>
            <w:vAlign w:val="center"/>
          </w:tcPr>
          <w:p w14:paraId="7E2A078E">
            <w:pPr>
              <w:bidi w:val="0"/>
              <w:ind w:left="0" w:leftChars="0" w:firstLine="0" w:firstLineChars="0"/>
              <w:jc w:val="center"/>
              <w:rPr>
                <w:rFonts w:hint="default"/>
              </w:rPr>
            </w:pPr>
            <w:r>
              <w:t>&gt;150</w:t>
            </w:r>
          </w:p>
        </w:tc>
        <w:tc>
          <w:tcPr>
            <w:tcW w:w="0" w:type="auto"/>
            <w:tcBorders>
              <w:top w:val="single" w:color="000000" w:sz="4" w:space="0"/>
              <w:left w:val="single" w:color="000000" w:sz="4" w:space="0"/>
              <w:bottom w:val="single" w:color="000000" w:sz="4" w:space="0"/>
              <w:right w:val="single" w:color="000000" w:sz="4" w:space="0"/>
            </w:tcBorders>
            <w:vAlign w:val="center"/>
          </w:tcPr>
          <w:p w14:paraId="639DD0F1">
            <w:pPr>
              <w:bidi w:val="0"/>
              <w:ind w:left="0" w:leftChars="0" w:firstLine="0" w:firstLineChars="0"/>
              <w:jc w:val="center"/>
              <w:rPr>
                <w:rFonts w:hint="default"/>
              </w:rPr>
            </w:pPr>
            <w:r>
              <w:t>92</w:t>
            </w:r>
          </w:p>
        </w:tc>
        <w:tc>
          <w:tcPr>
            <w:tcW w:w="0" w:type="auto"/>
            <w:tcBorders>
              <w:top w:val="single" w:color="000000" w:sz="4" w:space="0"/>
              <w:left w:val="single" w:color="000000" w:sz="4" w:space="0"/>
              <w:bottom w:val="single" w:color="000000" w:sz="4" w:space="0"/>
              <w:right w:val="single" w:color="000000" w:sz="4" w:space="0"/>
            </w:tcBorders>
            <w:vAlign w:val="center"/>
          </w:tcPr>
          <w:p w14:paraId="28CD8B6B">
            <w:pPr>
              <w:bidi w:val="0"/>
              <w:ind w:left="0" w:leftChars="0" w:firstLine="0" w:firstLineChars="0"/>
              <w:jc w:val="center"/>
              <w:rPr>
                <w:rFonts w:hint="default"/>
              </w:rPr>
            </w:pPr>
            <w:r>
              <w:t>91</w:t>
            </w:r>
          </w:p>
        </w:tc>
        <w:tc>
          <w:tcPr>
            <w:tcW w:w="0" w:type="auto"/>
            <w:tcBorders>
              <w:top w:val="single" w:color="000000" w:sz="4" w:space="0"/>
              <w:left w:val="single" w:color="000000" w:sz="4" w:space="0"/>
              <w:bottom w:val="single" w:color="000000" w:sz="4" w:space="0"/>
              <w:right w:val="single" w:color="000000" w:sz="4" w:space="0"/>
            </w:tcBorders>
            <w:vAlign w:val="center"/>
          </w:tcPr>
          <w:p w14:paraId="2D3B4BC8">
            <w:pPr>
              <w:bidi w:val="0"/>
              <w:ind w:left="0" w:leftChars="0" w:firstLine="0" w:firstLineChars="0"/>
              <w:jc w:val="center"/>
              <w:rPr>
                <w:rFonts w:hint="default"/>
              </w:rPr>
            </w:pPr>
            <w:r>
              <w:t>90</w:t>
            </w:r>
          </w:p>
        </w:tc>
        <w:tc>
          <w:tcPr>
            <w:tcW w:w="0" w:type="auto"/>
            <w:tcBorders>
              <w:top w:val="single" w:color="000000" w:sz="4" w:space="0"/>
              <w:left w:val="single" w:color="000000" w:sz="4" w:space="0"/>
              <w:bottom w:val="single" w:color="000000" w:sz="4" w:space="0"/>
              <w:right w:val="nil"/>
            </w:tcBorders>
            <w:vAlign w:val="center"/>
          </w:tcPr>
          <w:p w14:paraId="56FF905C">
            <w:pPr>
              <w:bidi w:val="0"/>
              <w:ind w:left="0" w:leftChars="0" w:firstLine="0" w:firstLineChars="0"/>
              <w:jc w:val="center"/>
              <w:rPr>
                <w:rFonts w:hint="default"/>
              </w:rPr>
            </w:pPr>
            <w:r>
              <w:t>90</w:t>
            </w:r>
          </w:p>
        </w:tc>
      </w:tr>
      <w:tr w14:paraId="0D668A46">
        <w:tblPrEx>
          <w:tblCellMar>
            <w:top w:w="0" w:type="dxa"/>
            <w:left w:w="0" w:type="dxa"/>
            <w:bottom w:w="0" w:type="dxa"/>
            <w:right w:w="0" w:type="dxa"/>
          </w:tblCellMar>
        </w:tblPrEx>
        <w:trPr>
          <w:trHeight w:val="360" w:hRule="exact"/>
          <w:jc w:val="center"/>
        </w:trPr>
        <w:tc>
          <w:tcPr>
            <w:tcW w:w="0" w:type="auto"/>
            <w:vMerge w:val="restart"/>
            <w:tcBorders>
              <w:top w:val="single" w:color="000000" w:sz="4" w:space="0"/>
              <w:left w:val="nil"/>
              <w:right w:val="single" w:color="000000" w:sz="4" w:space="0"/>
            </w:tcBorders>
            <w:vAlign w:val="center"/>
          </w:tcPr>
          <w:p w14:paraId="03D3A071">
            <w:pPr>
              <w:bidi w:val="0"/>
              <w:ind w:left="0" w:leftChars="0" w:firstLine="0" w:firstLineChars="0"/>
              <w:jc w:val="center"/>
              <w:rPr>
                <w:rFonts w:hint="default"/>
              </w:rPr>
            </w:pPr>
            <w:r>
              <w:rPr>
                <w:rFonts w:hint="default"/>
              </w:rPr>
              <w:t>零填方或挖方</w:t>
            </w:r>
          </w:p>
        </w:tc>
        <w:tc>
          <w:tcPr>
            <w:tcW w:w="0" w:type="auto"/>
            <w:tcBorders>
              <w:top w:val="single" w:color="000000" w:sz="4" w:space="0"/>
              <w:left w:val="single" w:color="000000" w:sz="4" w:space="0"/>
              <w:bottom w:val="single" w:color="000000" w:sz="4" w:space="0"/>
              <w:right w:val="single" w:color="000000" w:sz="4" w:space="0"/>
            </w:tcBorders>
            <w:vAlign w:val="center"/>
          </w:tcPr>
          <w:p w14:paraId="1E423512">
            <w:pPr>
              <w:bidi w:val="0"/>
              <w:ind w:left="0" w:leftChars="0" w:firstLine="0" w:firstLineChars="0"/>
              <w:jc w:val="center"/>
              <w:rPr>
                <w:rFonts w:hint="default"/>
              </w:rPr>
            </w:pPr>
            <w:r>
              <w:t>0~30</w:t>
            </w:r>
          </w:p>
        </w:tc>
        <w:tc>
          <w:tcPr>
            <w:tcW w:w="0" w:type="auto"/>
            <w:tcBorders>
              <w:top w:val="single" w:color="000000" w:sz="4" w:space="0"/>
              <w:left w:val="single" w:color="000000" w:sz="4" w:space="0"/>
              <w:bottom w:val="single" w:color="000000" w:sz="4" w:space="0"/>
              <w:right w:val="single" w:color="000000" w:sz="4" w:space="0"/>
            </w:tcBorders>
            <w:vAlign w:val="center"/>
          </w:tcPr>
          <w:p w14:paraId="573BDAA0">
            <w:pPr>
              <w:bidi w:val="0"/>
              <w:ind w:left="0" w:leftChars="0" w:firstLine="0" w:firstLineChars="0"/>
              <w:jc w:val="center"/>
              <w:rPr>
                <w:rFonts w:hint="default"/>
              </w:rPr>
            </w:pPr>
            <w:r>
              <w:t>95</w:t>
            </w:r>
          </w:p>
        </w:tc>
        <w:tc>
          <w:tcPr>
            <w:tcW w:w="0" w:type="auto"/>
            <w:tcBorders>
              <w:top w:val="single" w:color="000000" w:sz="4" w:space="0"/>
              <w:left w:val="single" w:color="000000" w:sz="4" w:space="0"/>
              <w:bottom w:val="single" w:color="000000" w:sz="4" w:space="0"/>
              <w:right w:val="single" w:color="000000" w:sz="4" w:space="0"/>
            </w:tcBorders>
            <w:vAlign w:val="center"/>
          </w:tcPr>
          <w:p w14:paraId="17B25CFF">
            <w:pPr>
              <w:bidi w:val="0"/>
              <w:ind w:left="0" w:leftChars="0" w:firstLine="0" w:firstLineChars="0"/>
              <w:jc w:val="center"/>
              <w:rPr>
                <w:rFonts w:hint="default"/>
              </w:rPr>
            </w:pPr>
            <w:r>
              <w:t>94</w:t>
            </w:r>
          </w:p>
        </w:tc>
        <w:tc>
          <w:tcPr>
            <w:tcW w:w="0" w:type="auto"/>
            <w:tcBorders>
              <w:top w:val="single" w:color="000000" w:sz="4" w:space="0"/>
              <w:left w:val="single" w:color="000000" w:sz="4" w:space="0"/>
              <w:bottom w:val="single" w:color="000000" w:sz="4" w:space="0"/>
              <w:right w:val="single" w:color="000000" w:sz="4" w:space="0"/>
            </w:tcBorders>
            <w:vAlign w:val="center"/>
          </w:tcPr>
          <w:p w14:paraId="7371FEF6">
            <w:pPr>
              <w:bidi w:val="0"/>
              <w:ind w:left="0" w:leftChars="0" w:firstLine="0" w:firstLineChars="0"/>
              <w:jc w:val="center"/>
              <w:rPr>
                <w:rFonts w:hint="default"/>
              </w:rPr>
            </w:pPr>
            <w:r>
              <w:t>92</w:t>
            </w:r>
          </w:p>
        </w:tc>
        <w:tc>
          <w:tcPr>
            <w:tcW w:w="0" w:type="auto"/>
            <w:tcBorders>
              <w:top w:val="single" w:color="000000" w:sz="4" w:space="0"/>
              <w:left w:val="single" w:color="000000" w:sz="4" w:space="0"/>
              <w:bottom w:val="single" w:color="000000" w:sz="4" w:space="0"/>
              <w:right w:val="nil"/>
            </w:tcBorders>
            <w:vAlign w:val="center"/>
          </w:tcPr>
          <w:p w14:paraId="5D85FBDF">
            <w:pPr>
              <w:bidi w:val="0"/>
              <w:ind w:left="0" w:leftChars="0" w:firstLine="0" w:firstLineChars="0"/>
              <w:jc w:val="center"/>
              <w:rPr>
                <w:rFonts w:hint="default"/>
              </w:rPr>
            </w:pPr>
            <w:r>
              <w:t>92</w:t>
            </w:r>
          </w:p>
        </w:tc>
      </w:tr>
      <w:tr w14:paraId="055F7F81">
        <w:tblPrEx>
          <w:tblCellMar>
            <w:top w:w="0" w:type="dxa"/>
            <w:left w:w="0" w:type="dxa"/>
            <w:bottom w:w="0" w:type="dxa"/>
            <w:right w:w="0" w:type="dxa"/>
          </w:tblCellMar>
        </w:tblPrEx>
        <w:trPr>
          <w:trHeight w:val="370" w:hRule="exact"/>
          <w:jc w:val="center"/>
        </w:trPr>
        <w:tc>
          <w:tcPr>
            <w:tcW w:w="0" w:type="auto"/>
            <w:vMerge w:val="continue"/>
            <w:tcBorders>
              <w:left w:val="nil"/>
              <w:bottom w:val="single" w:color="000000" w:sz="12" w:space="0"/>
              <w:right w:val="single" w:color="000000" w:sz="4" w:space="0"/>
            </w:tcBorders>
            <w:vAlign w:val="center"/>
          </w:tcPr>
          <w:p w14:paraId="78333520">
            <w:pPr>
              <w:bidi w:val="0"/>
              <w:jc w:val="center"/>
            </w:pPr>
          </w:p>
        </w:tc>
        <w:tc>
          <w:tcPr>
            <w:tcW w:w="0" w:type="auto"/>
            <w:tcBorders>
              <w:top w:val="single" w:color="000000" w:sz="4" w:space="0"/>
              <w:left w:val="single" w:color="000000" w:sz="4" w:space="0"/>
              <w:bottom w:val="single" w:color="000000" w:sz="12" w:space="0"/>
              <w:right w:val="single" w:color="000000" w:sz="4" w:space="0"/>
            </w:tcBorders>
            <w:vAlign w:val="center"/>
          </w:tcPr>
          <w:p w14:paraId="07136534">
            <w:pPr>
              <w:bidi w:val="0"/>
              <w:ind w:left="0" w:leftChars="0" w:firstLine="0" w:firstLineChars="0"/>
              <w:jc w:val="center"/>
              <w:rPr>
                <w:rFonts w:hint="default"/>
              </w:rPr>
            </w:pPr>
            <w:r>
              <w:t>30~80</w:t>
            </w:r>
          </w:p>
        </w:tc>
        <w:tc>
          <w:tcPr>
            <w:tcW w:w="0" w:type="auto"/>
            <w:tcBorders>
              <w:top w:val="single" w:color="000000" w:sz="4" w:space="0"/>
              <w:left w:val="single" w:color="000000" w:sz="4" w:space="0"/>
              <w:bottom w:val="single" w:color="000000" w:sz="12" w:space="0"/>
              <w:right w:val="single" w:color="000000" w:sz="4" w:space="0"/>
            </w:tcBorders>
            <w:vAlign w:val="center"/>
          </w:tcPr>
          <w:p w14:paraId="49B6A486">
            <w:pPr>
              <w:bidi w:val="0"/>
              <w:ind w:left="0" w:leftChars="0" w:firstLine="0" w:firstLineChars="0"/>
              <w:jc w:val="center"/>
              <w:rPr>
                <w:rFonts w:hint="default"/>
              </w:rPr>
            </w:pPr>
            <w:r>
              <w:t>93</w:t>
            </w:r>
          </w:p>
        </w:tc>
        <w:tc>
          <w:tcPr>
            <w:tcW w:w="0" w:type="auto"/>
            <w:tcBorders>
              <w:top w:val="single" w:color="000000" w:sz="4" w:space="0"/>
              <w:left w:val="single" w:color="000000" w:sz="4" w:space="0"/>
              <w:bottom w:val="single" w:color="000000" w:sz="12" w:space="0"/>
              <w:right w:val="single" w:color="000000" w:sz="4" w:space="0"/>
            </w:tcBorders>
            <w:vAlign w:val="center"/>
          </w:tcPr>
          <w:p w14:paraId="20BB7400">
            <w:pPr>
              <w:bidi w:val="0"/>
              <w:ind w:left="0" w:leftChars="0" w:firstLine="0" w:firstLineChars="0"/>
              <w:jc w:val="center"/>
              <w:rPr>
                <w:rFonts w:hint="default"/>
              </w:rPr>
            </w:pPr>
            <w:r>
              <w:t>-</w:t>
            </w:r>
          </w:p>
        </w:tc>
        <w:tc>
          <w:tcPr>
            <w:tcW w:w="0" w:type="auto"/>
            <w:tcBorders>
              <w:top w:val="single" w:color="000000" w:sz="4" w:space="0"/>
              <w:left w:val="single" w:color="000000" w:sz="4" w:space="0"/>
              <w:bottom w:val="single" w:color="000000" w:sz="12" w:space="0"/>
              <w:right w:val="single" w:color="000000" w:sz="4" w:space="0"/>
            </w:tcBorders>
            <w:vAlign w:val="center"/>
          </w:tcPr>
          <w:p w14:paraId="57BEBF89">
            <w:pPr>
              <w:bidi w:val="0"/>
              <w:ind w:left="0" w:leftChars="0" w:firstLine="0" w:firstLineChars="0"/>
              <w:jc w:val="center"/>
              <w:rPr>
                <w:rFonts w:hint="default"/>
              </w:rPr>
            </w:pPr>
            <w:r>
              <w:t>-</w:t>
            </w:r>
          </w:p>
        </w:tc>
        <w:tc>
          <w:tcPr>
            <w:tcW w:w="0" w:type="auto"/>
            <w:tcBorders>
              <w:top w:val="single" w:color="000000" w:sz="4" w:space="0"/>
              <w:left w:val="single" w:color="000000" w:sz="4" w:space="0"/>
              <w:bottom w:val="single" w:color="000000" w:sz="12" w:space="0"/>
              <w:right w:val="nil"/>
            </w:tcBorders>
            <w:vAlign w:val="center"/>
          </w:tcPr>
          <w:p w14:paraId="02F88CE4">
            <w:pPr>
              <w:bidi w:val="0"/>
              <w:ind w:left="0" w:leftChars="0" w:firstLine="0" w:firstLineChars="0"/>
              <w:jc w:val="center"/>
              <w:rPr>
                <w:rFonts w:hint="default"/>
              </w:rPr>
            </w:pPr>
            <w:r>
              <w:t>/</w:t>
            </w:r>
          </w:p>
        </w:tc>
      </w:tr>
    </w:tbl>
    <w:p w14:paraId="684B8C3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4.5路面结构设计</w:t>
      </w:r>
    </w:p>
    <w:p w14:paraId="214EF64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采用半封闭、分区分段施工，尽可能减小施工对小区居民出行及生活的影响。</w:t>
      </w:r>
    </w:p>
    <w:p w14:paraId="09A4D693">
      <w:pPr>
        <w:spacing w:line="360" w:lineRule="auto"/>
        <w:ind w:firstLine="532" w:firstLineChars="200"/>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根据路面调查、地勘资料显示本项目改造路面结构、厚度为以下所示：</w:t>
      </w:r>
    </w:p>
    <w:p w14:paraId="54F6F2A6">
      <w:pPr>
        <w:numPr>
          <w:ilvl w:val="0"/>
          <w:numId w:val="9"/>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路面结构层一:(适用于小区路良好路段)</w:t>
      </w:r>
    </w:p>
    <w:p w14:paraId="1812E74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5cmAC-13C沥青砼面层+(粘层油0.9L/m2)+玻纤格栅+1cm碎石封层+清缝、灌缝+铣刨、拉毛、吹净=6cm。</w:t>
      </w:r>
    </w:p>
    <w:p w14:paraId="6BFD65C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2)路面结构层二:(适用于小区、村道路段新建管道处路面恢复)</w:t>
      </w:r>
    </w:p>
    <w:p w14:paraId="61D3389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5cmAC-13C沥青砼面层+(粘层油0.9L/m2)+玻纤格栅+1cm碎石封层+切缝、清缝、灌缝+铣刨、拉毛、吹净+20cmC20混凝土基层(fr4.5MPa)+15cm级配碎石垫层=41cm。</w:t>
      </w:r>
    </w:p>
    <w:p w14:paraId="072538B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3)路面结构层三:(适用于城市次干路、支路道路路面恢复)</w:t>
      </w:r>
    </w:p>
    <w:p w14:paraId="76CBF77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4cm厚细粒式改性沥青混凝土AC-13+(粘层油0.9L/m2)+6cm厚粗粒式沥青混凝土AC-25+(粘层油0.9L/m2)+35cm厚C30水泥混凝土(fr4.5MPa)+15cm厚级配碎石+切缝、清缝、灌缝+铣刨、拉毛、吹净=60cm。</w:t>
      </w:r>
    </w:p>
    <w:p w14:paraId="65FFF5B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4)路面结构层四:(适用于城瓦子坡临时道路)</w:t>
      </w:r>
    </w:p>
    <w:p w14:paraId="1D414DC6">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4cm厚细粒式改性沥青混凝土AC-13+(粘层油0.9L/m2)+8cm厚粗粒式沥青混凝土AC-25+(粘层油0.9L/m2)+封层:SBS同步碎石 1.0cm+透煤油稀释沥青+5%水泥稳定碎石 20cm+4%水泥稳定碎石20cm+15cm级配碎石=68cm。</w:t>
      </w:r>
    </w:p>
    <w:p w14:paraId="323254B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5）新建人行道路面结构</w:t>
      </w:r>
    </w:p>
    <w:p w14:paraId="0158BFA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人行道采用透水性材料铺装。</w:t>
      </w:r>
    </w:p>
    <w:p w14:paraId="5967836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透水面层：8cm厚彩色透水混凝土</w:t>
      </w:r>
    </w:p>
    <w:p w14:paraId="2191CBD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透水基层: 20cm无砂混凝土</w:t>
      </w:r>
    </w:p>
    <w:p w14:paraId="6D69C307">
      <w:pPr>
        <w:spacing w:line="360" w:lineRule="auto"/>
        <w:ind w:firstLine="532" w:firstLineChars="200"/>
        <w:rPr>
          <w:rFonts w:hint="eastAsia"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透水底基层：15cm级配碎石</w:t>
      </w:r>
    </w:p>
    <w:p w14:paraId="616A3B3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4.6路面板块接缝病害处理</w:t>
      </w:r>
    </w:p>
    <w:p w14:paraId="1B9ED0F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1)接缝中的旧填料和杂物，应予清除，并将缝内灰尘吹净。</w:t>
      </w:r>
    </w:p>
    <w:p w14:paraId="7789038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2)对啃边部位应切割成规则条形，其周围切割面应垂直于面板。</w:t>
      </w:r>
    </w:p>
    <w:p w14:paraId="6A98460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3)宜采取聚氯酯类常温施工式填料进行维修。</w:t>
      </w:r>
    </w:p>
    <w:p w14:paraId="478234D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4)对施工范围内面板的裂缝、错台、板角破裂等病害进行处理修复。</w:t>
      </w:r>
    </w:p>
    <w:p w14:paraId="3E4F687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4.7附属工程</w:t>
      </w:r>
    </w:p>
    <w:p w14:paraId="498D848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1、路面衔接:</w:t>
      </w:r>
    </w:p>
    <w:p w14:paraId="335B0CA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改造沥青路面与周边市政道路平交处做好路面衔接处理。</w:t>
      </w:r>
    </w:p>
    <w:p w14:paraId="7C2BCA2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新建混凝土板块与现状板块之间增设拉杆，采用长70cm直径16mm螺纹钢，间距50cm布置于板块中间。</w:t>
      </w:r>
    </w:p>
    <w:p w14:paraId="3FE4CD4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2、原水泥混凝土板块的修复处理</w:t>
      </w:r>
    </w:p>
    <w:p w14:paraId="4361672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施工前建议施工单位对现状路面再采用5.4m长的贝克曼梁测量其主点和副点弯沉。对原业主提供的的弯沉值进行复核。对板底脱空的评定标准为，现有砼板按接缝处主点弯沉小于0.2mm、差异弯沉小于0.06mm双指标控制，即这两个指标均需满足的板不需要处理，否则采取注浆或其他措施修补旧板。</w:t>
      </w:r>
    </w:p>
    <w:p w14:paraId="0FB50D7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（a） 裂缝的处理</w:t>
      </w:r>
    </w:p>
    <w:p w14:paraId="75942AE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对宽度小于3mm的轻微裂缝，采取扩建注浆；对大于3mm，小于15mm的中等裂缝，采取条带罩面进行补缝。对宽度大于15mm的严重裂缝，采用全深度补块(集料嵌锁法)。处理措施详见“水泥混凝土板块处理设计图”中相关说明。</w:t>
      </w:r>
    </w:p>
    <w:p w14:paraId="0423331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（b） 板边、板角的处理</w:t>
      </w:r>
    </w:p>
    <w:p w14:paraId="261D3AD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板角断裂应按照破裂面的大小确定切割范围，纵向最小切割宽度为0.5m，最大为1.0m；横向最小为0.5m，最大到车行道中央。小心切割破损板块，防止切割时对相邻板块造成额外损坏。切缝后，凿除损坏部分时应凿成规则垂直面。对原有钢筋不应切断，如果钢筋难以全部保留，至少也要保留20～30cm的钢筋头，且应长短交错。若基层出现松散情况则应挖除松散基层后用C15砼做基层。</w:t>
      </w:r>
    </w:p>
    <w:p w14:paraId="055554D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（c） 原水泥混凝土板块错台的处理</w:t>
      </w:r>
    </w:p>
    <w:p w14:paraId="048239F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当注浆和裂缝处理完毕后，须对混凝土板块的错台进行处理。</w:t>
      </w:r>
    </w:p>
    <w:p w14:paraId="7246CB8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① 当错台≤0.10mm时，可采用机器磨平或人工凿平的方法进行处理。</w:t>
      </w:r>
    </w:p>
    <w:p w14:paraId="0D0F57B6">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② 当错台＞0.10mm时，可采用先进行凿平处理，再加铺调平层，或局部翻挖新建的方法进行处理。</w:t>
      </w:r>
    </w:p>
    <w:p w14:paraId="1018CBF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（d） 原水泥混凝土板块坑洞的处理</w:t>
      </w:r>
    </w:p>
    <w:p w14:paraId="053D4D4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对个别坑洞修补，清除洞内杂物，用水泥砂浆等材料填充，达到平整密实。对较多坑洞且连成一片的，应采取薄层修补方法进行修补。将坑洞切割深度为6cm以上的槽，并将切割面内的光滑面凿毛。用混凝土拌和物填入槽内，振捣密实，并保持与原混凝土面板齐平。</w:t>
      </w:r>
    </w:p>
    <w:p w14:paraId="70DE0B5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（e） 原水泥混凝土板块接缝的处理</w:t>
      </w:r>
    </w:p>
    <w:p w14:paraId="0395EC0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混凝土路面的接缝包括纵向施工缝、纵向缩缝、横向施工缝、横向缩缝、横向胀缝等。接缝是混凝土板块的薄弱部位，最容易引起破坏，特别是胀缝破坏率甚高。多数接缝填缝料损坏或未灌注。</w:t>
      </w:r>
    </w:p>
    <w:p w14:paraId="66814BE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① 清缝。将原板块的填缝料清除，若原缝偏窄需重新切缝，要求切缝宽度10mm，深度40～50mm。</w:t>
      </w:r>
    </w:p>
    <w:p w14:paraId="01C94E0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② 用皮老虎或吸尘器吹吸干净缝内尘土，采用填缝料填充。</w:t>
      </w:r>
    </w:p>
    <w:p w14:paraId="62CC75F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③建议采用聚氨酯密封胶作为填缝材料，该材料主要由甲组分（多异氰酸酯），乙组分（多羟基化合物）组成，不含煤焦油成分。甲乙组分的配比为1：（2.7～3.2）。</w:t>
      </w:r>
    </w:p>
    <w:p w14:paraId="2A9C3B8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（f）原水泥混凝土板块翻挖换板的处理</w:t>
      </w:r>
    </w:p>
    <w:p w14:paraId="58024E3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对于水泥混凝土板块损坏严重的部分及交叉口范围内加罩厚度不满足10cm的板块，采用将板块进行翻挖的处理，旧板凿除应注意对相邻板块的影响，尽可能保留原有拉杆，宜用液压镐凿除破碎混凝土，应及时清运混凝土碎块，并用C30混凝土更换被翻挖的坏板块。基层损坏部分应予清除，用C15混凝土将路面基层补强，其补混凝土顶面标高应与旧路面基层地面。</w:t>
      </w:r>
    </w:p>
    <w:p w14:paraId="149D008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⑵、原水泥混凝土板块的注浆处理</w:t>
      </w:r>
    </w:p>
    <w:p w14:paraId="1F17D33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对旧水泥混凝土路面按主点弯沉和差异弯沉双指标控制，横缝两侧弯沉差大于0.06mm时或横缝主点弯沉大于0.2mm时，必须对相应的部位进行注浆加固。注浆技术是由经验方法逐步完善成为一门具有理论的技术。注浆就是将一定材料配制成浆液，用压送设备将其灌入地层（对道路来说就是基层）或缝隙内使其扩散、胶凝或固化，以达到加固地层（基层）或防渗堵漏的目的。</w:t>
      </w:r>
    </w:p>
    <w:p w14:paraId="6E037A50">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（a）注浆技术的原理</w:t>
      </w:r>
    </w:p>
    <w:p w14:paraId="08DF3E7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在道路工程中，注浆技术就是用高压泵将配制好的浆液注入需要补强加固的路面脱空——空隙和被水软化的基层中。整个注浆过程是一个将空隙中的空气、水和泥浆排出，注入浆液填充空隙，粘结并固结，使面板与基层密贴，改善受力体系。同时浆液也可填充基层较大的空隙并粘结，提高其承载力和刚度；对土基来说，可用注浆来加固地基，增强路面下层的稳定性。</w:t>
      </w:r>
    </w:p>
    <w:p w14:paraId="233E17D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（b）注浆材料的选择</w:t>
      </w:r>
    </w:p>
    <w:p w14:paraId="0BA7BAE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灌注浆液的一般要求：</w:t>
      </w:r>
    </w:p>
    <w:p w14:paraId="57E21076">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浆液粘度低、流动性好，渗水率低（一般不超过4%），具有一定稠度，能有效填充脱空区；稳定性好，能满足施工工序衔接时间的需要，凝固时间适中，具有一定的强度，凝固后无收缩；无毒、不污染环境，对注浆设备、管道、混凝土结构无腐蚀性并易清洗；浆液配制方便，操作简单，材料来源丰富，价格便宜。</w:t>
      </w:r>
    </w:p>
    <w:p w14:paraId="6616679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灌注浆液分为化学浆液和水泥浆液两种。水泥浆液具有较好的填充作用，对于一般的加固，由于水泥浆液都能满足设计要求且造价低，有毒物质少，故本工程采用以水泥为主、填加适量粉煤灰的浆液。</w:t>
      </w:r>
    </w:p>
    <w:p w14:paraId="03438DF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胶凝材料水泥的选择：一般情况下，保水性好、泌水性小的水泥都宜用于砼板底压浆，硅酸盐水泥和普通硅酸盐水泥优先采用。水泥标号不必太高，根据受力理论分析，只要大于基层的后期强度即可，一般考虑，其后期强度达到基层与砼面层强度的均值为宜。</w:t>
      </w:r>
    </w:p>
    <w:p w14:paraId="5B22A74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（c）室内配比试验</w:t>
      </w:r>
    </w:p>
    <w:p w14:paraId="45200E3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浆液的配制通过多组对比试验确定。灌注浆液的一般要求：浆液粘度低，流动性好，能有效填充脱空，稳定性好，凝固时间适中，具有一定的强度，凝固后无收缩，无毒，不污染环境，浆液配制方便，操作简单，材料来源丰富，价格便宜。注浆材料抗压强度（7.07×7.07×7.07cm立方体）ｆ7≧5.0MPa，ｆ28≧10MPa。压浆所用浆液的配比为 水泥：粉煤灰：水：U型高效膨胀剂：SNII早强剂＝1：0.5：0.5：0.07：0.05(质量比)。</w:t>
      </w:r>
    </w:p>
    <w:p w14:paraId="7CE47A1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（d）注浆方法</w:t>
      </w:r>
    </w:p>
    <w:p w14:paraId="5FAD1E0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本工程灌注采取填充式注浆，流量可取7－10 L/min，不宜大于20 L/min。灌注作业应先从沉陷量大的部位的灌注孔开始，逐步由大到小。待浆液抗压强度达到3.0MPa时，用水泥砂浆堵孔，即可开放交通。且注浆应在原机非分隔带未开挖前进行。</w:t>
      </w:r>
    </w:p>
    <w:p w14:paraId="2D3355E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①面板灌注前的弯沉测定</w:t>
      </w:r>
    </w:p>
    <w:p w14:paraId="5754CA6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采用5.4米长杆弯沉仪及BZZ－100标准汽车。弯沉仪触点在沿行车方向靠纵缝70cm，横缝前后各10cm测定主、副点弯沉。</w:t>
      </w:r>
    </w:p>
    <w:p w14:paraId="4748E44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凡主点弯沉超过0.2mm的，以及差异弯沉超过0.06mm的，即视为面板脱空，需要注浆补强的面板。记录实测主点弯沉和差异弯沉。并用颜色在该面板上标注，以备后期检测对比评定注浆效果。</w:t>
      </w:r>
    </w:p>
    <w:p w14:paraId="31D2014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注浆处理的流程如下：压浆孔布置→钻孔→预埋法兰螺帽→清孔→压浆→封孔养生。</w:t>
      </w:r>
    </w:p>
    <w:p w14:paraId="713726A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②灌注孔布设与钻凿</w:t>
      </w:r>
    </w:p>
    <w:p w14:paraId="111CF078">
      <w:pPr>
        <w:spacing w:line="360" w:lineRule="auto"/>
        <w:ind w:firstLine="532" w:firstLineChars="200"/>
        <w:rPr>
          <w:rFonts w:hint="eastAsia" w:ascii="仿宋" w:hAnsi="仿宋" w:eastAsia="仿宋" w:cs="仿宋"/>
          <w:color w:val="000000"/>
          <w:sz w:val="28"/>
          <w:szCs w:val="28"/>
          <w:lang w:val="en-US" w:eastAsia="zh-CN"/>
        </w:rPr>
      </w:pPr>
      <w:r>
        <w:rPr>
          <w:rFonts w:hint="eastAsia" w:ascii="仿宋" w:hAnsi="仿宋" w:eastAsia="仿宋" w:cs="仿宋"/>
          <w:color w:val="auto"/>
          <w:w w:val="95"/>
          <w:sz w:val="28"/>
          <w:szCs w:val="28"/>
          <w:lang w:val="en-US" w:eastAsia="zh-CN"/>
        </w:rPr>
        <w:t>现场应根据砼面板尺寸、施工经验加以确定。孔数应能满足注浆、排气作用。用凿岩机在路面上打孔，孔的大小应和注浆嘴的大小一致，一般</w:t>
      </w:r>
      <w:r>
        <w:rPr>
          <w:rFonts w:hint="eastAsia" w:ascii="仿宋" w:hAnsi="仿宋" w:eastAsia="仿宋" w:cs="仿宋"/>
          <w:color w:val="000000"/>
          <w:sz w:val="28"/>
          <w:szCs w:val="28"/>
          <w:lang w:val="en-US" w:eastAsia="zh-CN"/>
        </w:rPr>
        <w:t>为50mm左右。灌注孔钻好后，用压缩空气将孔中的砼碎屑，杂物清除干净，并保持干燥。</w:t>
      </w:r>
    </w:p>
    <w:p w14:paraId="7F5F59E5">
      <w:pPr>
        <w:spacing w:beforeLines="0" w:afterLines="0"/>
        <w:ind w:firstLine="559"/>
        <w:jc w:val="left"/>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灌注孔的深度应视脱空层位而定，同时考虑基层情况。若砼板与基层之间出现脱空，且基层状况较好，其孔深为板厚加5cm。同时要保证钻孔垂直度满足要求。</w:t>
      </w:r>
    </w:p>
    <w:p w14:paraId="4F403982">
      <w:pPr>
        <w:spacing w:beforeLines="0" w:afterLines="0"/>
        <w:jc w:val="left"/>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钻孔顺序最好沿一个车道，边灌边钻，切不可多个车道一起钻开。</w:t>
      </w:r>
    </w:p>
    <w:p w14:paraId="09393136">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③架设测量仪器</w:t>
      </w:r>
    </w:p>
    <w:p w14:paraId="5AD9327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应在被注浆面板附近，架设测量仪器，观测灌注过程中面板抬高，隆起现象。</w:t>
      </w:r>
    </w:p>
    <w:p w14:paraId="7781EEB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④调制灌注浆液</w:t>
      </w:r>
    </w:p>
    <w:p w14:paraId="2AF0D6B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灌注浆配比由施工单位在试验室试配，以达到浆体强度条件下，确保灌注浆具有可操作的流动度。灌注浆强度，以7.07 x 7.07 x 7.07cm立方体抗压强度为标准。其7天抗压强度不低于5.0MPa，28天抗压强度不低于10.0MPa；若在灌注浆中掺用早强剂，则需进行3天抗压强度试验，其试验结果不低于5.0MPa时方可堵孔开放交通。</w:t>
      </w:r>
    </w:p>
    <w:p w14:paraId="581926C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灌注浆的流动度可参照使用锥形漏斗仪进行量测，以流出一定浆体的时间（s）为标准。可比照水灰比为0.40的水泥净浆的流动度为标准，所配灌注浆液的流动度在30±5s范围内，可视为合适。而现场浆液流动度还应根据温度、风力作适当调整。</w:t>
      </w:r>
    </w:p>
    <w:p w14:paraId="4EA1813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灌注浆由水泥、粉煤灰、外加剂以及水组成。在实施前在试验室试配后其配合比例为：压浆所用浆液的配比为 水泥：粉煤灰：水：U型高效膨胀剂：SNII早强剂＝1：0.5：0.5：0.07:0.05(质量比)。</w:t>
      </w:r>
    </w:p>
    <w:p w14:paraId="0DCE978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⑤灌注浆液</w:t>
      </w:r>
    </w:p>
    <w:p w14:paraId="0330BBC6">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灌注浆液采用冲程式压浆机，注填式灌浆方法，压浆的压力应使浆液能流动灌注即可。当浆液从接缝处或另一注浆孔冒出，就可认为完成该孔注浆。</w:t>
      </w:r>
    </w:p>
    <w:p w14:paraId="538F246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灌注时，应同时观察测量仪，量测到注浆面板出现抬高现象时，及时通告施工人员。当抬高量达到0.3mm时，应立即关闭压力阀，停止注浆。</w:t>
      </w:r>
    </w:p>
    <w:p w14:paraId="24AEA1D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⑥压力控制</w:t>
      </w:r>
    </w:p>
    <w:p w14:paraId="0C901E1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压力的控制应视混凝土板的损坏及脱空情况具体确定，压力一般控制1MPa~4MPa。压力的控制对注浆的成本和效果具有重要作用，施工过程中应注意控制。</w:t>
      </w:r>
    </w:p>
    <w:p w14:paraId="51B606F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当混凝土板纵、横缝隙有浆冒出时，继续注浆5～10s即应停止；板底有积水处，积水会在浆液压力下从缝隙冒出，此时需要继续注浆，直到浆液冒出5～10s后停止。</w:t>
      </w:r>
    </w:p>
    <w:p w14:paraId="79BE2B8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浆液从相邻板缝或三渣与混凝土板缝隙大量冒出时，立即停止注浆。需顶升混凝土板时，当板块顶升至高出正常板1～2mm即停止注浆，此时随着注浆压力的撤离，板块会由于重力作用下沉1～2mm，正好与正常板平齐。</w:t>
      </w:r>
    </w:p>
    <w:p w14:paraId="75B7757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一般情况下，当注浆压力大于2MPa时，浆体可能会对板产生扰动，形成新的空洞；或在板上产生辐射状裂纹。这时起了反作用，弯沉增大且加速了板的损坏。当板边或板角被抬高1.5cm时，立即停止注浆。因此过高抬起板，可能导致板折断，或产生新的不均匀沉降。</w:t>
      </w:r>
    </w:p>
    <w:p w14:paraId="52094A4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⑦封孔养生</w:t>
      </w:r>
    </w:p>
    <w:p w14:paraId="5277FBC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灌注流水作业时，钻好的注孔需要进行临时封孔；灌注压浆完成后，应立即用木塞封孔，养生期不小于7d，待浆液抗压强度达到5.0MPa时，用水泥砂浆堵孔，即可开放交通。</w:t>
      </w:r>
    </w:p>
    <w:p w14:paraId="380F719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⑧现场灌注浆强度测试</w:t>
      </w:r>
    </w:p>
    <w:p w14:paraId="38A0F85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灌注浆液试件在标准养生条件下进行养生。3天及7天龄期抗压强度值必须及时提交，以确定灌注质量及开放交通时机。</w:t>
      </w:r>
    </w:p>
    <w:p w14:paraId="66BDBBA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⑨特殊情况处理</w:t>
      </w:r>
    </w:p>
    <w:p w14:paraId="5903716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Ⅰ）哑孔现象。因板底状况不明，遇到灌不进浆液的孔称为“哑孔”。可先用泵向孔内压射少量水或喷射空气，使之形成小空腔并与脱空区贯连以便浆液的初始分布。如仍灌不进，则将孔穿透基层。</w:t>
      </w:r>
    </w:p>
    <w:p w14:paraId="341BC09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Ⅱ）水泥浆从路肩或边沟中渗出，如注入相当的量后渗出视为注满，如没有多少量即渗出，应另钻一孔继续灌注。</w:t>
      </w:r>
    </w:p>
    <w:p w14:paraId="77CF250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Ⅲ）中途停机或收工时，必须对制浆机、压浆机、输送管道清洗直至冲洗干净。</w:t>
      </w:r>
    </w:p>
    <w:p w14:paraId="0C4B2E3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Ⅳ）暂时中断作业，应将喷嘴浸在水中，吸入一定量的水，防止浆体沉淀硬化，阻塞，但不能使水进入搅拌筒中；恢复作业前应先将水排掉，再进行注浆。</w:t>
      </w:r>
    </w:p>
    <w:p w14:paraId="34CB2C1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（e）灌注浆质量评定</w:t>
      </w:r>
    </w:p>
    <w:p w14:paraId="09DCBCA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对旧混凝土面板脱空进行填注补强的质量评价，以下各项同时进行：</w:t>
      </w:r>
    </w:p>
    <w:p w14:paraId="6263637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灌注浆配合比例及强度评定：包括配合比例是否符合核定的组配比例，是否改变组成材料，这可能影响浆体后期强度及行车后补强功效；其次是灌注浆体的抗压强度（早期及标准）是否符合设计要求。</w:t>
      </w:r>
    </w:p>
    <w:p w14:paraId="54C81A8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现场外观质量评定：包括现场浆体流淌状况、施压过程和灌注过程的连续性、注浆量以及工后养生保护是否符合设计和质量要求。</w:t>
      </w:r>
    </w:p>
    <w:p w14:paraId="290F0BF6">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弯沉测量评定：灌注浆后，应在一定龄期后（7～14天），用长杆弯沉仪和后轴轴载100KN的标准车，再次测量主点弯沉值和差异弯沉值，复检合格率：≥90％；若不能满足需对相关板块进行二次注浆，直至达到合格率为止。当弯沉值符合设计要求值时，可认为灌注浆补强功效已经达到。</w:t>
      </w:r>
    </w:p>
    <w:p w14:paraId="6489B9D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清灌缝处理</w:t>
      </w:r>
    </w:p>
    <w:p w14:paraId="1F2D549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现有水泥混凝土路面所有纵、横逢都必须进行清缝处理，重新灌注沥青橡胶混合料。</w:t>
      </w:r>
    </w:p>
    <w:p w14:paraId="59DF7D2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（1）清扫：用吹风机吹扫路面上的砂石及垃圾。特别要注意清除接缝周边的砂石，防止铣刨机工作时跳车；</w:t>
      </w:r>
    </w:p>
    <w:p w14:paraId="6D4C9E4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质量监控点：（a）路面整体清洁无砂石及垃圾；</w:t>
      </w:r>
    </w:p>
    <w:p w14:paraId="5C73A6A0">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（b）铣刨机铣刀行走的接缝区域内没有影响铣刨机平衡运行的砂石。</w:t>
      </w:r>
    </w:p>
    <w:p w14:paraId="5E235F6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（2）铣刨：以接缝（含裂缝）为对称轴，用铣刨机将缝两侧路面铣刨成宽 85±2mm,深 3－4mm 的矩形凹槽；对于横缝两端铣刨的盲区，要用手提切割机按宽、深度要求打通，接直。质量监控点：</w:t>
      </w:r>
    </w:p>
    <w:p w14:paraId="189F156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（a）深度必须保证在3－4mm 之间，即不低于3mm，不超过 4mm；宽度必须保证在 80-85mm 之间；</w:t>
      </w:r>
    </w:p>
    <w:p w14:paraId="73C5AAD6">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（b）刨机匀速行走，保证凹槽边直底平；</w:t>
      </w:r>
    </w:p>
    <w:p w14:paraId="355AED8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（c）铣刨的盲区必须打通、接直、保证宽度和深度。</w:t>
      </w:r>
    </w:p>
    <w:p w14:paraId="7AA81150">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（3）吹净：将铣刨出来的凹槽内表面吹扫干净，并保持干燥；质量监控点：</w:t>
      </w:r>
    </w:p>
    <w:p w14:paraId="143ACB5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（a）凹槽内表面无砂石、树叶、草根、垃圾等杂物；</w:t>
      </w:r>
    </w:p>
    <w:p w14:paraId="1F88B8E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（b）凹槽两旁30cm 的路面内无砂石及垃圾。</w:t>
      </w:r>
    </w:p>
    <w:p w14:paraId="15A20F3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（4）喷涂《应力吸收一号功能材料》（D 型）：喷遍凹槽，不留盲区（包括凹槽的两壁）。质量监控点：</w:t>
      </w:r>
    </w:p>
    <w:p w14:paraId="7E24CB7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（a）均匀喷遍，不留盲区（包括凹槽的两壁）；</w:t>
      </w:r>
    </w:p>
    <w:p w14:paraId="04AA93E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（b）喷后要养护 1－2 小时，再进行下一道工序。</w:t>
      </w:r>
    </w:p>
    <w:p w14:paraId="6A5150A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（5）灌填接缝；涂布《应力吸收二号功能材料》（F 型）；粘贴、压实《应力吸收三号功能材料》（G 型）：灌填接缝后，将二号功能材料涂遍凹槽，不留盲区（包括凹槽的两壁），涂布厚度控制在 1-2mm，并防止涂布材料堆积成团；涂布完成后，立即将三号功能材料（G 型）覆盖凹槽，粘贴在二号功能材料涂层上，通过刮涂、压实，使两种功能材料紧密平整粘合成为整体。质量监控点：</w:t>
      </w:r>
    </w:p>
    <w:p w14:paraId="3D1A929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（a）涂布材料前后，要及时清除粘附在凹槽中的砂石、树叶、草根、垃圾等杂物，否则会造成粘贴不平的现象；的现象；</w:t>
      </w:r>
    </w:p>
    <w:p w14:paraId="069B8896">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（b）均匀涂遍，不留盲区；</w:t>
      </w:r>
    </w:p>
    <w:p w14:paraId="5C17A05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（c）凹槽两壁必须涂到；</w:t>
      </w:r>
    </w:p>
    <w:p w14:paraId="556F20B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（d）严格将材料的涂布厚度控制在 1-2mm 之间，严禁涂布的材料堆积成团；</w:t>
      </w:r>
    </w:p>
    <w:p w14:paraId="270F756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（e）及时粘贴，否则容易造成污染，影响贴合效果；</w:t>
      </w:r>
    </w:p>
    <w:p w14:paraId="2BEAF8C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（f）防止重叠，搭口处一定要剪断后再对齐粘贴好；</w:t>
      </w:r>
    </w:p>
    <w:p w14:paraId="4AAC991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（g）平整贴合，粘贴好后要及时用工具压实，使其紧密、平整贴合成为整体。</w:t>
      </w:r>
    </w:p>
    <w:p w14:paraId="51FCBF9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（6）粘贴、压实，养护 4－6 小时，具有一定强度后，再进行下一道工序；</w:t>
      </w:r>
    </w:p>
    <w:p w14:paraId="473C81F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质量监控点：（a）通过刮涂和压实，使三号、二号功能材料与凹槽底面，三者紧密平整粘合成为整体；</w:t>
      </w:r>
    </w:p>
    <w:p w14:paraId="50A837E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（b）保证养护时间，待具有一定强度后，再进行下一道工序。</w:t>
      </w:r>
    </w:p>
    <w:p w14:paraId="40D14F4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（7）喷涂《应力吸收四号功能材料》（Y 型）：将《应力吸收四号功能材料》（Y 型）喷涂在三号功能材料的表面上，使《应力吸收四号功能材料》完全覆盖凹槽，上表面与路面基本相平。使凹槽成为由四种功能材料构成的《应力吸收功能材料组合》；质量监控点：</w:t>
      </w:r>
    </w:p>
    <w:p w14:paraId="22E437C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（a）喷涂四号功能材料，要求操作熟练用量准确，杜绝浪费；</w:t>
      </w:r>
    </w:p>
    <w:p w14:paraId="13F37E8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（b）凹槽中的《应力吸收功能材料组合》表面应与路面基本相平，表面平整、光滑。</w:t>
      </w:r>
    </w:p>
    <w:p w14:paraId="207829A0">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（8）吹净：养护 3－4 小时后，用吹风机吹净《应力吸收功能材料组合》表面上的灰尘、砂石及杂物；质量监控点：吹净表面粘附的树叶、草根、垃圾等杂物，是保证下道工序质量的关键。</w:t>
      </w:r>
    </w:p>
    <w:p w14:paraId="5734E3B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（9）喷涂《应力吸收界面功能材料》（M 型）：将《应力吸收界面功能材料》（M 型）喷涂在吹净的《应力吸收功能材料组合》表面上，形成覆盖《应力吸收功能材料组合》，宽度约 20 公分左右的材料薄层。使凹槽成为由五种功能材料构成的《防反材料构造》；质量监控点：</w:t>
      </w:r>
    </w:p>
    <w:p w14:paraId="67A83E0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（a）界面功能材料一定要覆盖在《应力吸收功能材料组合》的表面上；</w:t>
      </w:r>
    </w:p>
    <w:p w14:paraId="37E90F9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（b）材料薄层力求宽度均匀。</w:t>
      </w:r>
    </w:p>
    <w:p w14:paraId="7335811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（10）养护：《防反材料构造》形成后，养护 8－12 小时，才能开放交通。</w:t>
      </w:r>
    </w:p>
    <w:p w14:paraId="4BC88B76">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质量监控点：</w:t>
      </w:r>
    </w:p>
    <w:p w14:paraId="3E5961F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（a）8－12 小时是最基本的养护时间，一定要保证养护时间；</w:t>
      </w:r>
    </w:p>
    <w:p w14:paraId="635E81C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（b）如能适当推迟开放交通，对保证质量大有好处。</w:t>
      </w:r>
    </w:p>
    <w:p w14:paraId="29CA092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4.8、路面材料及施工要求 </w:t>
      </w:r>
    </w:p>
    <w:p w14:paraId="174DAE36">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1）沥青混凝土 </w:t>
      </w:r>
    </w:p>
    <w:p w14:paraId="3C4AC9C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沥青混凝土中的基质沥青均为 70 号 A 级道路石油沥青。沥青原材料应严格按现行《公路工程沥青及沥青混合料试验规程》进行检验，其技术要求应符合下表。如采用进口沥青，含蜡量不得超过 2%，并增加针入度指数等指标。上面层采用 SBS 改性沥青，基质沥青为 70 号 A 级道路石油沥青。 </w:t>
      </w:r>
    </w:p>
    <w:p w14:paraId="68D94272">
      <w:pPr>
        <w:pStyle w:val="7"/>
        <w:spacing w:line="360" w:lineRule="auto"/>
        <w:ind w:left="0" w:leftChars="0" w:firstLine="0" w:firstLineChars="0"/>
        <w:jc w:val="center"/>
        <w:rPr>
          <w:rFonts w:hint="eastAsia"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沥青技术要求</w:t>
      </w:r>
    </w:p>
    <w:tbl>
      <w:tblPr>
        <w:tblStyle w:val="19"/>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488"/>
        <w:gridCol w:w="3860"/>
        <w:gridCol w:w="1600"/>
        <w:gridCol w:w="2162"/>
      </w:tblGrid>
      <w:tr w14:paraId="22189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0" w:hRule="exact"/>
        </w:trPr>
        <w:tc>
          <w:tcPr>
            <w:tcW w:w="3138" w:type="pct"/>
            <w:gridSpan w:val="2"/>
            <w:noWrap w:val="0"/>
            <w:vAlign w:val="center"/>
          </w:tcPr>
          <w:p w14:paraId="0A421673">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技术指标</w:t>
            </w:r>
          </w:p>
        </w:tc>
        <w:tc>
          <w:tcPr>
            <w:tcW w:w="791" w:type="pct"/>
            <w:noWrap w:val="0"/>
            <w:vAlign w:val="center"/>
          </w:tcPr>
          <w:p w14:paraId="225DD271">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单位</w:t>
            </w:r>
          </w:p>
        </w:tc>
        <w:tc>
          <w:tcPr>
            <w:tcW w:w="1069" w:type="pct"/>
            <w:noWrap w:val="0"/>
            <w:vAlign w:val="center"/>
          </w:tcPr>
          <w:p w14:paraId="28925A2A">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技术要求</w:t>
            </w:r>
          </w:p>
        </w:tc>
      </w:tr>
      <w:tr w14:paraId="3E245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1" w:hRule="exact"/>
        </w:trPr>
        <w:tc>
          <w:tcPr>
            <w:tcW w:w="3138" w:type="pct"/>
            <w:gridSpan w:val="2"/>
            <w:noWrap w:val="0"/>
            <w:vAlign w:val="center"/>
          </w:tcPr>
          <w:p w14:paraId="00F74218">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针入度(25C，5s，100g)</w:t>
            </w:r>
          </w:p>
        </w:tc>
        <w:tc>
          <w:tcPr>
            <w:tcW w:w="791" w:type="pct"/>
            <w:noWrap w:val="0"/>
            <w:vAlign w:val="center"/>
          </w:tcPr>
          <w:p w14:paraId="1D4DD566">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0. 1mn</w:t>
            </w:r>
          </w:p>
        </w:tc>
        <w:tc>
          <w:tcPr>
            <w:tcW w:w="1069" w:type="pct"/>
            <w:noWrap w:val="0"/>
            <w:vAlign w:val="center"/>
          </w:tcPr>
          <w:p w14:paraId="44CE9B64">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60~80</w:t>
            </w:r>
          </w:p>
        </w:tc>
      </w:tr>
      <w:tr w14:paraId="4D460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2" w:hRule="exact"/>
        </w:trPr>
        <w:tc>
          <w:tcPr>
            <w:tcW w:w="3138" w:type="pct"/>
            <w:gridSpan w:val="2"/>
            <w:noWrap w:val="0"/>
            <w:vAlign w:val="center"/>
          </w:tcPr>
          <w:p w14:paraId="28357759">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针入度指数 PI</w:t>
            </w:r>
          </w:p>
        </w:tc>
        <w:tc>
          <w:tcPr>
            <w:tcW w:w="791" w:type="pct"/>
            <w:noWrap w:val="0"/>
            <w:vAlign w:val="center"/>
          </w:tcPr>
          <w:p w14:paraId="7451E062">
            <w:pPr>
              <w:ind w:firstLine="840" w:firstLineChars="400"/>
              <w:rPr>
                <w:rFonts w:hint="eastAsia" w:ascii="仿宋" w:hAnsi="仿宋" w:eastAsia="仿宋" w:cs="仿宋"/>
                <w:lang w:val="en-US" w:eastAsia="zh-CN"/>
              </w:rPr>
            </w:pPr>
          </w:p>
        </w:tc>
        <w:tc>
          <w:tcPr>
            <w:tcW w:w="1069" w:type="pct"/>
            <w:noWrap w:val="0"/>
            <w:vAlign w:val="center"/>
          </w:tcPr>
          <w:p w14:paraId="1B5D270F">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-1.5~+1.0</w:t>
            </w:r>
          </w:p>
        </w:tc>
      </w:tr>
      <w:tr w14:paraId="4367F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3" w:hRule="exact"/>
        </w:trPr>
        <w:tc>
          <w:tcPr>
            <w:tcW w:w="3138" w:type="pct"/>
            <w:gridSpan w:val="2"/>
            <w:noWrap w:val="0"/>
            <w:vAlign w:val="center"/>
          </w:tcPr>
          <w:p w14:paraId="6C779CB6">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软化点(R&amp;B) 不小于</w:t>
            </w:r>
          </w:p>
        </w:tc>
        <w:tc>
          <w:tcPr>
            <w:tcW w:w="791" w:type="pct"/>
            <w:noWrap w:val="0"/>
            <w:vAlign w:val="center"/>
          </w:tcPr>
          <w:p w14:paraId="4A96F0D8">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w:t>
            </w:r>
          </w:p>
        </w:tc>
        <w:tc>
          <w:tcPr>
            <w:tcW w:w="1069" w:type="pct"/>
            <w:noWrap w:val="0"/>
            <w:vAlign w:val="center"/>
          </w:tcPr>
          <w:p w14:paraId="5FD33541">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46</w:t>
            </w:r>
          </w:p>
        </w:tc>
      </w:tr>
      <w:tr w14:paraId="68173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6" w:hRule="exact"/>
        </w:trPr>
        <w:tc>
          <w:tcPr>
            <w:tcW w:w="3138" w:type="pct"/>
            <w:gridSpan w:val="2"/>
            <w:noWrap w:val="0"/>
            <w:vAlign w:val="center"/>
          </w:tcPr>
          <w:p w14:paraId="55AE25A6">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60℃动力粘度</w:t>
            </w:r>
          </w:p>
        </w:tc>
        <w:tc>
          <w:tcPr>
            <w:tcW w:w="791" w:type="pct"/>
            <w:noWrap w:val="0"/>
            <w:vAlign w:val="center"/>
          </w:tcPr>
          <w:p w14:paraId="2B1C486D">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Pa"s</w:t>
            </w:r>
          </w:p>
        </w:tc>
        <w:tc>
          <w:tcPr>
            <w:tcW w:w="1069" w:type="pct"/>
            <w:noWrap w:val="0"/>
            <w:vAlign w:val="center"/>
          </w:tcPr>
          <w:p w14:paraId="0D6895F2">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≥180</w:t>
            </w:r>
          </w:p>
        </w:tc>
      </w:tr>
      <w:tr w14:paraId="28781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1" w:hRule="exact"/>
        </w:trPr>
        <w:tc>
          <w:tcPr>
            <w:tcW w:w="3138" w:type="pct"/>
            <w:gridSpan w:val="2"/>
            <w:noWrap w:val="0"/>
            <w:vAlign w:val="center"/>
          </w:tcPr>
          <w:p w14:paraId="480E5EA2">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10℃延度</w:t>
            </w:r>
          </w:p>
        </w:tc>
        <w:tc>
          <w:tcPr>
            <w:tcW w:w="791" w:type="pct"/>
            <w:noWrap w:val="0"/>
            <w:vAlign w:val="center"/>
          </w:tcPr>
          <w:p w14:paraId="5C5801A3">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cm</w:t>
            </w:r>
          </w:p>
        </w:tc>
        <w:tc>
          <w:tcPr>
            <w:tcW w:w="1069" w:type="pct"/>
            <w:noWrap w:val="0"/>
            <w:vAlign w:val="center"/>
          </w:tcPr>
          <w:p w14:paraId="57B4E33B">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≥15</w:t>
            </w:r>
          </w:p>
        </w:tc>
      </w:tr>
      <w:tr w14:paraId="12B05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2" w:hRule="exact"/>
        </w:trPr>
        <w:tc>
          <w:tcPr>
            <w:tcW w:w="3138" w:type="pct"/>
            <w:gridSpan w:val="2"/>
            <w:noWrap w:val="0"/>
            <w:vAlign w:val="center"/>
          </w:tcPr>
          <w:p w14:paraId="6D983458">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15℃延度</w:t>
            </w:r>
          </w:p>
        </w:tc>
        <w:tc>
          <w:tcPr>
            <w:tcW w:w="791" w:type="pct"/>
            <w:noWrap w:val="0"/>
            <w:vAlign w:val="center"/>
          </w:tcPr>
          <w:p w14:paraId="29F2BB2E">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cm</w:t>
            </w:r>
          </w:p>
        </w:tc>
        <w:tc>
          <w:tcPr>
            <w:tcW w:w="1069" w:type="pct"/>
            <w:noWrap w:val="0"/>
            <w:vAlign w:val="center"/>
          </w:tcPr>
          <w:p w14:paraId="34EC5D8C">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≥100</w:t>
            </w:r>
          </w:p>
        </w:tc>
      </w:tr>
      <w:tr w14:paraId="5784F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1" w:hRule="exact"/>
        </w:trPr>
        <w:tc>
          <w:tcPr>
            <w:tcW w:w="3138" w:type="pct"/>
            <w:gridSpan w:val="2"/>
            <w:noWrap w:val="0"/>
            <w:vAlign w:val="center"/>
          </w:tcPr>
          <w:p w14:paraId="14E7ECF9">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含蜡量(蒸馏法)</w:t>
            </w:r>
          </w:p>
        </w:tc>
        <w:tc>
          <w:tcPr>
            <w:tcW w:w="791" w:type="pct"/>
            <w:noWrap w:val="0"/>
            <w:vAlign w:val="center"/>
          </w:tcPr>
          <w:p w14:paraId="321B9287">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w:t>
            </w:r>
          </w:p>
        </w:tc>
        <w:tc>
          <w:tcPr>
            <w:tcW w:w="1069" w:type="pct"/>
            <w:noWrap w:val="0"/>
            <w:vAlign w:val="center"/>
          </w:tcPr>
          <w:p w14:paraId="27FCFC2D">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≥2.2</w:t>
            </w:r>
          </w:p>
        </w:tc>
      </w:tr>
      <w:tr w14:paraId="3AA82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1" w:hRule="exact"/>
        </w:trPr>
        <w:tc>
          <w:tcPr>
            <w:tcW w:w="3138" w:type="pct"/>
            <w:gridSpan w:val="2"/>
            <w:noWrap w:val="0"/>
            <w:vAlign w:val="center"/>
          </w:tcPr>
          <w:p w14:paraId="0262B838">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闪点</w:t>
            </w:r>
          </w:p>
        </w:tc>
        <w:tc>
          <w:tcPr>
            <w:tcW w:w="791" w:type="pct"/>
            <w:noWrap w:val="0"/>
            <w:vAlign w:val="center"/>
          </w:tcPr>
          <w:p w14:paraId="7EB19DC7">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w:t>
            </w:r>
          </w:p>
        </w:tc>
        <w:tc>
          <w:tcPr>
            <w:tcW w:w="1069" w:type="pct"/>
            <w:noWrap w:val="0"/>
            <w:vAlign w:val="center"/>
          </w:tcPr>
          <w:p w14:paraId="17B4B162">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≥260</w:t>
            </w:r>
          </w:p>
        </w:tc>
      </w:tr>
      <w:tr w14:paraId="2915E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1" w:hRule="exact"/>
        </w:trPr>
        <w:tc>
          <w:tcPr>
            <w:tcW w:w="3138" w:type="pct"/>
            <w:gridSpan w:val="2"/>
            <w:noWrap w:val="0"/>
            <w:vAlign w:val="center"/>
          </w:tcPr>
          <w:p w14:paraId="6FD9B9A8">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溶解度</w:t>
            </w:r>
          </w:p>
        </w:tc>
        <w:tc>
          <w:tcPr>
            <w:tcW w:w="791" w:type="pct"/>
            <w:noWrap w:val="0"/>
            <w:vAlign w:val="center"/>
          </w:tcPr>
          <w:p w14:paraId="4EAE7D18">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w:t>
            </w:r>
          </w:p>
        </w:tc>
        <w:tc>
          <w:tcPr>
            <w:tcW w:w="1069" w:type="pct"/>
            <w:noWrap w:val="0"/>
            <w:vAlign w:val="center"/>
          </w:tcPr>
          <w:p w14:paraId="5F231016">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≥99.5</w:t>
            </w:r>
          </w:p>
        </w:tc>
      </w:tr>
      <w:tr w14:paraId="11A56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2" w:hRule="exact"/>
        </w:trPr>
        <w:tc>
          <w:tcPr>
            <w:tcW w:w="1230" w:type="pct"/>
            <w:vMerge w:val="restart"/>
            <w:noWrap w:val="0"/>
            <w:vAlign w:val="center"/>
          </w:tcPr>
          <w:p w14:paraId="37EE669F">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TFOT(或 RTFOT)以后</w:t>
            </w:r>
          </w:p>
        </w:tc>
        <w:tc>
          <w:tcPr>
            <w:tcW w:w="1907" w:type="pct"/>
            <w:noWrap w:val="0"/>
            <w:vAlign w:val="center"/>
          </w:tcPr>
          <w:p w14:paraId="46513EA6">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质量变化</w:t>
            </w:r>
          </w:p>
        </w:tc>
        <w:tc>
          <w:tcPr>
            <w:tcW w:w="791" w:type="pct"/>
            <w:noWrap w:val="0"/>
            <w:vAlign w:val="center"/>
          </w:tcPr>
          <w:p w14:paraId="12D224AA">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w:t>
            </w:r>
          </w:p>
        </w:tc>
        <w:tc>
          <w:tcPr>
            <w:tcW w:w="1069" w:type="pct"/>
            <w:noWrap w:val="0"/>
            <w:vAlign w:val="center"/>
          </w:tcPr>
          <w:p w14:paraId="65FAEDCE">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≥±0.8</w:t>
            </w:r>
          </w:p>
        </w:tc>
      </w:tr>
      <w:tr w14:paraId="52A1A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7" w:hRule="exact"/>
        </w:trPr>
        <w:tc>
          <w:tcPr>
            <w:tcW w:w="1230" w:type="pct"/>
            <w:vMerge w:val="continue"/>
            <w:noWrap w:val="0"/>
            <w:vAlign w:val="center"/>
          </w:tcPr>
          <w:p w14:paraId="57F80A35">
            <w:pPr>
              <w:ind w:firstLine="840" w:firstLineChars="400"/>
              <w:rPr>
                <w:rFonts w:hint="eastAsia" w:ascii="仿宋" w:hAnsi="仿宋" w:eastAsia="仿宋" w:cs="仿宋"/>
                <w:lang w:val="en-US" w:eastAsia="zh-CN"/>
              </w:rPr>
            </w:pPr>
          </w:p>
        </w:tc>
        <w:tc>
          <w:tcPr>
            <w:tcW w:w="1907" w:type="pct"/>
            <w:noWrap w:val="0"/>
            <w:vAlign w:val="center"/>
          </w:tcPr>
          <w:p w14:paraId="0A015E14">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残留针入度比</w:t>
            </w:r>
          </w:p>
        </w:tc>
        <w:tc>
          <w:tcPr>
            <w:tcW w:w="791" w:type="pct"/>
            <w:noWrap w:val="0"/>
            <w:vAlign w:val="center"/>
          </w:tcPr>
          <w:p w14:paraId="4C003B24">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w:t>
            </w:r>
          </w:p>
        </w:tc>
        <w:tc>
          <w:tcPr>
            <w:tcW w:w="1069" w:type="pct"/>
            <w:noWrap w:val="0"/>
            <w:vAlign w:val="center"/>
          </w:tcPr>
          <w:p w14:paraId="01671252">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≥61</w:t>
            </w:r>
          </w:p>
        </w:tc>
      </w:tr>
      <w:tr w14:paraId="292A4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6" w:hRule="exact"/>
        </w:trPr>
        <w:tc>
          <w:tcPr>
            <w:tcW w:w="1230" w:type="pct"/>
            <w:vMerge w:val="continue"/>
            <w:noWrap w:val="0"/>
            <w:vAlign w:val="center"/>
          </w:tcPr>
          <w:p w14:paraId="5E100583">
            <w:pPr>
              <w:ind w:firstLine="840" w:firstLineChars="400"/>
              <w:rPr>
                <w:rFonts w:hint="eastAsia" w:ascii="仿宋" w:hAnsi="仿宋" w:eastAsia="仿宋" w:cs="仿宋"/>
                <w:lang w:val="en-US" w:eastAsia="zh-CN"/>
              </w:rPr>
            </w:pPr>
          </w:p>
        </w:tc>
        <w:tc>
          <w:tcPr>
            <w:tcW w:w="1907" w:type="pct"/>
            <w:noWrap w:val="0"/>
            <w:vAlign w:val="center"/>
          </w:tcPr>
          <w:p w14:paraId="6C96107A">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残留延度 (10℃)</w:t>
            </w:r>
          </w:p>
        </w:tc>
        <w:tc>
          <w:tcPr>
            <w:tcW w:w="791" w:type="pct"/>
            <w:noWrap w:val="0"/>
            <w:vAlign w:val="center"/>
          </w:tcPr>
          <w:p w14:paraId="020317E3">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Cm</w:t>
            </w:r>
          </w:p>
        </w:tc>
        <w:tc>
          <w:tcPr>
            <w:tcW w:w="1069" w:type="pct"/>
            <w:noWrap w:val="0"/>
            <w:vAlign w:val="center"/>
          </w:tcPr>
          <w:p w14:paraId="56BA55BE">
            <w:pPr>
              <w:ind w:firstLine="840" w:firstLineChars="400"/>
              <w:rPr>
                <w:rFonts w:hint="eastAsia" w:ascii="仿宋" w:hAnsi="仿宋" w:eastAsia="仿宋" w:cs="仿宋"/>
                <w:lang w:val="en-US" w:eastAsia="zh-CN"/>
              </w:rPr>
            </w:pPr>
            <w:r>
              <w:rPr>
                <w:rFonts w:hint="eastAsia" w:ascii="仿宋" w:hAnsi="仿宋" w:eastAsia="仿宋" w:cs="仿宋"/>
                <w:lang w:val="en-US" w:eastAsia="zh-CN"/>
              </w:rPr>
              <w:t>≥6</w:t>
            </w:r>
          </w:p>
        </w:tc>
      </w:tr>
    </w:tbl>
    <w:p w14:paraId="7539A7F0">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沥青面层的粗集料应洁净、干燥、表面粗糙、无风化、无杂质，具有足够的强度、耐磨耗性。粗集料应具有良好的颗粒形状，不宜采用颚式破碎机加工。路面抗滑表层粗集料应选用坚硬、耐磨耗、抗冲击力的碎石或破碎砾石，不得使用筛选砾石、矿渣及软质集料。面层粗集料应采用石灰岩。 </w:t>
      </w:r>
    </w:p>
    <w:p w14:paraId="3406885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当采用的粗集料对沥青的粘附性和沥青混合料的水稳定性不符合要求时，可采用掺加部分消石灰或水泥代替石粉等措施，使沥青混合料的水稳定性检验达到要求。掺加外加剂的剂量由沥青混合料的水稳定性检验确定。 </w:t>
      </w:r>
    </w:p>
    <w:p w14:paraId="263A4CA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沥青面层的细集料宜采用专用的细集料破碎机生产的机制砂。细集料应洁净、干燥、无风化、无杂质，并有适当的颗粒级配。细集料的洁净程度，天然砂以小于0.075mm 含量的百分数表示，石屑和机制砂以砂当量（适用于0～4.75mm）或亚甲蓝（适用于0～2.36mm 或适用于0～ 0.15mm）表示。 </w:t>
      </w:r>
    </w:p>
    <w:p w14:paraId="0580A2E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2）沥青混凝土路面施工 </w:t>
      </w:r>
    </w:p>
    <w:p w14:paraId="3DFF8A3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（1）施工前应对各种材料进行调查并试验，经选择确定的材料在施工过程中应始终保持稳定，不得随意变更。 </w:t>
      </w:r>
    </w:p>
    <w:p w14:paraId="2003FEB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2）沥青混合料铺筑前，应检查基层或下卧沥青层的质量，不符合要求的不得铺筑沥青面层。旧沥青路面或下卧层已被污染时，必须清洗或经铣刨处理后方可铺筑粘层、沥青混合料。寒冷季节遇大风降温，不能保证迅速压实时不得铺筑沥青混合料。 </w:t>
      </w:r>
    </w:p>
    <w:p w14:paraId="39D4148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3）沥青路面工程的施工单位除保证提供工地使用的原材料满足设计要求外，还必须根据规定的材料技术要求和对应的试验方法，进行必要的材料配合比设计，并经过试拌试铺论证确定用于生产的标准配合比，为施工提供满足设计要求的沥青混合料。 </w:t>
      </w:r>
    </w:p>
    <w:p w14:paraId="1CA212D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（4）沥青加热温度及沥青混合料施工温度应符合《公路沥青路面施工技术规范》（JTG F40－2004）表5.2.2－2、5.2.2－3 的规定，并根据沥青品种、标号、粘度、气候条件及铺筑层的厚度进行选择。 </w:t>
      </w:r>
    </w:p>
    <w:p w14:paraId="75C42D1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（5）沥青混合料进行配合比设计时，应通过车辙试验机对抗车辙能力进行检验。 </w:t>
      </w:r>
    </w:p>
    <w:p w14:paraId="3960A6B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（6）拌和厂拌和的沥青混合料应均匀一致、无花白料、无成团结块或严重的粗细料分离现象，不符合要求时不得使用，并应及时调整。 </w:t>
      </w:r>
    </w:p>
    <w:p w14:paraId="422E7EC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（7）热拌沥青混合料应采用两台以上摊铺机成梯队作业进行联合摊铺。相邻两幅的摊铺应有5～10cm 左右宽度的摊铺重叠。 </w:t>
      </w:r>
    </w:p>
    <w:p w14:paraId="6E26A89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8）压实后的沥青混合料应符合压实度及平整度的要求，沥青混凝土的分层压实厚度不宜大于10cm。沥青面层施工过程中对压实度建议采用双控指标：试验室标准密度的压实度不小于98%；采用最大理论密度时的压实度为94%、下面层可适当减低1%，不建议采用试验段密度进行控制。检测方法、检测频率及评价方法执行规范规定。 </w:t>
      </w:r>
    </w:p>
    <w:p w14:paraId="1BA0B02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（9）在接缝及构造物两端的连接处必须仔细操作，保证紧密、平顺。上、下层纵缝应错开150mm（热接缝）或300～400mm（冷接缝）以上。横向接缝应错位1.0m 以上。表面层横向接缝宜采用垂直的平接缝，其它层位可采用自然碾压的斜接缝，较厚时也可作阶梯形接缝。 </w:t>
      </w:r>
    </w:p>
    <w:p w14:paraId="5CC3AA0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（10）热拌沥青混合料路面应待摊铺层完全自然冷却，混合料表面温度低于50℃后，方可开放交通。需要提早开放交通时，可洒水冷却降低混合料温度。 </w:t>
      </w:r>
    </w:p>
    <w:p w14:paraId="387A657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3)封层</w:t>
      </w:r>
    </w:p>
    <w:p w14:paraId="2D19770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为了保证基层与沥青面层实现层间连续结合，防止水分经沥青面层渗入基层结构，在半刚性基层、粒料类基层上应设置封层。在面层施工前浇洒热沥青，并在其上撒布碎石，约撒布 40~70%的面积 (不完全覆盖，但均匀覆盖 40~70%的面积，露黑)形成下封层。封层沥青选用改性石油沥青，沥青技术指标应满足规范的要求，沥青用量 1.0~1.2kg/m。封层碎石选用 9.5~13.2mm 单粒径碎石，用量 5~8m/1000m，且必须过拌和楼烘干、除尘后集中堆放有遮盖的料棚备用。封层施工时必须采用同步碎石撒布机施工，以切实保证封层的施工效果满足结构层的要求。</w:t>
      </w:r>
    </w:p>
    <w:p w14:paraId="5CC8A5A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4)水泥混凝土路面板块设计</w:t>
      </w:r>
    </w:p>
    <w:p w14:paraId="196E16A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1、平面尺寸</w:t>
      </w:r>
    </w:p>
    <w:p w14:paraId="7BE3AA90">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板块平面尺寸按“规范”要求，结合行车道宽度及众人工构造物位置等具体情况确定，一般长度为5.0m、4.0m，板宽一般为3.0、4.5m，平面交叉处板边最小长度不应小于1.0m，曲线段的板块长度随平曲线半径变化。</w:t>
      </w:r>
    </w:p>
    <w:p w14:paraId="48754D10">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2、混凝土面板补强</w:t>
      </w:r>
    </w:p>
    <w:p w14:paraId="5AE2F1E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普通板块间的胀缝应设置胀缝钢筋网进行补强。交叉口板角小于90度的板的端部角隅处，均采用发针型钢筋进行补强；b，与斜交桥涵相接处的角隅补强设置位置及类型：a，胀缝两侧砼板的角隅处及砼路面起、终点搭板，钢筋砼板的锐角部分以及所有不规则板块的锐角部分，均采用双层钢筋网进行补强。边缘加强钢筋按每5m为单位设置。</w:t>
      </w:r>
    </w:p>
    <w:p w14:paraId="208CDE2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3、接缝设计</w:t>
      </w:r>
    </w:p>
    <w:p w14:paraId="6DA30A6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横向缩缝、采用假缝型，缝宽0.4cm，深4cm。缩缝一般不设传力杆，但在临近胀缝、缝工缝及自由端的3道缩缝应加设传力杆。传力杆采用28光面圆钢筋，长50cm，间距30cm，最外边传力杆距板边距离为5cm。</w:t>
      </w:r>
    </w:p>
    <w:p w14:paraId="572DB2F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胀缝的设置：在混凝土板与其他结构物、交叉口相接以及小半径平曲线、竖曲线处，均应设置胀缝，胀缝每200~300m设置一道，高温施工时应尽量少设或不设，缝宽0.3cm，深4cm。</w:t>
      </w:r>
    </w:p>
    <w:p w14:paraId="2383B78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施工缝，须设置在缩缝或胀缝处，不得单独设置，设在胀缝处其构造与胀缝相同，设在缩缝处时，为平缝加传力杆型，缝宽缝宽0.4cm，深4cm。</w:t>
      </w:r>
    </w:p>
    <w:p w14:paraId="3B4B30E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4、接缝材料</w:t>
      </w:r>
    </w:p>
    <w:p w14:paraId="3C005C4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填缝料：要求与混凝土粘接能力强，回弹性好，能适应混凝土板收缩，不溶于水，不渗水，高温时不溢出，低温时不脆裂，耐性久好。填缝料采用沥青橡胶类或聚氯乙烯胶泥类，胀缝下部的填缝板采用无活节劈裂变形的杉木板或塑料泡沫类或预制沥青橡胶板。</w:t>
      </w:r>
    </w:p>
    <w:p w14:paraId="3E31DDA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5)级配碎石</w:t>
      </w:r>
    </w:p>
    <w:p w14:paraId="39BAB66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(1)轧制碎石的材料可为各种类型的岩石(软质岩石除外)、砾石。轧制碎石的砾石粒径应为碎石最大粒径的 3 倍以上，碎石中不应有黏土块、植物根叶、腐殖质等有害物质。</w:t>
      </w:r>
    </w:p>
    <w:p w14:paraId="22BE7D0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 碎石中针片状颗粒的总含量不应超过 20%。</w:t>
      </w:r>
    </w:p>
    <w:p w14:paraId="0C6A7EB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 结构配合比详见《公路路面基层施工技术细则》(JTG/T F20-2015) 表 4.5.8 中规定。</w:t>
      </w:r>
    </w:p>
    <w:p w14:paraId="71013BA9">
      <w:pPr>
        <w:keepNext w:val="0"/>
        <w:keepLines w:val="0"/>
        <w:widowControl/>
        <w:suppressLineNumbers w:val="0"/>
        <w:jc w:val="left"/>
        <w:rPr>
          <w:rFonts w:hint="eastAsia" w:ascii="仿宋" w:hAnsi="仿宋" w:eastAsia="仿宋" w:cs="仿宋"/>
          <w:b/>
          <w:bCs/>
          <w:color w:val="auto"/>
          <w:kern w:val="2"/>
          <w:sz w:val="28"/>
          <w:szCs w:val="28"/>
          <w:lang w:val="en-US" w:eastAsia="zh-CN" w:bidi="ar-SA"/>
        </w:rPr>
      </w:pPr>
      <w:r>
        <w:rPr>
          <w:rFonts w:hint="eastAsia" w:ascii="仿宋" w:hAnsi="仿宋" w:eastAsia="仿宋" w:cs="仿宋"/>
          <w:b/>
          <w:bCs/>
          <w:color w:val="auto"/>
          <w:kern w:val="2"/>
          <w:sz w:val="28"/>
          <w:szCs w:val="28"/>
          <w:lang w:val="en-US" w:eastAsia="zh-CN" w:bidi="ar-SA"/>
        </w:rPr>
        <w:t>4.20.6瓦子坡路无障碍设计</w:t>
      </w:r>
    </w:p>
    <w:p w14:paraId="1A2177B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本项目无障碍设计需在人行道、交叉口、人行过街等设施处满足视力残疾者与肢体残疾者以及体弱老人、儿童等利用道路交通设施出行的需要。</w:t>
      </w:r>
    </w:p>
    <w:p w14:paraId="5FB7508A">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本项目无障碍设施，在道路路段上铺设视力残疾者行进盲道，以引导视力残疾者利用脚底的触感行走。行进盲道在路段上连续铺设，</w:t>
      </w:r>
      <w:bookmarkStart w:id="96" w:name="_Hlk118923956"/>
      <w:r>
        <w:rPr>
          <w:rFonts w:hint="eastAsia" w:ascii="仿宋" w:hAnsi="仿宋" w:eastAsia="仿宋" w:cs="仿宋"/>
          <w:color w:val="auto"/>
          <w:w w:val="95"/>
          <w:sz w:val="28"/>
          <w:szCs w:val="28"/>
          <w:lang w:val="en-US" w:eastAsia="zh-CN"/>
        </w:rPr>
        <w:t>无障碍盲道铺设位置一般距绿化带或行道树树穴2.3m，行进盲道宽0.3m。</w:t>
      </w:r>
      <w:bookmarkEnd w:id="96"/>
      <w:r>
        <w:rPr>
          <w:rFonts w:hint="eastAsia" w:ascii="仿宋" w:hAnsi="仿宋" w:eastAsia="仿宋" w:cs="仿宋"/>
          <w:color w:val="auto"/>
          <w:w w:val="95"/>
          <w:sz w:val="28"/>
          <w:szCs w:val="28"/>
          <w:lang w:val="en-US" w:eastAsia="zh-CN"/>
        </w:rPr>
        <w:t>行进盲道转折处设提示盲道，对于确实存在的障碍物，或可能引起视残者危险的物体，采用提示盲道围圈，以提醒视残者绕开。同时，路段人行道上不得有突然的高差与横坎，以方便残肢者利用轮椅行进。如有高差或横坎，以斜坡过渡，斜坡坡度满足1：20的要求。无障碍设施处施工过程中根据需要设置无障碍标识。</w:t>
      </w:r>
    </w:p>
    <w:p w14:paraId="1A687BFE">
      <w:pPr>
        <w:keepNext w:val="0"/>
        <w:keepLines w:val="0"/>
        <w:widowControl/>
        <w:suppressLineNumbers w:val="0"/>
        <w:jc w:val="left"/>
        <w:rPr>
          <w:rFonts w:hint="eastAsia" w:ascii="仿宋" w:hAnsi="仿宋" w:eastAsia="仿宋" w:cs="仿宋"/>
          <w:b/>
          <w:bCs/>
          <w:color w:val="auto"/>
          <w:kern w:val="2"/>
          <w:sz w:val="28"/>
          <w:szCs w:val="28"/>
          <w:lang w:val="en-US" w:eastAsia="zh-CN" w:bidi="ar-SA"/>
        </w:rPr>
      </w:pPr>
      <w:r>
        <w:rPr>
          <w:rFonts w:hint="eastAsia" w:ascii="仿宋" w:hAnsi="仿宋" w:eastAsia="仿宋" w:cs="仿宋"/>
          <w:b/>
          <w:bCs/>
          <w:color w:val="auto"/>
          <w:kern w:val="2"/>
          <w:sz w:val="28"/>
          <w:szCs w:val="28"/>
          <w:lang w:val="en-US" w:eastAsia="zh-CN" w:bidi="ar-SA"/>
        </w:rPr>
        <w:t>4.20.7 交通工程</w:t>
      </w:r>
    </w:p>
    <w:p w14:paraId="4F494CE9">
      <w:pPr>
        <w:keepNext w:val="0"/>
        <w:keepLines w:val="0"/>
        <w:pageBreakBefore w:val="0"/>
        <w:kinsoku/>
        <w:wordWrap/>
        <w:overflowPunct/>
        <w:topLinePunct w:val="0"/>
        <w:autoSpaceDE w:val="0"/>
        <w:autoSpaceDN w:val="0"/>
        <w:bidi w:val="0"/>
        <w:adjustRightInd w:val="0"/>
        <w:snapToGrid w:val="0"/>
        <w:spacing w:line="348" w:lineRule="auto"/>
        <w:jc w:val="left"/>
        <w:textAlignment w:val="auto"/>
        <w:outlineLvl w:val="0"/>
        <w:rPr>
          <w:rFonts w:ascii="宋体" w:hAnsi="宋体"/>
          <w:b/>
          <w:color w:val="auto"/>
          <w:kern w:val="0"/>
          <w:sz w:val="24"/>
          <w:lang w:val="zh-CN"/>
        </w:rPr>
      </w:pPr>
      <w:bookmarkStart w:id="97" w:name="_Toc24664"/>
      <w:r>
        <w:rPr>
          <w:rFonts w:hint="eastAsia" w:ascii="宋体" w:hAnsi="宋体"/>
          <w:b/>
          <w:color w:val="auto"/>
          <w:kern w:val="0"/>
          <w:sz w:val="24"/>
          <w:lang w:val="en-US" w:eastAsia="zh-CN"/>
        </w:rPr>
        <w:t>1）</w:t>
      </w:r>
      <w:r>
        <w:rPr>
          <w:rFonts w:ascii="宋体" w:hAnsi="宋体"/>
          <w:b/>
          <w:color w:val="auto"/>
          <w:kern w:val="0"/>
          <w:sz w:val="24"/>
          <w:lang w:val="zh-CN"/>
        </w:rPr>
        <w:t>、标线</w:t>
      </w:r>
      <w:bookmarkEnd w:id="97"/>
    </w:p>
    <w:p w14:paraId="16B3C9F9">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zh-CN" w:eastAsia="zh-CN"/>
        </w:rPr>
        <w:t>道路标线采用环保反光涂料涂划，路面标线应符合GB5768-2009及其相关规范规定。主路路口导向车道线不小于60m。专有设施、交叉口渠化划线以设计图为准。</w:t>
      </w:r>
    </w:p>
    <w:p w14:paraId="0636C5E5">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zh-CN" w:eastAsia="zh-CN"/>
        </w:rPr>
        <w:t>标线布设规格如下：</w:t>
      </w:r>
    </w:p>
    <w:p w14:paraId="4B9FA0B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中心双黄线</w:t>
      </w:r>
      <w:r>
        <w:rPr>
          <w:rFonts w:hint="eastAsia" w:ascii="仿宋" w:hAnsi="仿宋" w:eastAsia="仿宋" w:cs="仿宋"/>
          <w:color w:val="auto"/>
          <w:w w:val="95"/>
          <w:sz w:val="28"/>
          <w:szCs w:val="28"/>
          <w:lang w:val="zh-CN" w:eastAsia="zh-CN"/>
        </w:rPr>
        <w:t>：</w:t>
      </w:r>
      <w:r>
        <w:rPr>
          <w:rFonts w:hint="eastAsia" w:ascii="仿宋" w:hAnsi="仿宋" w:eastAsia="仿宋" w:cs="仿宋"/>
          <w:color w:val="auto"/>
          <w:w w:val="95"/>
          <w:sz w:val="28"/>
          <w:szCs w:val="28"/>
          <w:lang w:val="en-US" w:eastAsia="zh-CN"/>
        </w:rPr>
        <w:t>为黄色双实线，线宽15cm，线距70cm。</w:t>
      </w:r>
    </w:p>
    <w:p w14:paraId="0D1FD26D">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zh-CN" w:eastAsia="zh-CN"/>
        </w:rPr>
        <w:t>车道边缘线：设于行车道两侧路缘带的内侧，线宽15cm的白色振荡型实线，在单位出入口处为宽15cm线段长为200cm间距为400cm的的白色虚线。</w:t>
      </w:r>
    </w:p>
    <w:p w14:paraId="4C0F6B3C">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zh-CN" w:eastAsia="zh-CN"/>
        </w:rPr>
        <w:t>车行道分界线：为线段长为200cm间距为400cm的白色虚线，线宽15cm；</w:t>
      </w:r>
    </w:p>
    <w:p w14:paraId="4D99CAED">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zh-CN" w:eastAsia="zh-CN"/>
        </w:rPr>
        <w:t>交叉口停止线：白色实线，距离人行横道2m，线宽30cm。</w:t>
      </w:r>
    </w:p>
    <w:p w14:paraId="4E4A946B">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zh-CN" w:eastAsia="zh-CN"/>
        </w:rPr>
        <w:t>人行横道线：白色实线，宽5m，线宽40cm，间隔60cm。</w:t>
      </w:r>
    </w:p>
    <w:p w14:paraId="11B0BAFE">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zh-CN" w:eastAsia="zh-CN"/>
        </w:rPr>
        <w:t>非机动车道导流箭头：根据《长沙市非机动车交通组织设计指南（试行）》，非机动车导流标线由多组蓝色箭头组成，交叉口处按3m 间距设置，详见交通设施平面布置图。</w:t>
      </w:r>
    </w:p>
    <w:p w14:paraId="7FA85B60">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路面标线涂料的技术要求应符合国家标准JT/T280、GN47、GN48的有关规定。标线采用热</w:t>
      </w:r>
      <w:r>
        <w:rPr>
          <w:rFonts w:hint="eastAsia" w:ascii="仿宋" w:hAnsi="仿宋" w:eastAsia="仿宋" w:cs="仿宋"/>
          <w:color w:val="auto"/>
          <w:w w:val="95"/>
          <w:sz w:val="28"/>
          <w:szCs w:val="28"/>
          <w:lang w:val="zh-CN" w:eastAsia="zh-CN"/>
        </w:rPr>
        <w:t>熔型涂料，热熔型普通涂料的冷膜厚度一般为</w:t>
      </w:r>
      <w:r>
        <w:rPr>
          <w:rFonts w:hint="eastAsia" w:ascii="仿宋" w:hAnsi="仿宋" w:eastAsia="仿宋" w:cs="仿宋"/>
          <w:color w:val="auto"/>
          <w:w w:val="95"/>
          <w:sz w:val="28"/>
          <w:szCs w:val="28"/>
          <w:lang w:val="en-US" w:eastAsia="zh-CN"/>
        </w:rPr>
        <w:t>2.0</w:t>
      </w:r>
      <w:r>
        <w:rPr>
          <w:rFonts w:hint="eastAsia" w:ascii="仿宋" w:hAnsi="仿宋" w:eastAsia="仿宋" w:cs="仿宋"/>
          <w:color w:val="auto"/>
          <w:w w:val="95"/>
          <w:sz w:val="28"/>
          <w:szCs w:val="28"/>
          <w:lang w:val="zh-CN" w:eastAsia="zh-CN"/>
        </w:rPr>
        <w:t>mm±0.2mm</w:t>
      </w:r>
      <w:r>
        <w:rPr>
          <w:rFonts w:hint="eastAsia" w:ascii="仿宋" w:hAnsi="仿宋" w:eastAsia="仿宋" w:cs="仿宋"/>
          <w:color w:val="auto"/>
          <w:w w:val="95"/>
          <w:sz w:val="28"/>
          <w:szCs w:val="28"/>
          <w:lang w:val="en-US" w:eastAsia="zh-CN"/>
        </w:rPr>
        <w:t>。</w:t>
      </w:r>
    </w:p>
    <w:p w14:paraId="7B4629E5">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zh-CN" w:eastAsia="zh-CN"/>
        </w:rPr>
        <w:t>为增加标线夜间反光性，应预混不低于30%的玻璃珠，并面撒玻璃珠，面撒玻璃珠用量为0.3～0.4kg/m2。</w:t>
      </w:r>
    </w:p>
    <w:p w14:paraId="0FFD5E6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标线材料应耐久、耐磨耗、耐腐蚀，与路面黏结力强，并具有良好的辨别性和防滑性。</w:t>
      </w:r>
    </w:p>
    <w:p w14:paraId="1B113A53">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白色反光标线涂料的亮度因数应大于或等于0.35，初始逆反射系数应大于或等于</w:t>
      </w:r>
    </w:p>
    <w:p w14:paraId="05A20A8E">
      <w:pPr>
        <w:spacing w:line="360" w:lineRule="auto"/>
        <w:ind w:firstLine="532" w:firstLineChars="200"/>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150mcd·lx-1·m-2；黄色反光标线涂料的亮度因数应大于或等于0.27，初始逆反射系数应大于或等于100mcd·lx-1·m-2。</w:t>
      </w:r>
    </w:p>
    <w:p w14:paraId="29E6F08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所有道路标线严格按国标的有关规定涂划，详见“交通标线大样图”。</w:t>
      </w:r>
    </w:p>
    <w:p w14:paraId="24C4D6FE">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en-US" w:eastAsia="zh-CN"/>
        </w:rPr>
        <w:t>2）</w:t>
      </w:r>
      <w:r>
        <w:rPr>
          <w:rFonts w:hint="eastAsia" w:ascii="仿宋" w:hAnsi="仿宋" w:eastAsia="仿宋" w:cs="仿宋"/>
          <w:color w:val="auto"/>
          <w:w w:val="95"/>
          <w:sz w:val="28"/>
          <w:szCs w:val="28"/>
          <w:lang w:val="zh-CN" w:eastAsia="zh-CN"/>
        </w:rPr>
        <w:t>、标志</w:t>
      </w:r>
    </w:p>
    <w:p w14:paraId="6ECB5197">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zh-CN" w:eastAsia="zh-CN"/>
        </w:rPr>
        <w:t>1.平面布设</w:t>
      </w:r>
    </w:p>
    <w:p w14:paraId="4ABB9605">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zh-CN" w:eastAsia="zh-CN"/>
        </w:rPr>
        <w:t xml:space="preserve">    本工程涉及的标志根据其版面内容的不同，分为警告标志、禁令标志、指示标志和指路标志四类标志，结合实际情况分单独设置、合杆设置、附着设置三种方式。具体设置位置及方式详见"交通设施平面布置图"。</w:t>
      </w:r>
    </w:p>
    <w:p w14:paraId="3692C0D6">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zh-CN" w:eastAsia="zh-CN"/>
        </w:rPr>
        <w:t>2.版面设计</w:t>
      </w:r>
    </w:p>
    <w:p w14:paraId="6F25CF2A">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zh-CN" w:eastAsia="zh-CN"/>
        </w:rPr>
        <w:t>依据《道路交通标志及标线》（GB5768</w:t>
      </w:r>
      <w:r>
        <w:rPr>
          <w:rFonts w:hint="eastAsia" w:ascii="仿宋" w:hAnsi="仿宋" w:eastAsia="仿宋" w:cs="仿宋"/>
          <w:color w:val="auto"/>
          <w:w w:val="95"/>
          <w:sz w:val="28"/>
          <w:szCs w:val="28"/>
          <w:lang w:val="en-US" w:eastAsia="zh-CN"/>
        </w:rPr>
        <w:t>.2</w:t>
      </w:r>
      <w:r>
        <w:rPr>
          <w:rFonts w:hint="eastAsia" w:ascii="仿宋" w:hAnsi="仿宋" w:eastAsia="仿宋" w:cs="仿宋"/>
          <w:color w:val="auto"/>
          <w:w w:val="95"/>
          <w:sz w:val="28"/>
          <w:szCs w:val="28"/>
          <w:lang w:val="zh-CN" w:eastAsia="zh-CN"/>
        </w:rPr>
        <w:t>－20</w:t>
      </w:r>
      <w:r>
        <w:rPr>
          <w:rFonts w:hint="eastAsia" w:ascii="仿宋" w:hAnsi="仿宋" w:eastAsia="仿宋" w:cs="仿宋"/>
          <w:color w:val="auto"/>
          <w:w w:val="95"/>
          <w:sz w:val="28"/>
          <w:szCs w:val="28"/>
          <w:lang w:val="en-US" w:eastAsia="zh-CN"/>
        </w:rPr>
        <w:t>22</w:t>
      </w:r>
      <w:r>
        <w:rPr>
          <w:rFonts w:hint="eastAsia" w:ascii="仿宋" w:hAnsi="仿宋" w:eastAsia="仿宋" w:cs="仿宋"/>
          <w:color w:val="auto"/>
          <w:w w:val="95"/>
          <w:sz w:val="28"/>
          <w:szCs w:val="28"/>
          <w:lang w:val="zh-CN" w:eastAsia="zh-CN"/>
        </w:rPr>
        <w:t>），道路结合设计速度及邵阳城区习惯要求，指路标志的字体采用交通标志专用字体，</w:t>
      </w:r>
      <w:r>
        <w:rPr>
          <w:rFonts w:hint="eastAsia" w:ascii="仿宋" w:hAnsi="仿宋" w:eastAsia="仿宋" w:cs="仿宋"/>
          <w:color w:val="auto"/>
          <w:w w:val="95"/>
          <w:sz w:val="28"/>
          <w:szCs w:val="28"/>
          <w:lang w:val="en-US" w:eastAsia="zh-CN"/>
        </w:rPr>
        <w:t>汉字高度采用40cm</w:t>
      </w:r>
      <w:r>
        <w:rPr>
          <w:rFonts w:hint="eastAsia" w:ascii="仿宋" w:hAnsi="仿宋" w:eastAsia="仿宋" w:cs="仿宋"/>
          <w:color w:val="auto"/>
          <w:w w:val="95"/>
          <w:sz w:val="28"/>
          <w:szCs w:val="28"/>
          <w:lang w:val="zh-CN" w:eastAsia="zh-CN"/>
        </w:rPr>
        <w:t>。一般警告、禁令、指示、指路标志牌均按（GB5768</w:t>
      </w:r>
      <w:r>
        <w:rPr>
          <w:rFonts w:hint="eastAsia" w:ascii="仿宋" w:hAnsi="仿宋" w:eastAsia="仿宋" w:cs="仿宋"/>
          <w:color w:val="auto"/>
          <w:w w:val="95"/>
          <w:sz w:val="28"/>
          <w:szCs w:val="28"/>
          <w:lang w:val="en-US" w:eastAsia="zh-CN"/>
        </w:rPr>
        <w:t>.2</w:t>
      </w:r>
      <w:r>
        <w:rPr>
          <w:rFonts w:hint="eastAsia" w:ascii="仿宋" w:hAnsi="仿宋" w:eastAsia="仿宋" w:cs="仿宋"/>
          <w:color w:val="auto"/>
          <w:w w:val="95"/>
          <w:sz w:val="28"/>
          <w:szCs w:val="28"/>
          <w:lang w:val="zh-CN" w:eastAsia="zh-CN"/>
        </w:rPr>
        <w:t>－20</w:t>
      </w:r>
      <w:r>
        <w:rPr>
          <w:rFonts w:hint="eastAsia" w:ascii="仿宋" w:hAnsi="仿宋" w:eastAsia="仿宋" w:cs="仿宋"/>
          <w:color w:val="auto"/>
          <w:w w:val="95"/>
          <w:sz w:val="28"/>
          <w:szCs w:val="28"/>
          <w:lang w:val="en-US" w:eastAsia="zh-CN"/>
        </w:rPr>
        <w:t>22</w:t>
      </w:r>
      <w:r>
        <w:rPr>
          <w:rFonts w:hint="eastAsia" w:ascii="仿宋" w:hAnsi="仿宋" w:eastAsia="仿宋" w:cs="仿宋"/>
          <w:color w:val="auto"/>
          <w:w w:val="95"/>
          <w:sz w:val="28"/>
          <w:szCs w:val="28"/>
          <w:lang w:val="zh-CN" w:eastAsia="zh-CN"/>
        </w:rPr>
        <w:t>）制作。所有的标志牌主体内容均要求采用Ⅴ类反光膜。各类文字采用汉字、汉语拼音、英文对照的形式设置。指路、指示标志采用蓝底白图案，警告标志采用黄底黑图案，禁令标志采用白底红圈黑图案。</w:t>
      </w:r>
    </w:p>
    <w:p w14:paraId="3179CD05">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zh-CN" w:eastAsia="zh-CN"/>
        </w:rPr>
        <w:t>路名牌：东西走向为蓝底白字，南北走向为绿底白字。</w:t>
      </w:r>
    </w:p>
    <w:p w14:paraId="74D39D98">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zh-CN" w:eastAsia="zh-CN"/>
        </w:rPr>
        <w:t>3.构造和基础</w:t>
      </w:r>
    </w:p>
    <w:p w14:paraId="5020463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zh-CN" w:eastAsia="zh-CN"/>
        </w:rPr>
        <w:t>道路交通标志由标志底板、支柱、基础、紧固件和反光材料等组成。</w:t>
      </w:r>
      <w:r>
        <w:rPr>
          <w:rFonts w:hint="eastAsia" w:ascii="仿宋" w:hAnsi="仿宋" w:eastAsia="仿宋" w:cs="仿宋"/>
          <w:color w:val="auto"/>
          <w:w w:val="95"/>
          <w:sz w:val="28"/>
          <w:szCs w:val="28"/>
          <w:lang w:val="en-US" w:eastAsia="zh-CN"/>
        </w:rPr>
        <w:t>底板可用铝合金板、合成树脂（如塑料、硬质聚氯乙烯板材或玻璃钢等）材料制作。铝合金板材的抗拉强度应不小于289.3Mpa，延伸率为4～10%。应采用牌号为2024，T4状态的硬铝合金板。大型标志的板面结构，宜采用挤压成型的铝合金板拼装而成。标志板背面可选用美观大方颜色，铝合金可用原色。标志板厚度参照国标《道路交通标志标线》</w:t>
      </w:r>
      <w:r>
        <w:rPr>
          <w:rFonts w:hint="eastAsia" w:ascii="仿宋" w:hAnsi="仿宋" w:eastAsia="仿宋" w:cs="仿宋"/>
          <w:color w:val="auto"/>
          <w:w w:val="95"/>
          <w:sz w:val="28"/>
          <w:szCs w:val="28"/>
          <w:lang w:val="zh-CN" w:eastAsia="zh-CN"/>
        </w:rPr>
        <w:t>（GB5768</w:t>
      </w:r>
      <w:r>
        <w:rPr>
          <w:rFonts w:hint="eastAsia" w:ascii="仿宋" w:hAnsi="仿宋" w:eastAsia="仿宋" w:cs="仿宋"/>
          <w:color w:val="auto"/>
          <w:w w:val="95"/>
          <w:sz w:val="28"/>
          <w:szCs w:val="28"/>
          <w:lang w:val="en-US" w:eastAsia="zh-CN"/>
        </w:rPr>
        <w:t>.2</w:t>
      </w:r>
      <w:r>
        <w:rPr>
          <w:rFonts w:hint="eastAsia" w:ascii="仿宋" w:hAnsi="仿宋" w:eastAsia="仿宋" w:cs="仿宋"/>
          <w:color w:val="auto"/>
          <w:w w:val="95"/>
          <w:sz w:val="28"/>
          <w:szCs w:val="28"/>
          <w:lang w:val="zh-CN" w:eastAsia="zh-CN"/>
        </w:rPr>
        <w:t>－20</w:t>
      </w:r>
      <w:r>
        <w:rPr>
          <w:rFonts w:hint="eastAsia" w:ascii="仿宋" w:hAnsi="仿宋" w:eastAsia="仿宋" w:cs="仿宋"/>
          <w:color w:val="auto"/>
          <w:w w:val="95"/>
          <w:sz w:val="28"/>
          <w:szCs w:val="28"/>
          <w:lang w:val="en-US" w:eastAsia="zh-CN"/>
        </w:rPr>
        <w:t>22</w:t>
      </w:r>
      <w:r>
        <w:rPr>
          <w:rFonts w:hint="eastAsia" w:ascii="仿宋" w:hAnsi="仿宋" w:eastAsia="仿宋" w:cs="仿宋"/>
          <w:color w:val="auto"/>
          <w:w w:val="95"/>
          <w:sz w:val="28"/>
          <w:szCs w:val="28"/>
          <w:lang w:val="zh-CN" w:eastAsia="zh-CN"/>
        </w:rPr>
        <w:t>）</w:t>
      </w:r>
      <w:r>
        <w:rPr>
          <w:rFonts w:hint="eastAsia" w:ascii="仿宋" w:hAnsi="仿宋" w:eastAsia="仿宋" w:cs="仿宋"/>
          <w:color w:val="auto"/>
          <w:w w:val="95"/>
          <w:sz w:val="28"/>
          <w:szCs w:val="28"/>
          <w:lang w:val="en-US" w:eastAsia="zh-CN"/>
        </w:rPr>
        <w:t>选择。挤压成型铝合金板的厚度按规定执行。</w:t>
      </w:r>
    </w:p>
    <w:p w14:paraId="481CBB2B">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zh-CN" w:eastAsia="zh-CN"/>
        </w:rPr>
        <w:t xml:space="preserve">    标志牌支撑分单立柱式、Φ273F型、Φ325F型两类，各标志牌的具体版面内容详见交通设施平面布置图。</w:t>
      </w:r>
    </w:p>
    <w:p w14:paraId="56AF0A84">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zh-CN" w:eastAsia="zh-CN"/>
        </w:rPr>
        <w:t xml:space="preserve">    交通标志立柱选用钢管制作，钢柱应进行防腐处理，钢管顶管应加柱帽。钢制立柱、横梁、法兰盘及各种连接件，可采用热浸镀锌。立柱、横梁、法兰盘的镀锌量为600g/m²，紧固件为350g/m²。</w:t>
      </w:r>
    </w:p>
    <w:p w14:paraId="3401A82A">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zh-CN" w:eastAsia="zh-CN"/>
        </w:rPr>
        <w:t>标志的版面面向来车方向，并尽量减少对驾驶员的眩光。设置路侧式标志时，可与道路中心线的垂直线成一定的角度，指路标志和警告标志为0</w:t>
      </w:r>
      <w:bookmarkStart w:id="98" w:name="OLE_LINK1"/>
      <w:r>
        <w:rPr>
          <w:rFonts w:hint="eastAsia" w:ascii="仿宋" w:hAnsi="仿宋" w:eastAsia="仿宋" w:cs="仿宋"/>
          <w:color w:val="auto"/>
          <w:w w:val="95"/>
          <w:sz w:val="28"/>
          <w:szCs w:val="28"/>
          <w:lang w:val="zh-CN" w:eastAsia="zh-CN"/>
        </w:rPr>
        <w:t>°</w:t>
      </w:r>
      <w:bookmarkEnd w:id="98"/>
      <w:r>
        <w:rPr>
          <w:rFonts w:hint="eastAsia" w:ascii="仿宋" w:hAnsi="仿宋" w:eastAsia="仿宋" w:cs="仿宋"/>
          <w:color w:val="auto"/>
          <w:w w:val="95"/>
          <w:sz w:val="28"/>
          <w:szCs w:val="28"/>
          <w:lang w:val="zh-CN" w:eastAsia="zh-CN"/>
        </w:rPr>
        <w:t>～10°，禁令标志和指示标志为0°～45°，道路上方的标志应与道路中心线垂直并与道路垂直线成0°～10°的俯角；柱式标志板外缘距路面侧石线不应小于50cm。标志板安装在悬臂上，考虑到通行净空要求和路面维修增高的因素，底部安装高度不小于580cm。柱式标志底部安装高度不小于280cm。</w:t>
      </w:r>
    </w:p>
    <w:p w14:paraId="2181D39E">
      <w:pPr>
        <w:spacing w:line="360" w:lineRule="auto"/>
        <w:ind w:firstLine="532" w:firstLineChars="200"/>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标志基础采用钢筋混凝土基础，根据板面承受外力的大小及地基的承载力决定其尺寸及埋置深度，为便于施工，将标志基础类型进行了适当归并。基础混凝土强度等级不得低于C25。</w:t>
      </w:r>
    </w:p>
    <w:p w14:paraId="26FE3C8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各种标志立柱的埋设深度，决定于板面承受外力的大小及地基的承载力。一般应浇筑混凝土基础。立柱金属预埋件应进行防腐处理。</w:t>
      </w:r>
    </w:p>
    <w:p w14:paraId="43AEC48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单柱式标志地基承载力不小于120kpa，悬臂式标志地基底承载力不小于180kpa。</w:t>
      </w:r>
    </w:p>
    <w:p w14:paraId="35810E0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各质量要求详见《公路交通安全设施标准汇编》和《公路工程质量评价标准》。</w:t>
      </w:r>
    </w:p>
    <w:p w14:paraId="181A643A">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en-US" w:eastAsia="zh-CN"/>
        </w:rPr>
        <w:t>3）</w:t>
      </w:r>
      <w:r>
        <w:rPr>
          <w:rFonts w:hint="eastAsia" w:ascii="仿宋" w:hAnsi="仿宋" w:eastAsia="仿宋" w:cs="仿宋"/>
          <w:color w:val="auto"/>
          <w:w w:val="95"/>
          <w:sz w:val="28"/>
          <w:szCs w:val="28"/>
          <w:lang w:val="zh-CN" w:eastAsia="zh-CN"/>
        </w:rPr>
        <w:t>、护栏</w:t>
      </w:r>
    </w:p>
    <w:p w14:paraId="5A8EA7C3">
      <w:pPr>
        <w:spacing w:line="360" w:lineRule="auto"/>
        <w:ind w:firstLine="532" w:firstLineChars="200"/>
        <w:rPr>
          <w:rFonts w:hint="eastAsia" w:ascii="仿宋" w:hAnsi="仿宋" w:eastAsia="仿宋" w:cs="仿宋"/>
          <w:color w:val="auto"/>
          <w:w w:val="95"/>
          <w:sz w:val="28"/>
          <w:szCs w:val="28"/>
          <w:lang w:val="zh-CN" w:eastAsia="zh-CN"/>
        </w:rPr>
      </w:pPr>
      <w:r>
        <w:rPr>
          <w:rFonts w:hint="eastAsia" w:ascii="仿宋" w:hAnsi="仿宋" w:eastAsia="仿宋" w:cs="仿宋"/>
          <w:color w:val="auto"/>
          <w:w w:val="95"/>
          <w:sz w:val="28"/>
          <w:szCs w:val="28"/>
          <w:lang w:val="en-US" w:eastAsia="zh-CN"/>
        </w:rPr>
        <w:t>车行道中心（或分界）隔离栏设置在中心双黄线处，为活动护栏，</w:t>
      </w:r>
      <w:r>
        <w:rPr>
          <w:rFonts w:hint="eastAsia" w:ascii="仿宋" w:hAnsi="仿宋" w:eastAsia="仿宋" w:cs="仿宋"/>
          <w:color w:val="auto"/>
          <w:w w:val="95"/>
          <w:sz w:val="28"/>
          <w:szCs w:val="28"/>
          <w:lang w:val="zh-CN" w:eastAsia="zh-CN"/>
        </w:rPr>
        <w:t>推荐采用京式护栏，型式可根据业主要求进行调整。护栏端头设置防撞桶。</w:t>
      </w:r>
    </w:p>
    <w:p w14:paraId="2A0E70FC">
      <w:pPr>
        <w:keepNext w:val="0"/>
        <w:keepLines w:val="0"/>
        <w:widowControl/>
        <w:suppressLineNumbers w:val="0"/>
        <w:jc w:val="left"/>
        <w:rPr>
          <w:rFonts w:hint="eastAsia" w:ascii="仿宋" w:hAnsi="仿宋" w:eastAsia="仿宋" w:cs="仿宋"/>
          <w:b/>
          <w:bCs/>
          <w:color w:val="auto"/>
          <w:kern w:val="2"/>
          <w:sz w:val="28"/>
          <w:szCs w:val="28"/>
          <w:lang w:val="en-US" w:eastAsia="zh-CN" w:bidi="ar-SA"/>
        </w:rPr>
      </w:pPr>
      <w:r>
        <w:rPr>
          <w:rFonts w:hint="eastAsia" w:ascii="仿宋" w:hAnsi="仿宋" w:eastAsia="仿宋" w:cs="仿宋"/>
          <w:b/>
          <w:bCs/>
          <w:color w:val="auto"/>
          <w:kern w:val="2"/>
          <w:sz w:val="28"/>
          <w:szCs w:val="28"/>
          <w:lang w:val="en-US" w:eastAsia="zh-CN" w:bidi="ar-SA"/>
        </w:rPr>
        <w:t>4.20.8 施工注意事项</w:t>
      </w:r>
    </w:p>
    <w:p w14:paraId="5F0E100B">
      <w:pPr>
        <w:numPr>
          <w:ilvl w:val="0"/>
          <w:numId w:val="1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施工中应严格按照现行的有关规程规范规定的施工工艺及质量检查验收标准进行施工。</w:t>
      </w:r>
    </w:p>
    <w:p w14:paraId="6329827B">
      <w:pPr>
        <w:numPr>
          <w:ilvl w:val="0"/>
          <w:numId w:val="1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为保证路面施工质量，沥青混合料全部由拌和站集中拌和，并采用摊铺机摊铺。混合料在运输、摊铺时，不应产生粗细料离析现象，拌和料沿摊铺断面分布应均匀、碾压应充分，施工应达到规定的密实度标准。拌合场地应进行硬化，并应对路面用原材料采取防雨措施。</w:t>
      </w:r>
    </w:p>
    <w:p w14:paraId="5CAE1154">
      <w:pPr>
        <w:numPr>
          <w:ilvl w:val="0"/>
          <w:numId w:val="1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沥青混合料施工前必须进行各种混合料配比设计及相关试验，以进一步确定混合料的配比、含油量及含水量，并在施工中严格控制。各种路用材料在检验合格后方可使用。</w:t>
      </w:r>
    </w:p>
    <w:p w14:paraId="588E7BED">
      <w:pPr>
        <w:numPr>
          <w:ilvl w:val="0"/>
          <w:numId w:val="1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在铺筑沥青混合料前应对混凝土基层进行拉毛，彻底扫除混凝土表面的松散颗粒和尘土，不留任何浮灰等松动的材料，然后在在切缝处敷设抗裂贴，再进行下一步工序施工。</w:t>
      </w:r>
    </w:p>
    <w:p w14:paraId="69BF12F2">
      <w:pPr>
        <w:numPr>
          <w:ilvl w:val="0"/>
          <w:numId w:val="1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为确保路面施工质量，施工单位除应建立相应的全面质量管理体系，严格工序管理，按有关施工规范、规程的规定从严施工外，还应配置集料的制备、试验、配料、拌合、运输、摊铺、碾压养生等现代化设备，并配备相应的试验、质量检验人员，以保证优质高效地进行施工。</w:t>
      </w:r>
    </w:p>
    <w:p w14:paraId="6FEDC55A">
      <w:pPr>
        <w:rPr>
          <w:rFonts w:hint="eastAsia" w:ascii="仿宋" w:hAnsi="仿宋" w:eastAsia="仿宋" w:cs="仿宋"/>
          <w:b/>
          <w:color w:val="auto"/>
          <w:spacing w:val="40"/>
          <w:w w:val="95"/>
          <w:kern w:val="0"/>
          <w:sz w:val="44"/>
          <w:szCs w:val="44"/>
          <w:lang w:val="en-US" w:eastAsia="zh-CN" w:bidi="ar-SA"/>
        </w:rPr>
      </w:pPr>
    </w:p>
    <w:p w14:paraId="283570C3">
      <w:pPr>
        <w:pStyle w:val="16"/>
        <w:widowControl/>
        <w:spacing w:line="360" w:lineRule="auto"/>
        <w:ind w:firstLine="454" w:firstLineChars="171"/>
        <w:jc w:val="left"/>
        <w:outlineLvl w:val="9"/>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p>
    <w:p w14:paraId="73220CE6">
      <w:pP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pPr>
      <w:r>
        <w:rPr>
          <w:rFonts w:hint="eastAsia" w:ascii="仿宋" w:hAnsi="仿宋" w:eastAsia="仿宋" w:cs="仿宋"/>
          <w:color w:val="000000" w:themeColor="text1"/>
          <w:w w:val="95"/>
          <w:kern w:val="2"/>
          <w:sz w:val="28"/>
          <w:szCs w:val="28"/>
          <w:lang w:val="en-US" w:eastAsia="zh-CN" w:bidi="ar-SA"/>
          <w14:textFill>
            <w14:solidFill>
              <w14:schemeClr w14:val="tx1"/>
            </w14:solidFill>
          </w14:textFill>
        </w:rPr>
        <w:br w:type="page"/>
      </w:r>
    </w:p>
    <w:p w14:paraId="684B6935">
      <w:pPr>
        <w:pStyle w:val="2"/>
        <w:keepNext w:val="0"/>
        <w:keepLines w:val="0"/>
        <w:pageBreakBefore w:val="0"/>
        <w:widowControl/>
        <w:kinsoku/>
        <w:wordWrap/>
        <w:overflowPunct/>
        <w:topLinePunct w:val="0"/>
        <w:autoSpaceDE/>
        <w:autoSpaceDN/>
        <w:bidi w:val="0"/>
        <w:adjustRightInd/>
        <w:snapToGrid/>
        <w:spacing w:before="147" w:beforeLines="50" w:beforeAutospacing="0" w:after="147" w:afterLines="50" w:afterAutospacing="0" w:line="360" w:lineRule="auto"/>
        <w:jc w:val="center"/>
        <w:textAlignment w:val="auto"/>
        <w:rPr>
          <w:rFonts w:hint="eastAsia" w:ascii="仿宋" w:hAnsi="仿宋" w:eastAsia="仿宋" w:cs="仿宋"/>
          <w:color w:val="auto"/>
          <w:sz w:val="28"/>
          <w:szCs w:val="28"/>
          <w:lang w:val="en-US" w:eastAsia="zh-CN"/>
        </w:rPr>
      </w:pPr>
      <w:bookmarkStart w:id="99" w:name="_Toc5722"/>
      <w:r>
        <w:rPr>
          <w:rFonts w:hint="eastAsia" w:ascii="仿宋" w:hAnsi="仿宋" w:eastAsia="仿宋" w:cs="仿宋"/>
          <w:color w:val="auto"/>
          <w:sz w:val="28"/>
          <w:szCs w:val="28"/>
          <w:lang w:val="en-US" w:eastAsia="zh-CN"/>
        </w:rPr>
        <w:t>五.环境保护及水土保持</w:t>
      </w:r>
      <w:bookmarkEnd w:id="99"/>
    </w:p>
    <w:p w14:paraId="4A223215">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00" w:name="bookmark253"/>
      <w:bookmarkEnd w:id="100"/>
      <w:bookmarkStart w:id="101" w:name="_Toc3684"/>
      <w:r>
        <w:rPr>
          <w:rFonts w:hint="eastAsia" w:ascii="仿宋" w:hAnsi="仿宋" w:eastAsia="仿宋" w:cs="仿宋"/>
          <w:b/>
          <w:bCs/>
          <w:color w:val="auto"/>
          <w:sz w:val="28"/>
          <w:szCs w:val="28"/>
          <w:lang w:val="en-US" w:eastAsia="zh-CN"/>
        </w:rPr>
        <w:t>5.1.采用的环境保护标准</w:t>
      </w:r>
      <w:bookmarkEnd w:id="101"/>
    </w:p>
    <w:p w14:paraId="257E74C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工程施工期噪声执行《建筑施工场界环境噪声排放标准》（GB12523-2011），大气环境执行《环境空气质量标准》（GB3095-2012），声学环境执行《声环境质量标准》 （GB3096-2008），废水排入市政管道执行《污水排入城镇下水道水质标准》（GB/T 31962-2015）。</w:t>
      </w:r>
    </w:p>
    <w:p w14:paraId="2190DFEE">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02" w:name="bookmark132"/>
      <w:bookmarkEnd w:id="102"/>
      <w:bookmarkStart w:id="103" w:name="bookmark133"/>
      <w:bookmarkEnd w:id="103"/>
      <w:bookmarkStart w:id="104" w:name="_Toc8195"/>
      <w:r>
        <w:rPr>
          <w:rFonts w:hint="eastAsia" w:ascii="仿宋" w:hAnsi="仿宋" w:eastAsia="仿宋" w:cs="仿宋"/>
          <w:b/>
          <w:bCs/>
          <w:color w:val="auto"/>
          <w:sz w:val="28"/>
          <w:szCs w:val="28"/>
          <w:lang w:val="en-US" w:eastAsia="zh-CN"/>
        </w:rPr>
        <w:t>5.2.主要污染源</w:t>
      </w:r>
      <w:bookmarkEnd w:id="104"/>
    </w:p>
    <w:p w14:paraId="09D37216">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施工期对环境的影响主要为地面开挖、车辆运输等产生的扬尘对市区 环境空气的影响；施工机械设备、运输车辆产生的噪声对声环境影响；管网工程施工期对城镇交通的影响；施工人员产生的生活污水和生活垃圾对环境的影响。</w:t>
      </w:r>
    </w:p>
    <w:p w14:paraId="28C4EAED">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1 、施工期扬尘影响</w:t>
      </w:r>
    </w:p>
    <w:p w14:paraId="1918E720">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施工期扬尘主要来源于施工地面开挖、弃土堆存产生的二次扬尘；车辆运输活动导致扬尘；施工过程中建筑材料装卸、搅拌等产生扬尘；施工期间产生的扬尘主要决定于施工作业方式、材料的堆放及风力等因素，其 中受风力的影响最大。</w:t>
      </w:r>
    </w:p>
    <w:p w14:paraId="0AD50A4A">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2 、施工机械的废气排放对周围环境的影响</w:t>
      </w:r>
    </w:p>
    <w:p w14:paraId="0E7D6B4B">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施工机械中挖掘机、推土机及运输车辆等用柴油为燃料，排放废气中 的主要污染物为 CO、 NOx等。由于挖掘机、推土机等主要用于管网施工，属流动污染源，每一处施工时间很短，因此不会对当地环境空气产生明显 污染影响。主要采取使用清洁燃料（符合国家标准的汽油、柴油），对施工机械经常进行维修保护，使燃料得到充分燃烧等减缓措施。</w:t>
      </w:r>
    </w:p>
    <w:p w14:paraId="75203745">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3 、施工噪声污染影响</w:t>
      </w:r>
    </w:p>
    <w:p w14:paraId="1733DE2D">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施工期主要产生噪声的施工机械有挖掘机、推土机、平地机、混凝土搅拌机、装载机、摊铺机以及各种运输车辆。</w:t>
      </w:r>
    </w:p>
    <w:p w14:paraId="49314774">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4 、施工工地生活垃圾的影响</w:t>
      </w:r>
    </w:p>
    <w:p w14:paraId="4A5A2BC8">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工程施工时，施工区内劳动力的食宿将会安排在工作区域内。这些临时食宿地的水、电以及生活废弃物若没有做出妥善的安排，则会严重影响施工区的卫生环境，导致工作人员的体力下降，尤其是在夏天，施工区的生活废弃物乱扔，轻则导致蚊蝇孳生，重则致使施工区工人暴发流行疾病，严重影响工程施工进度，同时使附近的居民遭受蚊、蝇、臭气、疾病的影响。</w:t>
      </w:r>
    </w:p>
    <w:p w14:paraId="700DA1FC">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5 、施工建筑废物的影响</w:t>
      </w:r>
    </w:p>
    <w:p w14:paraId="6F81864E">
      <w:pPr>
        <w:pStyle w:val="16"/>
        <w:widowControl/>
        <w:numPr>
          <w:ilvl w:val="0"/>
          <w:numId w:val="0"/>
        </w:numPr>
        <w:spacing w:line="360" w:lineRule="auto"/>
        <w:ind w:firstLine="532" w:firstLineChars="200"/>
        <w:jc w:val="left"/>
        <w:outlineLvl w:val="9"/>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施工过程中将会产生许多废砖、废料、弃土等废弃的建筑材料，这些 废物在堆置、运输和处理过程中都可能对环境产生影响。如运输过程中沿途废物散落，以及由于刮风导致的二次扬尘都会在短时间内给周围造成不良的影响。</w:t>
      </w:r>
    </w:p>
    <w:p w14:paraId="3D9B155F">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05" w:name="bookmark135"/>
      <w:bookmarkEnd w:id="105"/>
      <w:bookmarkStart w:id="106" w:name="bookmark134"/>
      <w:bookmarkEnd w:id="106"/>
      <w:bookmarkStart w:id="107" w:name="_Toc26145"/>
      <w:r>
        <w:rPr>
          <w:rFonts w:hint="eastAsia" w:ascii="仿宋" w:hAnsi="仿宋" w:eastAsia="仿宋" w:cs="仿宋"/>
          <w:b/>
          <w:bCs/>
          <w:color w:val="auto"/>
          <w:sz w:val="28"/>
          <w:szCs w:val="28"/>
          <w:lang w:val="en-US" w:eastAsia="zh-CN"/>
        </w:rPr>
        <w:t>5.3.环境影响及对策</w:t>
      </w:r>
      <w:bookmarkEnd w:id="107"/>
    </w:p>
    <w:p w14:paraId="6680370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工程建设对环境的影响和对策措施体现在如下几个方面：</w:t>
      </w:r>
    </w:p>
    <w:p w14:paraId="253184D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（1）施工扬尘、噪声</w:t>
      </w:r>
    </w:p>
    <w:p w14:paraId="6F5C59C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1）扬尘的影响</w:t>
      </w:r>
    </w:p>
    <w:p w14:paraId="0A7CEC4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工程施工中扬尘会影响附近居民和单位，为了减少工程扬尘对周围环境的影响，工 程施工期间遇到连续的干燥又起风的情况下，则采取对堆土表面洒上水的措施，防止扬尘，同时对工地环境实行保洁制度。</w:t>
      </w:r>
    </w:p>
    <w:p w14:paraId="13F453E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土料堆积过程中，堆积边坡的角度不宜过大，弃土场应及时夯实；散装水泥应尽可能避免露天堆放。晴朗多风天气应对露天临时堆放的土料适当加湿，防止被风吹散。</w:t>
      </w:r>
    </w:p>
    <w:p w14:paraId="4944CF2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为保护施工区空气质量，应选择满足有关规定要求的施工运输车辆，确保尾气达标排放；对运输车辆进行监督管理，定期和不定期对运输车辆排放的尾气进行监测，对未达标的车辆实施严厉的处罚措施或禁止其在施工区的使用。</w:t>
      </w:r>
    </w:p>
    <w:p w14:paraId="3689467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2）噪声的影响</w:t>
      </w:r>
    </w:p>
    <w:p w14:paraId="38AEF2B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施工期间的噪声主要来自施工机械、建筑材料的运输。机动车辆的喇叭选用指向性强的低噪声喇叭；对挖土机、推土机等设备，可通过安装消声管、消音器、隔声罩或隔离发动机振动部件的方法降低噪声；产生噪声的部件还可以部分地或完全封闭，并用减振垫、防振座等手段以减少振动面板的振幅。加强各种机械设备的维修和保养，做好机械设备使用前的检修，使设备性能处于良好状态，运行时可减少噪声。在施工场地，设置进入施工区的标志牌；禁止高音鸣笛。合理制定施工运输线路。</w:t>
      </w:r>
    </w:p>
    <w:p w14:paraId="1964BAB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（2）生活垃圾</w:t>
      </w:r>
    </w:p>
    <w:p w14:paraId="7034E56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工程施工时，施工人员会产生生活垃圾。为了避免生活垃圾的污染，应与当地环卫部门联系，及时清理施工现场的生活废弃物。各施工承包商应安排专人负责生产废料的收集，废铁、废钢筋、废木碎块等应堆放在指定的位置，严禁乱堆乱放。对建筑垃圾的收集处理应严格执行《城市建筑</w:t>
      </w:r>
      <w:bookmarkStart w:id="108" w:name="bookmark254"/>
      <w:bookmarkEnd w:id="108"/>
      <w:r>
        <w:rPr>
          <w:rFonts w:hint="eastAsia" w:ascii="仿宋" w:hAnsi="仿宋" w:eastAsia="仿宋" w:cs="仿宋"/>
          <w:color w:val="000000" w:themeColor="text1"/>
          <w:sz w:val="28"/>
          <w:szCs w:val="28"/>
          <w:lang w:val="en-US" w:eastAsia="zh-CN"/>
          <w14:textFill>
            <w14:solidFill>
              <w14:schemeClr w14:val="tx1"/>
            </w14:solidFill>
          </w14:textFill>
        </w:rPr>
        <w:t>垃圾管理规定》，服从当地城市市容环境卫生行政主管部门统一管理。工程结束后，拆除施工区的临建设施，对机械停放场、混凝土加工场、综合仓库等施工用地，及时进行场地清理，清除建筑垃圾及各种杂物，对其周围的生活垃圾、临时厕所、化粪池等，必须清理平整，并用生石灰进行消毒。</w:t>
      </w:r>
    </w:p>
    <w:p w14:paraId="0F7E024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废弃物施工期间将产生许多废弃物，这些废弃物在运输、处置过程中都可能对环境产生影响。废弃物的运输量大，施工期间应会同有关部门，为本工程的废弃物制定处置计划，尽量避开行车高峰时段和居民密集区域。做好驾驶员的职业道德教育，按规定路线运输，并不定期地检查计划执行情况。施工中遇到有毒有害废弃物时应暂时停止施工，并及时与地方环保、卫生部门联系，经采取处理措施后才能继续施工。施工期间尽可能地减少对周围居民、单位的影响，提倡文明施工，及时解决施工中对环境的影响问题。</w:t>
      </w:r>
    </w:p>
    <w:p w14:paraId="36F36AA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（4）各类废水需经处理达标后外排，加强雨季的风险防范，加大应急事故池的建设，能够容量极端情况的水量。合理设计废水排放去向，严禁随意排放。</w:t>
      </w:r>
    </w:p>
    <w:p w14:paraId="6B4A7D1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（5）其他措施</w:t>
      </w:r>
    </w:p>
    <w:p w14:paraId="5B4ECBC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加强施工期的宣传和各类废气污染防治措施，严格控制施工时间，防止施工扰民。施工过程的临时设施，严禁破坏周边居民的出行和生活，如有必要，需修建临时过道，方便周边居民的出行。加强恶臭的处理，防止臭气扰民。</w:t>
      </w:r>
    </w:p>
    <w:p w14:paraId="02B35633">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09" w:name="bookmark136"/>
      <w:bookmarkEnd w:id="109"/>
      <w:bookmarkStart w:id="110" w:name="bookmark137"/>
      <w:bookmarkEnd w:id="110"/>
      <w:bookmarkStart w:id="111" w:name="_Toc10821"/>
      <w:r>
        <w:rPr>
          <w:rFonts w:hint="eastAsia" w:ascii="仿宋" w:hAnsi="仿宋" w:eastAsia="仿宋" w:cs="仿宋"/>
          <w:b/>
          <w:bCs/>
          <w:color w:val="auto"/>
          <w:sz w:val="28"/>
          <w:szCs w:val="28"/>
          <w:lang w:val="en-US" w:eastAsia="zh-CN"/>
        </w:rPr>
        <w:t>5.4.水土保持</w:t>
      </w:r>
      <w:bookmarkEnd w:id="111"/>
    </w:p>
    <w:p w14:paraId="7794303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1.施工期生态环境影响分析</w:t>
      </w:r>
    </w:p>
    <w:p w14:paraId="64E5A96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本项目施工期对城市环境的影响，主要体现在施工弃土对植物、植被和水土保持的影响方面。</w:t>
      </w:r>
    </w:p>
    <w:p w14:paraId="549FBE2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工程施工期的土地占用、临时修筑的运输道路、施工材料的堆存、施工弃土堆积等将占用或破坏部分人工植被和天然植被。</w:t>
      </w:r>
    </w:p>
    <w:p w14:paraId="7316D0E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施工弃土土质松散，易被降雨和地表径流水冲刷流失。若处置和管理 不善，易引起水土流失，淤塞沟渠和河道。</w:t>
      </w:r>
    </w:p>
    <w:p w14:paraId="4391E11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2.水土保护措施</w:t>
      </w:r>
    </w:p>
    <w:p w14:paraId="6CECEA2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本项目施工期，建议采用以下保护植被、保持水土措施，防治生态环境遭到破坏：</w:t>
      </w:r>
    </w:p>
    <w:p w14:paraId="05D19FF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（1）在工程施工运行期间要注意避免破坏征地范围以外的自然植被和排水系统。</w:t>
      </w:r>
    </w:p>
    <w:p w14:paraId="10A79AA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（2）工程修建尽量缩短施工工期，减少疏松土壤的堆放时间，工程施 时间应尽量避开风季和汛期。</w:t>
      </w:r>
    </w:p>
    <w:p w14:paraId="0E09486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（3）减少工程土地占用面积以利于保持水土。</w:t>
      </w:r>
    </w:p>
    <w:p w14:paraId="176B90A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（4）提高绿化覆盖率。</w:t>
      </w:r>
    </w:p>
    <w:p w14:paraId="72146FA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（5）对工程用地必需破坏的植被要做好规划，禁止随意破坏施工区内的植物，施工完成能恢复的要尽量恢复。同时作好施工期间的排水措施，避免大雨引起的水土流失。</w:t>
      </w:r>
    </w:p>
    <w:p w14:paraId="01C09113">
      <w:pPr>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br w:type="page"/>
      </w:r>
    </w:p>
    <w:p w14:paraId="17830E6F">
      <w:pPr>
        <w:pStyle w:val="2"/>
        <w:keepNext w:val="0"/>
        <w:keepLines w:val="0"/>
        <w:pageBreakBefore w:val="0"/>
        <w:widowControl/>
        <w:kinsoku/>
        <w:wordWrap/>
        <w:overflowPunct/>
        <w:topLinePunct w:val="0"/>
        <w:autoSpaceDE/>
        <w:autoSpaceDN/>
        <w:bidi w:val="0"/>
        <w:adjustRightInd/>
        <w:snapToGrid/>
        <w:spacing w:before="147" w:beforeLines="50" w:beforeAutospacing="0" w:after="147" w:afterLines="50" w:afterAutospacing="0" w:line="360" w:lineRule="auto"/>
        <w:jc w:val="center"/>
        <w:textAlignment w:val="auto"/>
        <w:rPr>
          <w:rFonts w:hint="eastAsia" w:ascii="仿宋" w:hAnsi="仿宋" w:eastAsia="仿宋" w:cs="仿宋"/>
          <w:color w:val="auto"/>
          <w:sz w:val="28"/>
          <w:szCs w:val="28"/>
          <w:lang w:val="en-US" w:eastAsia="zh-CN"/>
        </w:rPr>
      </w:pPr>
      <w:bookmarkStart w:id="112" w:name="_Toc17422"/>
      <w:r>
        <w:rPr>
          <w:rFonts w:hint="eastAsia" w:ascii="仿宋" w:hAnsi="仿宋" w:eastAsia="仿宋" w:cs="仿宋"/>
          <w:color w:val="auto"/>
          <w:sz w:val="28"/>
          <w:szCs w:val="28"/>
          <w:lang w:val="en-US" w:eastAsia="zh-CN"/>
        </w:rPr>
        <w:t>六.劳动保护、职业安全与卫生</w:t>
      </w:r>
      <w:bookmarkEnd w:id="112"/>
    </w:p>
    <w:p w14:paraId="2B29A75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本工程建设，坚持贯彻执行“安全为了生产，生产必须安全”的原则，和“安全第 一，预防为主”的方针，安全卫生设施必须执行与主体工程同时设计、同时施工、同时投产的三同时制度，以保证安全生产。在选择技术方案时，采用国内成熟先进技术和设备，提高自动化、机械化水平，减轻劳动强度，改善劳动环境。工艺、电气、设备、土建等各专业严格按照国家有关规范进行设计。</w:t>
      </w:r>
    </w:p>
    <w:p w14:paraId="4F694478">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13" w:name="bookmark140"/>
      <w:bookmarkEnd w:id="113"/>
      <w:bookmarkStart w:id="114" w:name="bookmark141"/>
      <w:bookmarkEnd w:id="114"/>
      <w:bookmarkStart w:id="115" w:name="_Toc1799"/>
      <w:r>
        <w:rPr>
          <w:rFonts w:hint="eastAsia" w:ascii="仿宋" w:hAnsi="仿宋" w:eastAsia="仿宋" w:cs="仿宋"/>
          <w:b/>
          <w:bCs/>
          <w:color w:val="auto"/>
          <w:sz w:val="28"/>
          <w:szCs w:val="28"/>
          <w:lang w:val="en-US" w:eastAsia="zh-CN"/>
        </w:rPr>
        <w:t>6.1.设计依据</w:t>
      </w:r>
      <w:bookmarkEnd w:id="115"/>
    </w:p>
    <w:p w14:paraId="5F02263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bookmarkStart w:id="116" w:name="bookmark144"/>
      <w:bookmarkEnd w:id="116"/>
      <w:bookmarkStart w:id="117" w:name="bookmark142"/>
      <w:bookmarkEnd w:id="117"/>
      <w:bookmarkStart w:id="118" w:name="bookmark143"/>
      <w:bookmarkEnd w:id="118"/>
      <w:bookmarkStart w:id="119" w:name="bookmark145"/>
      <w:bookmarkEnd w:id="119"/>
      <w:r>
        <w:rPr>
          <w:rFonts w:hint="eastAsia" w:ascii="仿宋" w:hAnsi="仿宋" w:eastAsia="仿宋" w:cs="仿宋"/>
          <w:color w:val="000000" w:themeColor="text1"/>
          <w:sz w:val="28"/>
          <w:szCs w:val="28"/>
          <w:lang w:val="en-US" w:eastAsia="zh-CN"/>
          <w14:textFill>
            <w14:solidFill>
              <w14:schemeClr w14:val="tx1"/>
            </w14:solidFill>
          </w14:textFill>
        </w:rPr>
        <w:t xml:space="preserve">《中华人民共和国劳动法》（2018 年 12 月修订）； </w:t>
      </w:r>
    </w:p>
    <w:p w14:paraId="74EC007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《中国人民共和国安全生产法》（2014 年 8 月修订）； </w:t>
      </w:r>
    </w:p>
    <w:p w14:paraId="0D5738F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《中华人民共和国职业病防治法》（2018 年 12 月修订）； </w:t>
      </w:r>
    </w:p>
    <w:p w14:paraId="5B3E935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《工业企业设计卫生标准》 （GBZ 1-2010） </w:t>
      </w:r>
    </w:p>
    <w:p w14:paraId="58A01BB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《工作场所有害因素职业接触限值 化学有害因素》 （GBZ2.1-2007） </w:t>
      </w:r>
    </w:p>
    <w:p w14:paraId="35D2A9A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《工作场所有害因素职业接触限值 物理因素》 （GBZ2.2-2007） </w:t>
      </w:r>
    </w:p>
    <w:p w14:paraId="641BB6B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《工业企业厂界环境噪声排放标准》 （GB12348-2008） </w:t>
      </w:r>
    </w:p>
    <w:p w14:paraId="0BC3CB2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《大气污染物综合排放标准》 （GB16297-1996） </w:t>
      </w:r>
    </w:p>
    <w:p w14:paraId="36BD9C7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《工业建设供暖通风与空气调节设计规范》 （GB 50019-2003） </w:t>
      </w:r>
    </w:p>
    <w:p w14:paraId="7C24274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《工业企业噪声控制设计规范》 （GB/T 50087-2013）</w:t>
      </w:r>
    </w:p>
    <w:p w14:paraId="5FE57D0E">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20" w:name="_Toc1104"/>
      <w:r>
        <w:rPr>
          <w:rFonts w:hint="eastAsia" w:ascii="仿宋" w:hAnsi="仿宋" w:eastAsia="仿宋" w:cs="仿宋"/>
          <w:b/>
          <w:bCs/>
          <w:color w:val="auto"/>
          <w:sz w:val="28"/>
          <w:szCs w:val="28"/>
          <w:lang w:val="en-US" w:eastAsia="zh-CN"/>
        </w:rPr>
        <w:t>6.2.主要危害因素</w:t>
      </w:r>
      <w:bookmarkEnd w:id="120"/>
    </w:p>
    <w:p w14:paraId="6ECD3328">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21" w:name="bookmark255"/>
      <w:bookmarkEnd w:id="121"/>
      <w:bookmarkStart w:id="122" w:name="_Toc5193"/>
      <w:r>
        <w:rPr>
          <w:rFonts w:hint="eastAsia" w:ascii="仿宋" w:hAnsi="仿宋" w:eastAsia="仿宋" w:cs="仿宋"/>
          <w:b/>
          <w:bCs/>
          <w:color w:val="auto"/>
          <w:sz w:val="28"/>
          <w:szCs w:val="28"/>
          <w:lang w:val="en-US" w:eastAsia="zh-CN"/>
        </w:rPr>
        <w:t>6.2.1. 自然因素危害分析</w:t>
      </w:r>
      <w:bookmarkEnd w:id="122"/>
    </w:p>
    <w:p w14:paraId="7094E72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（1）地震</w:t>
      </w:r>
    </w:p>
    <w:p w14:paraId="13073F4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地震是一种能产生巨大破坏的自然现象，尤其对构筑物的破坏作用更为明显，作用范围大，威胁设备和人员的安全，但破坏性地震一般出现几率较小。</w:t>
      </w:r>
    </w:p>
    <w:p w14:paraId="7C778C7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（2）暴雨和洪水</w:t>
      </w:r>
    </w:p>
    <w:p w14:paraId="528191D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暴雨和洪水威胁管线施工安全，其作用范围大。</w:t>
      </w:r>
    </w:p>
    <w:p w14:paraId="7F0756D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（3）雷击</w:t>
      </w:r>
    </w:p>
    <w:p w14:paraId="2A5E539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雷击能破坏建构筑物和设备，并可能导致火灾和爆炸事故的发生，其出现的机会不大，作用时间短暂（4）不良地质</w:t>
      </w:r>
    </w:p>
    <w:p w14:paraId="4C17B79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不良地质对建构筑物的破坏作用较大，甚至影响人员安全。同一地区不良地质对建 筑物的破</w:t>
      </w:r>
    </w:p>
    <w:p w14:paraId="523F778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坏作用往往只有一次，作用时间不长。</w:t>
      </w:r>
    </w:p>
    <w:p w14:paraId="3E4E3C9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（5）风向</w:t>
      </w:r>
    </w:p>
    <w:p w14:paraId="62F3F47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风向对有害物质的输送作用明显，若人员处于危害源的下风向，则极为不利。</w:t>
      </w:r>
    </w:p>
    <w:p w14:paraId="1602B80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（6）气温</w:t>
      </w:r>
    </w:p>
    <w:p w14:paraId="71BA2F5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人体有最适宜的环境温度，当环境温度超过一定范围，会产生不舒服感，气温过高会发生中暑；气温过低，则可能发生冻坏设备。气温对人的作用广泛，作用时间长，其危害后果较轻。</w:t>
      </w:r>
    </w:p>
    <w:p w14:paraId="24E852A5">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自然危害因素的发生基本是不可避免的，因为它是自然形成的，但可以对其采取相应的防范措施，以减轻人员、设备等可能受到的伤害或损坏。</w:t>
      </w:r>
    </w:p>
    <w:p w14:paraId="048D3079">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23" w:name="bookmark147"/>
      <w:bookmarkEnd w:id="123"/>
      <w:bookmarkStart w:id="124" w:name="bookmark146"/>
      <w:bookmarkEnd w:id="124"/>
      <w:bookmarkStart w:id="125" w:name="_Toc32145"/>
      <w:r>
        <w:rPr>
          <w:rFonts w:hint="eastAsia" w:ascii="仿宋" w:hAnsi="仿宋" w:eastAsia="仿宋" w:cs="仿宋"/>
          <w:b/>
          <w:bCs/>
          <w:color w:val="auto"/>
          <w:sz w:val="28"/>
          <w:szCs w:val="28"/>
          <w:lang w:val="en-US" w:eastAsia="zh-CN"/>
        </w:rPr>
        <w:t>6.2.2.生产危害因素分析</w:t>
      </w:r>
      <w:bookmarkEnd w:id="125"/>
    </w:p>
    <w:p w14:paraId="4FD64BA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（1）高温辐射</w:t>
      </w:r>
    </w:p>
    <w:p w14:paraId="77FE3BF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当工作场所的高温辐射强度大于 4.2J/cm2•min时，可使人体过热，产生一系列生理功能变化，使人体体温调节失去平衡，水盐代谢出现紊乱，消化及神经系统受到影响，表现为注意力不集中，动作协调性、准确性差，极易发生事故。</w:t>
      </w:r>
    </w:p>
    <w:p w14:paraId="4ECFB76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（2）振动与噪声</w:t>
      </w:r>
    </w:p>
    <w:p w14:paraId="242ADE6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振动使人体患振动病，主要表现在头晕、乏力、睡眠障碍、心悸、出冷汗等。噪声 除损害听觉器官外，对神经系统、心血管系统亦有不良影响。长时间接触， 能使人头痛 头晕，易疲劳，记忆力减退，使冠心病患者发病率增多。</w:t>
      </w:r>
    </w:p>
    <w:p w14:paraId="3F0E169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（3）火灾爆炸</w:t>
      </w:r>
    </w:p>
    <w:p w14:paraId="3C65252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火灾是一种剧烈燃烧现象，当燃烧失去控制时，便形成火灾事故，火灾事故能造成 较大的人员及财产损失。爆炸同火灾一样，能造成较大的人员伤亡及财产损失。</w:t>
      </w:r>
    </w:p>
    <w:p w14:paraId="1D916645">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（4）其它安全事故</w:t>
      </w:r>
    </w:p>
    <w:p w14:paraId="03B9D6E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压力容器的事故能造成设备损失，危及人身安全。此外， 触电、碰撞、坠落、 机械 伤害等事故均对人身形成伤害，严重时可造成人员的死亡。</w:t>
      </w:r>
    </w:p>
    <w:p w14:paraId="763C2F9F">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26" w:name="bookmark149"/>
      <w:bookmarkEnd w:id="126"/>
      <w:bookmarkStart w:id="127" w:name="bookmark148"/>
      <w:bookmarkEnd w:id="127"/>
      <w:bookmarkStart w:id="128" w:name="_Toc9232"/>
      <w:r>
        <w:rPr>
          <w:rFonts w:hint="eastAsia" w:ascii="仿宋" w:hAnsi="仿宋" w:eastAsia="仿宋" w:cs="仿宋"/>
          <w:b/>
          <w:bCs/>
          <w:color w:val="auto"/>
          <w:sz w:val="28"/>
          <w:szCs w:val="28"/>
          <w:lang w:val="en-US" w:eastAsia="zh-CN"/>
        </w:rPr>
        <w:t>6.3.安全卫生防范防护措施</w:t>
      </w:r>
      <w:bookmarkEnd w:id="128"/>
    </w:p>
    <w:p w14:paraId="0A055E5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安全卫生防范主要从以下方面采取措施：</w:t>
      </w:r>
    </w:p>
    <w:p w14:paraId="205AA802">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29" w:name="bookmark151"/>
      <w:bookmarkEnd w:id="129"/>
      <w:bookmarkStart w:id="130" w:name="bookmark150"/>
      <w:bookmarkEnd w:id="130"/>
      <w:bookmarkStart w:id="131" w:name="bookmark153"/>
      <w:bookmarkEnd w:id="131"/>
      <w:bookmarkStart w:id="132" w:name="bookmark152"/>
      <w:bookmarkEnd w:id="132"/>
      <w:bookmarkStart w:id="133" w:name="_Toc14194"/>
      <w:bookmarkStart w:id="134" w:name="_Toc16316"/>
      <w:r>
        <w:rPr>
          <w:rFonts w:hint="eastAsia" w:ascii="仿宋" w:hAnsi="仿宋" w:eastAsia="仿宋" w:cs="仿宋"/>
          <w:b/>
          <w:bCs/>
          <w:color w:val="auto"/>
          <w:sz w:val="28"/>
          <w:szCs w:val="28"/>
          <w:lang w:val="en-US" w:eastAsia="zh-CN"/>
        </w:rPr>
        <w:t>6.3.1.抗震措施</w:t>
      </w:r>
      <w:bookmarkEnd w:id="133"/>
      <w:bookmarkEnd w:id="134"/>
    </w:p>
    <w:p w14:paraId="0A65426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本工程区域地震基本烈度为7  度，本工程的建、构筑物、管道抗震设计均按《建筑 抗震设计规范》的有关要求进行。</w:t>
      </w:r>
    </w:p>
    <w:p w14:paraId="3DEB2139">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35" w:name="bookmark256"/>
      <w:bookmarkEnd w:id="135"/>
      <w:bookmarkStart w:id="136" w:name="_Toc29044"/>
      <w:bookmarkStart w:id="137" w:name="_Toc23728"/>
      <w:r>
        <w:rPr>
          <w:rFonts w:hint="eastAsia" w:ascii="仿宋" w:hAnsi="仿宋" w:eastAsia="仿宋" w:cs="仿宋"/>
          <w:b/>
          <w:bCs/>
          <w:color w:val="auto"/>
          <w:sz w:val="28"/>
          <w:szCs w:val="28"/>
          <w:lang w:val="en-US" w:eastAsia="zh-CN"/>
        </w:rPr>
        <w:t>6.3.2.防洪防淹措施</w:t>
      </w:r>
      <w:bookmarkEnd w:id="136"/>
      <w:bookmarkEnd w:id="137"/>
    </w:p>
    <w:p w14:paraId="0B73A2F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岳阳市年平均降水量为 1289.8～1556.2  毫米，呈春夏多、秋冬少， 东部多、西部少 的格局，春夏雨量占全年的 70%～73% ，降雨年际分布不均，最多达 2336.5  毫米，降雨 少的年份只有 750.9毫米。为保证施工安全，施工期间必须做好施工场地防洪及防淹工 作。</w:t>
      </w:r>
    </w:p>
    <w:p w14:paraId="640CAD8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1）掌握天气预报，分析天气变化，当遇有大雨、暴雨、雷阵雨等恶劣天气时，及 时停止清淤作业及修复作业；对雨污水管网改造及泵站已连续施工不能中断的项目，必须事前做好防雨防护，保证施工顺利进行和工程质量，工程安全不受影响。</w:t>
      </w:r>
    </w:p>
    <w:p w14:paraId="783AF15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2）各种露天使用的电气设备，闸箱的防雨措施要落实，电气设备应放在较高的干 燥处。电闸箱要有防雨盖，电焊机应加防护雨罩。雨季要检查现场电气设备的接零、接 地保护措施是否牢靠；漏电保护装置是否灵敏；各种电线绝缘接头是否良好。有损坏的 要及时调换，包好。</w:t>
      </w:r>
    </w:p>
    <w:p w14:paraId="1EDA77E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3）雨季进行基坑、基槽时，严格按照施工方案、技术质量措施和安全技术措施， 土方开挖前备好水泵，做好降排水的应急工作。基坑开挖时，在基坑四周设集水坑或排水沟，防止地面水灌入基坑。</w:t>
      </w:r>
    </w:p>
    <w:p w14:paraId="2A9F4B8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4）雨季施工，人工或机械挖土时，必须严格按规定放坡，坡度应比平常施工时适当放缓，多备塑料布覆盖，基坑上口 3m范围内不得有堆放物和弃土，基坑（槽）挖完 后及时组织垫层施工，并覆盖保护好。基坑周围设降水井和排水沟，随时保护排水畅通，减少积水。</w:t>
      </w:r>
    </w:p>
    <w:p w14:paraId="637EA28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5）机具停放地、库房、生活区域，都必须选在地势较高不易被水淹的地点，并有 可靠的排水防洪设施，预防洪水造成的危害。</w:t>
      </w:r>
    </w:p>
    <w:p w14:paraId="658ADFF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6）雨季到来之前，施工单位必须编制防洪，防淹应急预案，建立防洪，防洪应急 领导小组，明确各组织成员责任分工，并完成必要防洪、防洪应急物资储备。</w:t>
      </w:r>
    </w:p>
    <w:p w14:paraId="313751E7">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38" w:name="bookmark154"/>
      <w:bookmarkEnd w:id="138"/>
      <w:bookmarkStart w:id="139" w:name="bookmark155"/>
      <w:bookmarkEnd w:id="139"/>
      <w:bookmarkStart w:id="140" w:name="_Toc16334"/>
      <w:bookmarkStart w:id="141" w:name="_Toc7585"/>
      <w:r>
        <w:rPr>
          <w:rFonts w:hint="eastAsia" w:ascii="仿宋" w:hAnsi="仿宋" w:eastAsia="仿宋" w:cs="仿宋"/>
          <w:b/>
          <w:bCs/>
          <w:color w:val="auto"/>
          <w:sz w:val="28"/>
          <w:szCs w:val="28"/>
          <w:lang w:val="en-US" w:eastAsia="zh-CN"/>
        </w:rPr>
        <w:t>6.3.3.防噪声、防振动措施</w:t>
      </w:r>
      <w:bookmarkEnd w:id="140"/>
      <w:bookmarkEnd w:id="141"/>
    </w:p>
    <w:p w14:paraId="7F6E8EC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本工程主要噪声源包括泵站及雨污水管网改造工程施工机械设备等。</w:t>
      </w:r>
    </w:p>
    <w:p w14:paraId="049E9E25">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1）凡在居民稠密区进行强噪声作业的，严格控制作业时间，晚间作业不超过 22  时，早晨作业不早于 6时，特殊情况需连续作业（或夜间作业）的，应尽量采取降噪措施， 事先做好周围群</w:t>
      </w:r>
    </w:p>
    <w:p w14:paraId="6D79E19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众的工作，并报有关主管部门备案后方可施工。</w:t>
      </w:r>
    </w:p>
    <w:p w14:paraId="2D0FDB8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加强施工现场环境噪声的长期监测，采取专人管理的原则，根据测量结果填写建筑施工场地噪声测量记录表，凡超过《建筑施工场界环境噪声排放标准》标准的，要及时对施工现场噪声超标的有关因素进行调整，达到施工噪声不扰民的目的。</w:t>
      </w:r>
    </w:p>
    <w:p w14:paraId="095F0CD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3）尽量选用低噪声或备有消声降噪声设备的施工机械。施工现场的强噪声机械（如： 破碎锤、发电机、砂轮机等）要设置封闭的机械棚，以减少强噪声的扩散。</w:t>
      </w:r>
    </w:p>
    <w:p w14:paraId="552B165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4）对施工机械和运输车辆安装消声器并加强维修保养，降低噪音。钢筋加工场选择尽量远离居住区。车辆途经施工生活营地或居住场所时应减速慢行，不鸣喇叭。适当控制机械布置密度，条件允许时拉开一定距离，避免机械过于集中形成噪音叠加。</w:t>
      </w:r>
    </w:p>
    <w:p w14:paraId="4D4E1E3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5）在泵站修建临时隔音屏障，减少噪音传播。合理安排施工作业时间，尽量降低夜间车辆出入频率，夜间施工尽量不安排噪音很大的机械施工。</w:t>
      </w:r>
    </w:p>
    <w:p w14:paraId="53CB96EC">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42" w:name="bookmark157"/>
      <w:bookmarkEnd w:id="142"/>
      <w:bookmarkStart w:id="143" w:name="bookmark156"/>
      <w:bookmarkEnd w:id="143"/>
      <w:bookmarkStart w:id="144" w:name="_Toc22479"/>
      <w:bookmarkStart w:id="145" w:name="_Toc7254"/>
      <w:r>
        <w:rPr>
          <w:rFonts w:hint="eastAsia" w:ascii="仿宋" w:hAnsi="仿宋" w:eastAsia="仿宋" w:cs="仿宋"/>
          <w:b/>
          <w:bCs/>
          <w:color w:val="auto"/>
          <w:sz w:val="28"/>
          <w:szCs w:val="28"/>
          <w:lang w:val="en-US" w:eastAsia="zh-CN"/>
        </w:rPr>
        <w:t>6.3.4. 防火防爆措施</w:t>
      </w:r>
      <w:bookmarkEnd w:id="144"/>
      <w:bookmarkEnd w:id="145"/>
    </w:p>
    <w:p w14:paraId="70D2D35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1）根据生产运输及施工区消防要求，对施工区四周区带之间，设置环形的主、次道路网，既是运输道路，同时兼作消防车道，主、次干道的宽度能够保证消防车辆畅通无阻。</w:t>
      </w:r>
    </w:p>
    <w:p w14:paraId="247C5E2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2）消防给水按同一时间内发生一次考虑。施工区设生产消防双路给水管网，道路 一侧每隔不大于 120米处设置地上消火栓。按有关规范配置室内外消火栓，并还按《建筑灭火器配置设计规范》的要求，配备一定数量干粉灭火器。</w:t>
      </w:r>
    </w:p>
    <w:p w14:paraId="296A379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3）施工场地入口处设置砂箱和灭火器材。火灾报警电源和消防电源均采用两路电源供电，而且火灾报警装置由保安电源供电。</w:t>
      </w:r>
    </w:p>
    <w:p w14:paraId="04591F3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4）本项目火灾危险部位电器均采用防爆型，其防爆性能达到有关安全规程中的防爆要求。</w:t>
      </w:r>
    </w:p>
    <w:p w14:paraId="5608F37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5）按 GB50057《建筑物防雷设计规范》，对施工区所有设备和管道设置可靠的防静电和防雷接地设施。</w:t>
      </w:r>
    </w:p>
    <w:p w14:paraId="616A561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6）在施工区较明显的位置设置一定数量的严禁烟火标志，对一些有爆炸危险的场 所设“当心火灾，当心爆炸”等消防标志。</w:t>
      </w:r>
    </w:p>
    <w:p w14:paraId="286C8B9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7）定期检修消防设备及器材。定期对消防人员进行培训，人员要持证上岗。</w:t>
      </w:r>
    </w:p>
    <w:p w14:paraId="3E5BB2C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8）易燃易爆及有毒物品须设置用仓库、专人保管，并满足劳动保护规定。在施工 中，在可能有燃爆性气体的室内设自然通风及机械通风设施，</w:t>
      </w:r>
    </w:p>
    <w:p w14:paraId="7EABF095">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9）使燃爆性气体的浓度低于其爆炸下限。有爆炸危险的室内设不发火花地面。各 种用电设备均按国家标准做零接地保护。设备及管道均设有跨接和静电接地装置。在爆 炸和火灾危险场所严格按环境的危险类别选用相应的电气设备和灯具，并按有关防雷规 范的要求对建筑物采取相应的避雷措施。</w:t>
      </w:r>
    </w:p>
    <w:p w14:paraId="6A88F330">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46" w:name="bookmark159"/>
      <w:bookmarkEnd w:id="146"/>
      <w:bookmarkStart w:id="147" w:name="bookmark158"/>
      <w:bookmarkEnd w:id="147"/>
      <w:bookmarkStart w:id="148" w:name="_Toc24078"/>
      <w:bookmarkStart w:id="149" w:name="_Toc207"/>
      <w:r>
        <w:rPr>
          <w:rFonts w:hint="eastAsia" w:ascii="仿宋" w:hAnsi="仿宋" w:eastAsia="仿宋" w:cs="仿宋"/>
          <w:b/>
          <w:bCs/>
          <w:color w:val="auto"/>
          <w:sz w:val="28"/>
          <w:szCs w:val="28"/>
          <w:lang w:val="en-US" w:eastAsia="zh-CN"/>
        </w:rPr>
        <w:t>6.3.5.防电气伤害措施</w:t>
      </w:r>
      <w:bookmarkEnd w:id="148"/>
      <w:bookmarkEnd w:id="149"/>
    </w:p>
    <w:p w14:paraId="4A71F54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1.安全用电技术措施</w:t>
      </w:r>
    </w:p>
    <w:p w14:paraId="2DCDC45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1）电器设备的使用及维修人员必须持证上岗。</w:t>
      </w:r>
    </w:p>
    <w:p w14:paraId="0BF91CB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2）TN-S系统中，保护零线与工作零线应分开敷设， 保护零线应由工作接地线或 配电室的零线或第一级漏电保护器电源侧的零线引出；保护零线必须在配电室，配电线 路中间和末端至少三处作重复接地且与保护零线相连。</w:t>
      </w:r>
    </w:p>
    <w:p w14:paraId="0CCA6A9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3）保证正确可靠的接地与接零；工作接地电阻不得大于 4 欧姆，所有重复接地电 阻不得大于 10欧姆；在土壤电阻率大于 1000欧姆*米的地区工作接地电阻不得大于 30 欧姆；工作接地采用 3根 2.5m长∠50*5镀锌角钢垂直埋入地中，间隔 5m呈环状分布，上用 40*5镀锌扁铁焊接相连。重复接地采用一根 2.5m长∠50*5  镀锌角钢垂直埋入地中，上用螺栓与保护零线电气相连。</w:t>
      </w:r>
    </w:p>
    <w:p w14:paraId="6B0468E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4）在同一用电系统中不能一部分设备作保护接地，另一部分设备作保护接零。</w:t>
      </w:r>
    </w:p>
    <w:p w14:paraId="48BD5E9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5）电器设备的正常情况下不带电的金属外壳.框架.部件.金属操作台及靠近带电部分均应作保护接零。</w:t>
      </w:r>
    </w:p>
    <w:p w14:paraId="4EF5CF9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6）固定式用电设备有专用的开关箱，施工用电设备严格执行"一机一闸"制。</w:t>
      </w:r>
    </w:p>
    <w:p w14:paraId="79B4ADF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7）严格执行正确送、停电操作顺序，送电操作顺序为：总配电箱-分配电箱-开关箱；停电操作顺序为:开关箱-分配电箱-总配电箱。</w:t>
      </w:r>
    </w:p>
    <w:p w14:paraId="28C91EE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8）电器设备及配电装置内部及其周围不得有杂物，电器设备及配电装置应定期检 修，检修时应有统一组织和专人指挥；由相应级别的专业人员检修；不得带电作业；并 悬挂 "禁止合闸"标示牌；穿戴好专业防护用品。</w:t>
      </w:r>
    </w:p>
    <w:p w14:paraId="16F2470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9）如有特殊需要设置警卫照明和红色信号照明和事故照明，其电源应设置在施工 现场电源总开关前侧，并配备应急电源。</w:t>
      </w:r>
    </w:p>
    <w:p w14:paraId="11AF862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 电气设备防火技术措施</w:t>
      </w:r>
    </w:p>
    <w:p w14:paraId="23278E1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1）电气设备防火技术措施最主要的是必须熟悉现场供电系统的设置情况；及时掌握电气设备的分布情况，准确计算各回路的用电负荷的大小，避免超负荷用电情况的发生。</w:t>
      </w:r>
    </w:p>
    <w:p w14:paraId="63D45EA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2）根据现场电路及用电设备的特点去合理配置、整定、更换各种低压保护电器； 对电路和设备可能发生的短路，过载进行可靠的保护。</w:t>
      </w:r>
    </w:p>
    <w:p w14:paraId="48FE5E5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3）在电气设备装置和线路周围不堆放易燃、易爆、强腐蚀介质。</w:t>
      </w:r>
    </w:p>
    <w:p w14:paraId="285B8E2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4）使用火源应远离电器装置和供电线路。</w:t>
      </w:r>
    </w:p>
    <w:p w14:paraId="2AEE16E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5）在电气设备和线路相对集中的场所应配备灭火器械，并应禁止烟火。</w:t>
      </w:r>
    </w:p>
    <w:p w14:paraId="379E49F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6）加强电气设备相间绝缘和相地间绝缘，并合理设置电器防雷装置。 3.施工用电注意事项</w:t>
      </w:r>
    </w:p>
    <w:p w14:paraId="51583EE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1）导线必须是正规生产厂家生产的合格产品，电缆进场必须有完整的“三证”。</w:t>
      </w:r>
    </w:p>
    <w:p w14:paraId="1349FF3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2）三相五线制供电系统线路，每隔一公里工作零线及保护零线必须做重复接地。</w:t>
      </w:r>
    </w:p>
    <w:p w14:paraId="5DB7F59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3）在电缆线路路径上有可能使电缆受到机械损伤、化学作用、地下电流、振动、 热影响、腐蚀物质等危害的地段，应采取保护措施。</w:t>
      </w:r>
    </w:p>
    <w:p w14:paraId="0438574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4）电缆表面与地面的距离应不小于 0.7m ，且上下必须铺以不小于 100mm    厚的细 砂，并用砖块覆盖，穿越车道时应用槽钢保护。</w:t>
      </w:r>
    </w:p>
    <w:p w14:paraId="49DF5F25">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5）埋地电缆路径用模板制成醒目警示牌，上书“下有电缆、严禁开挖”每隔 10  米 设置一个，并加强日常巡查，防止损坏或丢失，若发生此类情况及时修复和完善。</w:t>
      </w:r>
    </w:p>
    <w:p w14:paraId="451F9090">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50" w:name="bookmark160"/>
      <w:bookmarkEnd w:id="150"/>
      <w:bookmarkStart w:id="151" w:name="bookmark161"/>
      <w:bookmarkEnd w:id="151"/>
      <w:bookmarkStart w:id="152" w:name="_Toc6715"/>
      <w:bookmarkStart w:id="153" w:name="_Toc518"/>
      <w:r>
        <w:rPr>
          <w:rFonts w:hint="eastAsia" w:ascii="仿宋" w:hAnsi="仿宋" w:eastAsia="仿宋" w:cs="仿宋"/>
          <w:b/>
          <w:bCs/>
          <w:color w:val="auto"/>
          <w:sz w:val="28"/>
          <w:szCs w:val="28"/>
          <w:lang w:val="en-US" w:eastAsia="zh-CN"/>
        </w:rPr>
        <w:t>6.3.6. 防毒措施</w:t>
      </w:r>
      <w:bookmarkEnd w:id="152"/>
      <w:bookmarkEnd w:id="153"/>
    </w:p>
    <w:p w14:paraId="7832B14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对毒物危害严重的生产装置内的设备和管道在满足生产工艺条件下，布置为敞开式，防止有毒物积累。设备、管道之间的连接设计要考虑密闭措施，对可能逸出毒物的生产应尽量采用自动化操作。</w:t>
      </w:r>
    </w:p>
    <w:p w14:paraId="2C638C3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泵站选用先进可靠的设备、阀门、管道、管件，对受压操作的设备和管道，加强维护与管理，严禁跑、冒、滴、漏现象发生，使有毒介质操作岗位介质浓度均控制在国家规定允许浓度以下。</w:t>
      </w:r>
    </w:p>
    <w:p w14:paraId="227277F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排出的有害废气经收集处理后液体送回系统，不凝气处理达标后排放。在分析化验 室有可能散发有害气体的岗位，设排气系统，气体处理达标后排放。在有可能泄漏易燃 有害气体的场所，设置可燃气体探测器，并把信号引入 DCS 系统报警。</w:t>
      </w:r>
    </w:p>
    <w:p w14:paraId="6421A72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有毒环境作业，施工单位必须制定有效防毒措施，在下达生产任务的同时进行有针对性的书面安全技术交底，贯彻“谁施工，谁负责”的原则。</w:t>
      </w:r>
    </w:p>
    <w:p w14:paraId="63211545">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对有毒岗位设置洗眼器并配置必要的空气呼吸器、防毒面具及防护眼镜等应急防护用品，以便事故时能及时自救。</w:t>
      </w:r>
    </w:p>
    <w:p w14:paraId="3054776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排水管网养护，配备必要的防毒面具、监测仪器、仪表和劳保用品；排水管网检修 时，严格按照有限空间作业有关规定执行；做好管沟支撑，沟边堆土不宜过高，要有防止管沟滑坡与倒塌的措施；污水管网维修时，一定要摸清管道两侧与交叉的各类管线，在开挖时对埋地的管线要有妥善处置的措施，避免工人触电或其它意外事故的发生。</w:t>
      </w:r>
    </w:p>
    <w:p w14:paraId="407C0C8F">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54" w:name="bookmark163"/>
      <w:bookmarkEnd w:id="154"/>
      <w:bookmarkStart w:id="155" w:name="bookmark162"/>
      <w:bookmarkEnd w:id="155"/>
      <w:bookmarkStart w:id="156" w:name="_Toc3051"/>
      <w:bookmarkStart w:id="157" w:name="_Toc16678"/>
      <w:r>
        <w:rPr>
          <w:rFonts w:hint="eastAsia" w:ascii="仿宋" w:hAnsi="仿宋" w:eastAsia="仿宋" w:cs="仿宋"/>
          <w:b/>
          <w:bCs/>
          <w:color w:val="auto"/>
          <w:sz w:val="28"/>
          <w:szCs w:val="28"/>
          <w:lang w:val="en-US" w:eastAsia="zh-CN"/>
        </w:rPr>
        <w:t>6.3.7. 防尘措施</w:t>
      </w:r>
      <w:bookmarkEnd w:id="156"/>
      <w:bookmarkEnd w:id="157"/>
    </w:p>
    <w:p w14:paraId="44C4DCB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1.建筑清理施工垃圾，使用封闭的专用垃圾道或采用容器吊运，严禁凌空抛撒造成 扬尘。施工垃圾要及时清运，清运时，适量洒水减少扬尘。</w:t>
      </w:r>
    </w:p>
    <w:p w14:paraId="2426C7E5">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2.拆除旧建筑物时，应配合洒水，减少扬尘污染。</w:t>
      </w:r>
    </w:p>
    <w:p w14:paraId="4517C1B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3.施工现场要在施工前做好施工道路的规划和设置，可利用设计中永久性的施工道路。如采用临时施工道路，基层要夯实，路面铺垫焦渣、细石，并随时洒水，减少道路扬尘。</w:t>
      </w:r>
    </w:p>
    <w:p w14:paraId="283DEDC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4.散水泥等其它易飞扬的细颗粒散体材料应尽量安排库内存放，如露天存放应采用严密苫盖，运输和卸运时防止遗洒飞扬，以减少扬尘。</w:t>
      </w:r>
    </w:p>
    <w:p w14:paraId="1C1F642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5.本区属居民稠密区，施工现场要制定洒水降尘制度，配备专用洒水设备及指定专人负责，在易产生扬尘的季节，施工现场要制定洒水降尘制度，配备专用洒水设备及指定专人负责，在易产生扬尘的季节，施工场地采取洒水降尘。</w:t>
      </w:r>
    </w:p>
    <w:p w14:paraId="1772CFB0">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58" w:name="bookmark164"/>
      <w:bookmarkEnd w:id="158"/>
      <w:bookmarkStart w:id="159" w:name="bookmark165"/>
      <w:bookmarkEnd w:id="159"/>
      <w:bookmarkStart w:id="160" w:name="_Toc19298"/>
      <w:bookmarkStart w:id="161" w:name="_Toc3948"/>
      <w:r>
        <w:rPr>
          <w:rFonts w:hint="eastAsia" w:ascii="仿宋" w:hAnsi="仿宋" w:eastAsia="仿宋" w:cs="仿宋"/>
          <w:b/>
          <w:bCs/>
          <w:color w:val="auto"/>
          <w:sz w:val="28"/>
          <w:szCs w:val="28"/>
          <w:lang w:val="en-US" w:eastAsia="zh-CN"/>
        </w:rPr>
        <w:t>6.3.8. 防污染措施</w:t>
      </w:r>
      <w:bookmarkEnd w:id="160"/>
      <w:bookmarkEnd w:id="161"/>
    </w:p>
    <w:p w14:paraId="37A45F8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1.施工临建区的生活污水经生化处理达到排放标准后排入不外流的地表水体，不得在附近形成新的积水洼地。施工废水按有关要求进行处理达标后排放，不污染周围水环境。</w:t>
      </w:r>
    </w:p>
    <w:p w14:paraId="35CCE87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2.为保证现场文明整洁，路面破除、基槽开挖等施工过程中产生的弃渣采用运输车 运送至指定弃土位置，并指定弃渣负责人。弃渣运输过程中渣土不得外漏环境。</w:t>
      </w:r>
    </w:p>
    <w:p w14:paraId="5756E20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施工过程中产生的泥浆，运输采用专门的泥浆运输车。泥浆车采用全封闭的罐式运输车。运输车在罐顶和底部设进浆口和排浆口。泥浆通过泥浆泵打入罐车，装满后，将进浆口封闭，运输至指定地点弃浆，通过排浆口排出。运输罐车的封闭性较好，杜绝了泥浆运输过程中的污染。</w:t>
      </w:r>
    </w:p>
    <w:p w14:paraId="20C6BB18">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62" w:name="bookmark167"/>
      <w:bookmarkEnd w:id="162"/>
      <w:bookmarkStart w:id="163" w:name="bookmark168"/>
      <w:bookmarkEnd w:id="163"/>
      <w:bookmarkStart w:id="164" w:name="_Toc31190"/>
      <w:bookmarkStart w:id="165" w:name="_Toc17888"/>
      <w:r>
        <w:rPr>
          <w:rFonts w:hint="eastAsia" w:ascii="仿宋" w:hAnsi="仿宋" w:eastAsia="仿宋" w:cs="仿宋"/>
          <w:b/>
          <w:bCs/>
          <w:color w:val="auto"/>
          <w:sz w:val="28"/>
          <w:szCs w:val="28"/>
          <w:lang w:val="en-US" w:eastAsia="zh-CN"/>
        </w:rPr>
        <w:t>6.3.9. 防腐蚀措施</w:t>
      </w:r>
      <w:bookmarkEnd w:id="164"/>
      <w:bookmarkEnd w:id="165"/>
    </w:p>
    <w:p w14:paraId="53212025">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 防腐用原材料应由生产厂家提供材料存储、保管、运输的特殊技术要求，入库存 储要分类清点，分类存放。</w:t>
      </w:r>
    </w:p>
    <w:p w14:paraId="7918F5B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2.材料应随用随领，并有专人记录所领取材料的批号和重量。</w:t>
      </w:r>
    </w:p>
    <w:p w14:paraId="791A63A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3.危险品要选择具有相当安全并与施工现场有相当距离的专用仓库存储。</w:t>
      </w:r>
    </w:p>
    <w:p w14:paraId="3B211AC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4.存储仓库周围应配备足够的消防器具，如：灭火器、消防水桶、砂子等。危险警 示牌已挂配齐全，并有醒目的警示标语。</w:t>
      </w:r>
    </w:p>
    <w:p w14:paraId="597083F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5.每种危险品的存储要保持适当的安全距离，并设置明显标志。</w:t>
      </w:r>
    </w:p>
    <w:p w14:paraId="7CFDE37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6.存储处应通风、阴凉、干燥，远离明火和热源，防止日光直射。 </w:t>
      </w:r>
    </w:p>
    <w:p w14:paraId="200B5A9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7.各种物质分类单独存放，并与酸类、氧化剂等隔离存放。</w:t>
      </w:r>
    </w:p>
    <w:p w14:paraId="01CF181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8.搬运过程应轻卸，不得撞击、翻滚、倾倒，防止包装容器损坏。</w:t>
      </w:r>
    </w:p>
    <w:p w14:paraId="1D662D2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9.配料员应由专职人员担任，外部人员不得擅自混配材料，以免材料发生化学反应，引起火灾。</w:t>
      </w:r>
    </w:p>
    <w:p w14:paraId="1E4E9E55">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10.材料随用随运，不得将危险物品存放在施工现场，施工作业要做到工完、料净、场地清。</w:t>
      </w:r>
    </w:p>
    <w:p w14:paraId="54375B24">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66" w:name="bookmark169"/>
      <w:bookmarkEnd w:id="166"/>
      <w:bookmarkStart w:id="167" w:name="bookmark170"/>
      <w:bookmarkEnd w:id="167"/>
      <w:bookmarkStart w:id="168" w:name="_Toc26784"/>
      <w:bookmarkStart w:id="169" w:name="_Toc12833"/>
      <w:r>
        <w:rPr>
          <w:rFonts w:hint="eastAsia" w:ascii="仿宋" w:hAnsi="仿宋" w:eastAsia="仿宋" w:cs="仿宋"/>
          <w:b/>
          <w:bCs/>
          <w:color w:val="auto"/>
          <w:sz w:val="28"/>
          <w:szCs w:val="28"/>
          <w:lang w:val="en-US" w:eastAsia="zh-CN"/>
        </w:rPr>
        <w:t>6.3.10.采光与照明</w:t>
      </w:r>
      <w:bookmarkEnd w:id="168"/>
      <w:bookmarkEnd w:id="169"/>
    </w:p>
    <w:p w14:paraId="71C4C5B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1.在深坑、陡坡等危险地段以及运输道路夜间施工应有足够的照明，并应增设红灯标志，以防发生伤亡事故。</w:t>
      </w:r>
    </w:p>
    <w:p w14:paraId="4D029E3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2.在泵站施工现场预备发电机一台，如基坑施工过程中施工现场遇到停电，应立即启动发电机，以备施工现场的需求，夜间施工及上下通道应有足够的照明。</w:t>
      </w:r>
    </w:p>
    <w:p w14:paraId="553324A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3.夜间工作时，作业区与驾驶室内应有足够的照明设施，灯具应齐全完好。</w:t>
      </w:r>
    </w:p>
    <w:p w14:paraId="2C2056D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4.现场照明应采用高光效、长寿命的照明光源。对需大面积照明的场所，应采用高压汞灯、高压钠灯或混光用的卤钨灯等。</w:t>
      </w:r>
    </w:p>
    <w:p w14:paraId="2A4A6C8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5.照明器具和器材的质量应符合国家现行有关强制性标准的规定，不得使用绝缘老化或破损的器具和器材；</w:t>
      </w:r>
    </w:p>
    <w:p w14:paraId="7AFE21D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6. 照明：施工现场的照明首先注意与人的密切关系，在施工作业场所灯具离地面高度低于2.5m场所的照明，如局部照明灯、行灯、标灯等，电源电压不应大于 36V；潮湿场所或在金属地点施工照明不超过 12V。</w:t>
      </w:r>
    </w:p>
    <w:p w14:paraId="0C9C04DE">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70" w:name="bookmark171"/>
      <w:bookmarkEnd w:id="170"/>
      <w:bookmarkStart w:id="171" w:name="bookmark172"/>
      <w:bookmarkEnd w:id="171"/>
      <w:bookmarkStart w:id="172" w:name="_Toc11200"/>
      <w:bookmarkStart w:id="173" w:name="_Toc9268"/>
      <w:r>
        <w:rPr>
          <w:rFonts w:hint="eastAsia" w:ascii="仿宋" w:hAnsi="仿宋" w:eastAsia="仿宋" w:cs="仿宋"/>
          <w:b/>
          <w:bCs/>
          <w:color w:val="auto"/>
          <w:sz w:val="28"/>
          <w:szCs w:val="28"/>
          <w:lang w:val="en-US" w:eastAsia="zh-CN"/>
        </w:rPr>
        <w:t>6.3.11.安全标志</w:t>
      </w:r>
      <w:bookmarkEnd w:id="172"/>
      <w:bookmarkEnd w:id="173"/>
    </w:p>
    <w:p w14:paraId="1696704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施工现场醒目处设置注意安全、禁止吸烟、必须系安全带、必须戴安全帽、必须穿防护服等标志。</w:t>
      </w:r>
    </w:p>
    <w:p w14:paraId="5AA0358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施工现场及道路坑、沟、洞处设置当心坑洞标志。</w:t>
      </w:r>
    </w:p>
    <w:p w14:paraId="27BB437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施工现场较宽的沟、坑及高空分离处设置禁止跨越标志。</w:t>
      </w:r>
    </w:p>
    <w:p w14:paraId="74B3283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未固定设备、未经验收合格的脚手架及未安装牢固的构件设置禁止攀登、禁止架梯等标志。</w:t>
      </w:r>
    </w:p>
    <w:p w14:paraId="6A45846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吊装作业区域设置警戒标识线并设置禁止通行、禁止入内、禁止停留、当心吊物、当心落物、当心坠落等标志。</w:t>
      </w:r>
    </w:p>
    <w:p w14:paraId="193FD4B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高处作业、多层作业下方设置禁止通行、禁放易燃物、禁止停留等标志。高处通道及地面安全通道设置安全通道标志。</w:t>
      </w:r>
    </w:p>
    <w:p w14:paraId="4B8DBEC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高处作业位置设置必须系安全带、禁止抛物、当心坠落、当心落物等标志。</w:t>
      </w:r>
    </w:p>
    <w:p w14:paraId="3F24400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梯子入口及高空梯子通道设立注意安全、当心滑跌、当心坠落等标志。电源及配电箱设置当心触电等标志。</w:t>
      </w:r>
    </w:p>
    <w:p w14:paraId="23DE23C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电器设备试、检验或接线操作，设置有人操作，禁止合闸等标志。临时电缆（地面或架空）设置当心电缆标志。</w:t>
      </w:r>
    </w:p>
    <w:p w14:paraId="3F3B643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氧气瓶、乙炔瓶存放点设置禁止烟火、当心火灾等标志。</w:t>
      </w:r>
    </w:p>
    <w:p w14:paraId="25992E7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仓库及临时存放易燃易爆物品地点设置禁止吸烟、禁止火种等标志。射线作业按规定设置安全警戒标识线，并设置当心电离辐射标志。</w:t>
      </w:r>
    </w:p>
    <w:p w14:paraId="63DBB7B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施工道路设立当心车辆及其它限速、限载等标志。施工现场及办公室设置火灾报警电话标志。施工现场洞口作业处应设置防护栏杆并设置当心滑跌、当心坠落等标志。</w:t>
      </w:r>
    </w:p>
    <w:p w14:paraId="4C5B91F9">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74" w:name="bookmark173"/>
      <w:bookmarkEnd w:id="174"/>
      <w:bookmarkStart w:id="175" w:name="bookmark176"/>
      <w:bookmarkEnd w:id="175"/>
      <w:bookmarkStart w:id="176" w:name="bookmark174"/>
      <w:bookmarkEnd w:id="176"/>
      <w:bookmarkStart w:id="177" w:name="bookmark175"/>
      <w:bookmarkEnd w:id="177"/>
      <w:bookmarkStart w:id="178" w:name="_Toc14439"/>
      <w:r>
        <w:rPr>
          <w:rFonts w:hint="eastAsia" w:ascii="仿宋" w:hAnsi="仿宋" w:eastAsia="仿宋" w:cs="仿宋"/>
          <w:b/>
          <w:bCs/>
          <w:color w:val="auto"/>
          <w:sz w:val="28"/>
          <w:szCs w:val="28"/>
          <w:lang w:val="en-US" w:eastAsia="zh-CN"/>
        </w:rPr>
        <w:t>6.4.安全卫生防范防护措施</w:t>
      </w:r>
      <w:bookmarkEnd w:id="178"/>
    </w:p>
    <w:p w14:paraId="7BEA6ADB">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79" w:name="bookmark257"/>
      <w:bookmarkEnd w:id="179"/>
      <w:bookmarkStart w:id="180" w:name="_Toc13634"/>
      <w:bookmarkStart w:id="181" w:name="_Toc20412"/>
      <w:r>
        <w:rPr>
          <w:rFonts w:hint="eastAsia" w:ascii="仿宋" w:hAnsi="仿宋" w:eastAsia="仿宋" w:cs="仿宋"/>
          <w:b/>
          <w:bCs/>
          <w:color w:val="auto"/>
          <w:sz w:val="28"/>
          <w:szCs w:val="28"/>
          <w:lang w:val="en-US" w:eastAsia="zh-CN"/>
        </w:rPr>
        <w:t>6.4.1.施工阶段安全注意事项</w:t>
      </w:r>
      <w:bookmarkEnd w:id="180"/>
      <w:bookmarkEnd w:id="181"/>
    </w:p>
    <w:p w14:paraId="61B6416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施工单位必须取得安全生产许可证，并应遵守有关施工安全、劳动保护、防火、防毒的法律、法规，建立安全管理体系和安全生产责任制，确保安全施工。对不开槽施工、过江河管道或深基槽等特殊作业，应制定专项施工方案。</w:t>
      </w:r>
    </w:p>
    <w:p w14:paraId="6DDEFE8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施工前应对施工过程存在的风险源进行辨识，对危险源可能导致的事故（如坍塌、高处坠落、物体打击、机械伤害、触电、起重伤害、淹溺、爆炸、中毒、窒息、火灾、交通事故、中暑等）进行分析，并应进行危险源风险评估，编制风险评估报告，制定控制措施；施工前应进行现场调查，按照相关的国家、地方、行业的法律法规、标准规范及长江生态环保集团的规章制度，依据风险评估报告在施工组织设计中编制预防潜在事 故的安全技术措施和应急预案，并报监理、项目公司及相关管线权属单位审批。</w:t>
      </w:r>
    </w:p>
    <w:p w14:paraId="7D33A0E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3.沟槽开挖及支护</w:t>
      </w:r>
    </w:p>
    <w:p w14:paraId="27CC882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施工现场管线开挖前，施工单位须联系燃气、供电、给水、通信、排水等地下管线管理部门和权属单位到施工现场对现场管线情况进行交底，交底时需明确各类管线最近的阀门或控制开关地点、相关操作联系人的联系方式。交底须形成书面记录，并现场签字确认，物探单位参加现场交底，交底记录或材料由施工单位存档。</w:t>
      </w:r>
    </w:p>
    <w:p w14:paraId="5D41A9B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（2）对于施工图标明和现场管线交底指出的管线，采用人工探槽的方式，确定管线的具体位置和走向。未发现的管道，须向二边延续探槽，没有找到之前，严禁使用机械进行全面开挖。</w:t>
      </w:r>
    </w:p>
    <w:p w14:paraId="2A3B09B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（3）正式开挖前，施工单位技术负责人、安全负责人要对现场负责人、施工机械操作人员、现场旁站和监督人员进行安全技术交底，明确开挖方法、应急处置措施。</w:t>
      </w:r>
    </w:p>
    <w:p w14:paraId="2CF4FB7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（4）正式开挖施工时，施工单位须请管线权属单位安排专人在开挖现场进行旁站，同时派专职安全员对开挖过程进行监督。物探单位和监理单位派人旁站。当有一方人员不在时，禁止开挖。</w:t>
      </w:r>
    </w:p>
    <w:p w14:paraId="1A04A87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（5）管网开挖时施工现场严禁烟火，严防管网探挖过程中天然气管遇明火发生爆燃事故。</w:t>
      </w:r>
    </w:p>
    <w:p w14:paraId="52D4432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（6）军用光缆所在位置前后 3 米范围内严禁私自动工，该区域施工前应由施工单位联络员联系军方，待军方完成现场交底后方可施工。军用光缆开挖过程中，必须有监理单位、施工项目部人员全程旁站。</w:t>
      </w:r>
    </w:p>
    <w:p w14:paraId="19A10BE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7）施工范围内有地下燃气管线等重要燃气设施的，建设单位应当会同施工单位与管道燃气经营者共同制定燃气设施保护方案。建设单位、施工单位应当采取相应的安全保护措施，确保燃气设施运行安全；管道燃气经营者应当派专业人员进行现场指导。需遵循岳阳市燃气管线开挖施工五不准要求：燃气管线 1 米之内不准机械化施工；没有探明燃气管道情况的一律不准施工；没有办理施工许可证的一律不准施工；没有签订燃气设施保护协议的不准施工；燃气经营企业现场安全监督管理员未在场的不准施工。</w:t>
      </w:r>
    </w:p>
    <w:p w14:paraId="27FA3C4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（8）涉及城市公共供水设施的建设工程开工前，建设单位或者施工单位应当向城市自来水供水企业查明地下供水管网情况。施工影响城市公共供水设施安全的， 建设单位或者施工单位应当与城市自来水供水企业商定相应的保护措施， 由施工单位负责实施。</w:t>
      </w:r>
    </w:p>
    <w:p w14:paraId="5EF4ACD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（9）支撑构件安装应牢固、安全可靠，位置正确。</w:t>
      </w:r>
    </w:p>
    <w:p w14:paraId="74271AF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（10）基坑开挖时请务必加强对邻近构（建）筑物的保护；施工单位应采取有效措 施控制施工降排水对周边环境的影响。</w:t>
      </w:r>
    </w:p>
    <w:p w14:paraId="0E70ACB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（11）应加强对原边坡和新近开挖边坡的保护；</w:t>
      </w:r>
    </w:p>
    <w:p w14:paraId="3E394E3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12 ）管沟槽时开挖边坡坡率根据现行 《给水排水管道工程施工及验收规范》（GB50268-2008）第 4 章的有关规定或地勘报告提供的临时坡率执行。如开挖深度较大，</w:t>
      </w:r>
    </w:p>
    <w:p w14:paraId="67248A1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应根据现场具体情况将临时开挖边坡坡度适当放缓，采取必要的措施保证边坡稳定。在不稳定土层中应增设沟槽支撑。沟槽与地下管线及其它设施水平距离较近时应对沟槽支撑进行加强。在欠稳定边坡地带必须分段跳槽开挖，并做好基坑支护，采取有效措施保证施工安全。沟槽挖深较大时，应确定分层开挖的深度。</w:t>
      </w:r>
    </w:p>
    <w:p w14:paraId="37F1BB6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13）采用撑板支撑，支撑应经常检查，发现支撑构件有弯曲、松动、移位或劈裂等迹象时，应及时处理；雨期及春季解冻时期应加强检查；拆除支撑前，应对沟槽两侧的建筑物、构筑物和槽壁进行安全检查，并应制定拆除支撑的作业要求和安全措施；拆除单层密排撑板支撑时，应先回填至下层横撑底面，再拆除下层横撑，待回填至半槽以上，再拆除上层横撑；一次拆除有危险时，宜采取替换拆撑法拆除支撑。</w:t>
      </w:r>
    </w:p>
    <w:p w14:paraId="1082F5B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（14）施工期间基坑开挖出的弃土不得堆放于基坑顶，并应避免其它基坑顶超载的情况发生。</w:t>
      </w:r>
    </w:p>
    <w:p w14:paraId="6EE714C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（15）注意施工期间坡面防护，基坑监测相关情况。</w:t>
      </w:r>
    </w:p>
    <w:p w14:paraId="6B00098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（16）沟槽每侧临时堆土或施加其他荷载时.应符合下列规定：①不得影响建(构)筑物、各种管线和其他设施的安全； ②不得掩埋消火栓、管道闸阀、雨水口、测量标志以及各种地下管道的井盖，且不得妨碍其正常使用；③堆土距沟槽边缘不小于 0.8m，且高度不应超过 1.5m；沟槽边堆置土方不得超过设计堆置高度。</w:t>
      </w:r>
    </w:p>
    <w:p w14:paraId="12FE9EC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17）各分项工程应按照施工技术标准进行质量控制，每分项工程完成后，必须进行检验；相关各分项工程之间，必须进行交接检验，所有隐蔽分项工程必须进行隐蔽验收，未经检验或验收不合格不得进行下道分项工程。</w:t>
      </w:r>
    </w:p>
    <w:p w14:paraId="2633DD0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（18）管网回填过程中，要严格注意已开挖管线的保护工作，在管线附近 1 米范围内严禁使用大型设备。回填时采取防止管道发生位移或损伤的措施；雨期应采取措施防止管道漂浮。</w:t>
      </w:r>
    </w:p>
    <w:p w14:paraId="7D3B1BF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（19）施工单位技术和安全负责人结合项目施工危险源辨识，制定相应的管控措施。并组织编制管网施工突发应急预案，并报监理审核、建设单位审批、报备至地方市、区应急管理局。</w:t>
      </w:r>
    </w:p>
    <w:p w14:paraId="560834F0">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82" w:name="bookmark178"/>
      <w:bookmarkEnd w:id="182"/>
      <w:bookmarkStart w:id="183" w:name="bookmark177"/>
      <w:bookmarkEnd w:id="183"/>
      <w:bookmarkStart w:id="184" w:name="_Toc2257"/>
      <w:bookmarkStart w:id="185" w:name="_Toc5215"/>
      <w:r>
        <w:rPr>
          <w:rFonts w:hint="eastAsia" w:ascii="仿宋" w:hAnsi="仿宋" w:eastAsia="仿宋" w:cs="仿宋"/>
          <w:b/>
          <w:bCs/>
          <w:color w:val="auto"/>
          <w:sz w:val="28"/>
          <w:szCs w:val="28"/>
          <w:lang w:val="en-US" w:eastAsia="zh-CN"/>
        </w:rPr>
        <w:t>6.4.2.管道维护安全注意事项</w:t>
      </w:r>
      <w:bookmarkEnd w:id="184"/>
      <w:bookmarkEnd w:id="185"/>
    </w:p>
    <w:p w14:paraId="6590FB2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维护作业前，应对作业人员进行安全交底，告知作业内容、安全注意事项及应采取的安全措施，并应履行签认手续。维护作业前，作业人员应对作业设备、工具进行安全检查，当发现有安全问题时应立即更换，严禁使用不合格的设备、工具。</w:t>
      </w:r>
    </w:p>
    <w:p w14:paraId="5380886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2.在进行路面作业时，维护作业人员应穿戴配有反光标志的安全警示服并正确佩戴 和使用劳动防护用品；未按规定穿戴安全警示服及佩戴和使用劳动防护用品的人员，不得上岗作业。</w:t>
      </w:r>
    </w:p>
    <w:p w14:paraId="0C46332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3.维护作业区域应采取设置安全警示标志等防护措施；夜间作业时，应在作业区域周边明显处设置警示灯；作业完毕，应及时清除障碍物。维护作业现场严禁吸烟，未经许可严禁动用明火。</w:t>
      </w:r>
    </w:p>
    <w:p w14:paraId="6ABDB92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4.当维护作业人员进入排水管道内部检查、维护作业时，必须同时符合下列各项要 求： ①管径不得小于 0.8m；②管内流速不得大于 0.5m/s； ③水深不得大于 0.5m； ④充 满度不得大于 50%。</w:t>
      </w:r>
    </w:p>
    <w:p w14:paraId="0154D415">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5.当维护作业现场井盖开启后，必须有人在现场监护或在井盖周围设置明显的防护栏及警示标志。开启与关闭井盖应使用专用工具，严禁直接用手操作。井盖开启后应在迎车方向顺行放置稳固，井盖上严禁站人。开启压力井盖时，应采取相应的防爆措施。</w:t>
      </w:r>
    </w:p>
    <w:p w14:paraId="18F21A1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6.除工作车辆与人员外，应采取措施防止其他车辆、行人进入作业区域。</w:t>
      </w:r>
    </w:p>
    <w:p w14:paraId="37A1FB3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7.潜水检查的管渠管径或渠内高不得小于 1200mm ，流速不得大于 0.5m/s 。从事管渠潜水检查作业的潜水员应经专门安全作业培训，取得相应资格，方可上岗作业。</w:t>
      </w:r>
    </w:p>
    <w:p w14:paraId="34F5FE7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8.当巡视人员在巡视中发现井盖和雨水箅缺失或损坏后，应立即设置警示标志，并 在 6h内修补恢复；当相关排水管理单位接报井盖和雨水箅缺失或损坏信息后，必须在 2h 内安放护栏和警示标志，并应在 6h 内修补恢复。</w:t>
      </w:r>
    </w:p>
    <w:p w14:paraId="7A1BC16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9.排水设备、排水管渠的运行管理、安全操作、巡视、维护保养及维修更换等按照《城镇排水管道维护安全技术规程》、《城镇排水管渠与泵站运行、维护及安全技术规程》和《城镇污水处理厂运行、维护及安全技术规程》等相关规定执行。</w:t>
      </w:r>
    </w:p>
    <w:p w14:paraId="0154C7FC">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86" w:name="bookmark179"/>
      <w:bookmarkEnd w:id="186"/>
      <w:bookmarkStart w:id="187" w:name="bookmark180"/>
      <w:bookmarkEnd w:id="187"/>
      <w:bookmarkStart w:id="188" w:name="_Toc22542"/>
      <w:bookmarkStart w:id="189" w:name="_Toc21309"/>
      <w:r>
        <w:rPr>
          <w:rFonts w:hint="eastAsia" w:ascii="仿宋" w:hAnsi="仿宋" w:eastAsia="仿宋" w:cs="仿宋"/>
          <w:b/>
          <w:bCs/>
          <w:color w:val="auto"/>
          <w:sz w:val="28"/>
          <w:szCs w:val="28"/>
          <w:lang w:val="en-US" w:eastAsia="zh-CN"/>
        </w:rPr>
        <w:t>6.4.3.井下作业安全注意事项</w:t>
      </w:r>
      <w:bookmarkEnd w:id="188"/>
      <w:bookmarkEnd w:id="189"/>
    </w:p>
    <w:p w14:paraId="5F710A3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井下作业，指在排水管道、检查井、闸井、集水池等市政排水设施内进行的有限空 间维护作</w:t>
      </w:r>
      <w:bookmarkStart w:id="190" w:name="bookmark258"/>
      <w:bookmarkEnd w:id="190"/>
      <w:r>
        <w:rPr>
          <w:rFonts w:hint="eastAsia" w:ascii="仿宋" w:hAnsi="仿宋" w:eastAsia="仿宋" w:cs="仿宋"/>
          <w:color w:val="000000" w:themeColor="text1"/>
          <w:sz w:val="28"/>
          <w:szCs w:val="28"/>
          <w:lang w:val="en-US" w:eastAsia="zh-CN"/>
          <w14:textFill>
            <w14:solidFill>
              <w14:schemeClr w14:val="tx1"/>
            </w14:solidFill>
          </w14:textFill>
        </w:rPr>
        <w:t>业。</w:t>
      </w:r>
    </w:p>
    <w:p w14:paraId="04DF5DC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1.下井作业人员必须经过专业安全技术培训、考核，具备下井作业资格，并应掌握人工急救技能和防护用具、照明、通信设备的使用方法。作业单位应为下井作业人员建立个人培训档案。</w:t>
      </w:r>
    </w:p>
    <w:p w14:paraId="060314A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2.井下作业时，必须配备气体检测仪器和井下作业专用工具，并培训作业人员掌握正确的使用方法。</w:t>
      </w:r>
    </w:p>
    <w:p w14:paraId="3AEC0E3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3.井下作业必须履行审批手续，严格按照《长江环保集团重点危险作业程序管理标准》和《长江生态环保集团有限公司湖南省区域公司有限空间作业安全管理办法（试行）》等相关规定要求执行。</w:t>
      </w:r>
    </w:p>
    <w:p w14:paraId="009F15C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4.井下作业前，维护作业单位必须检测管道内有害气体。</w:t>
      </w:r>
    </w:p>
    <w:p w14:paraId="3325D1D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5.下井作业前，维护作业单位应做好下列工作：①应查清管径、水深、积泥厚度等；</w:t>
      </w:r>
    </w:p>
    <w:p w14:paraId="4A7DA72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②应查清附近工厂污水排放情况，并做好截流工作；③应制定井下作业方案，并尽量避 免潜水作业；④应对作业人员进行安全交底，告知作业内容和安全防护措施及自救互救 的方法；⑤应做好管道的降水、通风以及照明、通信等工作； ⑥应检查下井专用设备是 否配备齐全、安全有效。</w:t>
      </w:r>
    </w:p>
    <w:p w14:paraId="3000B23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6.井下作业时，必须进行连续气体检测，且井上监护人员不得少于两人；进入管道 内作业时，井室内应设置专人呼应和监护，监护人员严禁擅离职守。</w:t>
      </w:r>
    </w:p>
    <w:p w14:paraId="3B54F7A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7.井内水泵运行时严禁人员下井；作业人员应佩戴供压缩空气的隔离式防护装具、安全带、安全绳、安全帽等防护用品；作业人员上、下井应使用安全可靠的专用爬梯；监护人员应密切观察作业人员情况，随时检查空压机、供气管、通信设施、安全绳等下井设备的安全运行情况，发现问题应及时采取措施；下井人员连续作业时间不得超过 1h；传递作业工具和提升杂物时，应用绳索系牢，井底作业人员应躲避；潜水作业应符合现 行行业标准《公路工程施工安全技术规程》 JTJ076 的相关规定；当发现有中毒危险时，必须立即停止作业，并组织作业人员迅速撤离现场；作业现场应配备应急装备、器具。</w:t>
      </w:r>
    </w:p>
    <w:p w14:paraId="1E8020D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8.井下作业前，应开启作业井盖和其上下游井盖进行自然通风，且通风时间不应小 于 30min 。当排水管道经过自然通风后，井下气体浓度仍不符合规定时，应进行机械通 风。管道内机械通风的平均风速不应小于 0.8m/s。有毒有害、 易燃易爆气体浓度变化较大的作业场所应连续进行机械通风；通风后，井下的含氧量及有毒有害、易燃易爆气体 浓度必须符合《城镇排水管道维护安全技术规程》CJJ6-2009  的有关规定。</w:t>
      </w:r>
    </w:p>
    <w:p w14:paraId="10E0024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9.作业现场照明应使用便携式防爆灯；井下作业面上的照度不宜小于 50lx；作业现 场宜采用专用通信设备。</w:t>
      </w:r>
    </w:p>
    <w:p w14:paraId="2BD804A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10.气体检测设备必须按相关规定定期进行检定，检定合格后方可使用。井下作业 时，应使用隔离式防毒面具，不应使用过滤式防毒面具和半隔离式防毒面具以及氧气呼 吸设备。防护设备必须按相关规定定期进行维护检查， 严禁使用质量不合格的防毒和防 护设备。安全带应采用悬挂双背带式安全带。使用频繁的安全带、安全绳应经常进行外 观检查，发现异常立即更换。夏季作业现场应配置防晒及防暑降温药品和物品。</w:t>
      </w:r>
    </w:p>
    <w:p w14:paraId="0AFB7C6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11.维护作业单位必须制定中毒、窒息等事故应急救援预案，并应按相关规定定期 进行演练。当需下井抢救时， 抢救人员必须在做好个人安全防护并有专人监护下进行下 井抢救，必须佩戴好便携式空气呼吸器、悬挂双背带式安全带，并系好安全绳，严禁盲目施救。</w:t>
      </w:r>
    </w:p>
    <w:p w14:paraId="6274A45D">
      <w:pPr>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br w:type="page"/>
      </w:r>
    </w:p>
    <w:p w14:paraId="5D3A7D8D">
      <w:pPr>
        <w:pStyle w:val="2"/>
        <w:keepNext w:val="0"/>
        <w:keepLines w:val="0"/>
        <w:pageBreakBefore w:val="0"/>
        <w:widowControl/>
        <w:kinsoku/>
        <w:wordWrap/>
        <w:overflowPunct/>
        <w:topLinePunct w:val="0"/>
        <w:autoSpaceDE/>
        <w:autoSpaceDN/>
        <w:bidi w:val="0"/>
        <w:adjustRightInd/>
        <w:snapToGrid/>
        <w:spacing w:before="147" w:beforeLines="50" w:beforeAutospacing="0" w:after="147" w:afterLines="50" w:afterAutospacing="0" w:line="360" w:lineRule="auto"/>
        <w:jc w:val="center"/>
        <w:textAlignment w:val="auto"/>
        <w:rPr>
          <w:rFonts w:hint="eastAsia" w:ascii="仿宋" w:hAnsi="仿宋" w:eastAsia="仿宋" w:cs="仿宋"/>
          <w:color w:val="auto"/>
          <w:sz w:val="28"/>
          <w:szCs w:val="28"/>
          <w:lang w:val="en-US" w:eastAsia="zh-CN"/>
        </w:rPr>
      </w:pPr>
      <w:bookmarkStart w:id="191" w:name="_Toc10818"/>
      <w:r>
        <w:rPr>
          <w:rFonts w:hint="eastAsia" w:ascii="仿宋" w:hAnsi="仿宋" w:eastAsia="仿宋" w:cs="仿宋"/>
          <w:color w:val="auto"/>
          <w:sz w:val="28"/>
          <w:szCs w:val="28"/>
          <w:lang w:val="en-US" w:eastAsia="zh-CN"/>
        </w:rPr>
        <w:t>七 节能设计</w:t>
      </w:r>
      <w:bookmarkEnd w:id="191"/>
    </w:p>
    <w:p w14:paraId="5EEB0507">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92" w:name="_Toc31878"/>
      <w:r>
        <w:rPr>
          <w:rFonts w:hint="eastAsia" w:ascii="仿宋" w:hAnsi="仿宋" w:eastAsia="仿宋" w:cs="仿宋"/>
          <w:b/>
          <w:bCs/>
          <w:color w:val="auto"/>
          <w:sz w:val="28"/>
          <w:szCs w:val="28"/>
          <w:lang w:val="en-US" w:eastAsia="zh-CN"/>
        </w:rPr>
        <w:t>7.1 编制依据</w:t>
      </w:r>
      <w:bookmarkEnd w:id="192"/>
      <w:r>
        <w:rPr>
          <w:rFonts w:hint="eastAsia" w:ascii="仿宋" w:hAnsi="仿宋" w:eastAsia="仿宋" w:cs="仿宋"/>
          <w:b/>
          <w:bCs/>
          <w:color w:val="auto"/>
          <w:sz w:val="28"/>
          <w:szCs w:val="28"/>
          <w:lang w:val="en-US" w:eastAsia="zh-CN"/>
        </w:rPr>
        <w:t xml:space="preserve"> </w:t>
      </w:r>
    </w:p>
    <w:p w14:paraId="376AFE1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根据国家发改委《固定资产投资项目节能审查办法》国家发改委 </w:t>
      </w:r>
    </w:p>
    <w:p w14:paraId="59972BE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（2016）年第 44 号令，本项目的合理用能及节能设计规范如下： </w:t>
      </w:r>
    </w:p>
    <w:p w14:paraId="18A3B70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《中华人民共和国节约能源法》； </w:t>
      </w:r>
    </w:p>
    <w:p w14:paraId="3AFBCF4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《中华人民共和国可再生能源法》； </w:t>
      </w:r>
    </w:p>
    <w:p w14:paraId="767420B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《国务院关于加强节能工作的决定》（国发〔2006〕28 号）； </w:t>
      </w:r>
    </w:p>
    <w:p w14:paraId="1CA25105">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《国务院关于印发节能减排综合性工作方案的通知》（国发〔2007〕15号）； </w:t>
      </w:r>
    </w:p>
    <w:p w14:paraId="339590B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《固定资产投资项目节能审查办法》国家发改委（2016）年第 44 号令； </w:t>
      </w:r>
    </w:p>
    <w:p w14:paraId="5708077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关于印发《湖南省固定资产投资项目节能审查实施办法》的通知（湘发改环资〔2018〕449 号）。 </w:t>
      </w:r>
    </w:p>
    <w:p w14:paraId="0619A1DD">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93" w:name="_Toc2351"/>
      <w:r>
        <w:rPr>
          <w:rFonts w:hint="eastAsia" w:ascii="仿宋" w:hAnsi="仿宋" w:eastAsia="仿宋" w:cs="仿宋"/>
          <w:b/>
          <w:bCs/>
          <w:color w:val="auto"/>
          <w:sz w:val="28"/>
          <w:szCs w:val="28"/>
          <w:lang w:val="en-US" w:eastAsia="zh-CN"/>
        </w:rPr>
        <w:t>7.2 节能原则和要求</w:t>
      </w:r>
      <w:bookmarkEnd w:id="193"/>
      <w:r>
        <w:rPr>
          <w:rFonts w:hint="eastAsia" w:ascii="仿宋" w:hAnsi="仿宋" w:eastAsia="仿宋" w:cs="仿宋"/>
          <w:b/>
          <w:bCs/>
          <w:color w:val="auto"/>
          <w:sz w:val="28"/>
          <w:szCs w:val="28"/>
          <w:lang w:val="en-US" w:eastAsia="zh-CN"/>
        </w:rPr>
        <w:t xml:space="preserve"> </w:t>
      </w:r>
    </w:p>
    <w:p w14:paraId="23EA3E8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加快建设节约型社会，是贯彻科学发展观的必然要求。科学发展观是我们党对我国现代化建设指导思想的重大发展。贯彻落实科学发展观的一个重要方面，就是要处理好经济建设、人口增长、资源利用、环境保护的关系。在节约资源、保护环境的前提下实现经济较快发展，促进人与自然和谐相处，提高人民生活水平和生活质量。因此，合理利用能源、降低能耗被列为经济发展的重大课题。 </w:t>
      </w:r>
    </w:p>
    <w:p w14:paraId="77723BE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节能工作是一种特定形式的“能源开发 ”，是解决能源供应紧张、保护能源资源、保护地球环境的有效途径。根据《中华人民共和国节约能源法》规定，本项目的建设方案设计要体现合理利用和节约能源的方针，节能方案应符合相关建设标准、技术标准和《中国节能技术政策大纲》中的节能要求。 </w:t>
      </w:r>
    </w:p>
    <w:p w14:paraId="550B5EAB">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94" w:name="_Toc31877"/>
      <w:r>
        <w:rPr>
          <w:rFonts w:hint="eastAsia" w:ascii="仿宋" w:hAnsi="仿宋" w:eastAsia="仿宋" w:cs="仿宋"/>
          <w:b/>
          <w:bCs/>
          <w:color w:val="auto"/>
          <w:sz w:val="28"/>
          <w:szCs w:val="28"/>
          <w:lang w:val="en-US" w:eastAsia="zh-CN"/>
        </w:rPr>
        <w:t>7.3 项目能源消耗情况</w:t>
      </w:r>
      <w:bookmarkEnd w:id="194"/>
      <w:r>
        <w:rPr>
          <w:rFonts w:hint="eastAsia" w:ascii="仿宋" w:hAnsi="仿宋" w:eastAsia="仿宋" w:cs="仿宋"/>
          <w:b/>
          <w:bCs/>
          <w:color w:val="auto"/>
          <w:sz w:val="28"/>
          <w:szCs w:val="28"/>
          <w:lang w:val="en-US" w:eastAsia="zh-CN"/>
        </w:rPr>
        <w:t xml:space="preserve"> </w:t>
      </w:r>
    </w:p>
    <w:p w14:paraId="691371FF">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95" w:name="_Toc717"/>
      <w:bookmarkStart w:id="196" w:name="_Toc11137"/>
      <w:r>
        <w:rPr>
          <w:rFonts w:hint="eastAsia" w:ascii="仿宋" w:hAnsi="仿宋" w:eastAsia="仿宋" w:cs="仿宋"/>
          <w:b/>
          <w:bCs/>
          <w:color w:val="auto"/>
          <w:sz w:val="28"/>
          <w:szCs w:val="28"/>
          <w:lang w:val="en-US" w:eastAsia="zh-CN"/>
        </w:rPr>
        <w:t>7.3.1 能源种类</w:t>
      </w:r>
      <w:bookmarkEnd w:id="195"/>
      <w:bookmarkEnd w:id="196"/>
      <w:r>
        <w:rPr>
          <w:rFonts w:hint="eastAsia" w:ascii="仿宋" w:hAnsi="仿宋" w:eastAsia="仿宋" w:cs="仿宋"/>
          <w:b/>
          <w:bCs/>
          <w:color w:val="auto"/>
          <w:sz w:val="28"/>
          <w:szCs w:val="28"/>
          <w:lang w:val="en-US" w:eastAsia="zh-CN"/>
        </w:rPr>
        <w:t xml:space="preserve"> </w:t>
      </w:r>
    </w:p>
    <w:p w14:paraId="1F4917A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工程建设所消耗的能源主要有水、煤气、原油加工品、电能等。根据施工组织设计工程施工期所需主要能源物资有：水泥、木材、钢材、油料、石头、原油加工品、生活物资等。主体工程施工主要以油耗设备和电耗设备为主。其中土石方开挖和管道安装以油耗设备为主，混凝土浇筑项目既有油耗设备又有电耗设备。 </w:t>
      </w:r>
    </w:p>
    <w:p w14:paraId="1E599B83">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97" w:name="_Toc11755"/>
      <w:bookmarkStart w:id="198" w:name="_Toc17602"/>
      <w:r>
        <w:rPr>
          <w:rFonts w:hint="eastAsia" w:ascii="仿宋" w:hAnsi="仿宋" w:eastAsia="仿宋" w:cs="仿宋"/>
          <w:b/>
          <w:bCs/>
          <w:color w:val="auto"/>
          <w:sz w:val="28"/>
          <w:szCs w:val="28"/>
          <w:lang w:val="en-US" w:eastAsia="zh-CN"/>
        </w:rPr>
        <w:t>7.3.2 能源消耗量</w:t>
      </w:r>
      <w:bookmarkEnd w:id="197"/>
      <w:bookmarkEnd w:id="198"/>
      <w:r>
        <w:rPr>
          <w:rFonts w:hint="eastAsia" w:ascii="仿宋" w:hAnsi="仿宋" w:eastAsia="仿宋" w:cs="仿宋"/>
          <w:b/>
          <w:bCs/>
          <w:color w:val="auto"/>
          <w:sz w:val="28"/>
          <w:szCs w:val="28"/>
          <w:lang w:val="en-US" w:eastAsia="zh-CN"/>
        </w:rPr>
        <w:t xml:space="preserve"> </w:t>
      </w:r>
    </w:p>
    <w:p w14:paraId="0D64DA3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本项目主要为管道新建与改造，无新增能耗。</w:t>
      </w:r>
    </w:p>
    <w:p w14:paraId="6394D691">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199" w:name="_Toc723"/>
      <w:r>
        <w:rPr>
          <w:rFonts w:hint="eastAsia" w:ascii="仿宋" w:hAnsi="仿宋" w:eastAsia="仿宋" w:cs="仿宋"/>
          <w:b/>
          <w:bCs/>
          <w:color w:val="auto"/>
          <w:sz w:val="28"/>
          <w:szCs w:val="28"/>
          <w:lang w:val="en-US" w:eastAsia="zh-CN"/>
        </w:rPr>
        <w:t>7.4节能效果分析</w:t>
      </w:r>
      <w:bookmarkEnd w:id="199"/>
      <w:r>
        <w:rPr>
          <w:rFonts w:hint="eastAsia" w:ascii="仿宋" w:hAnsi="仿宋" w:eastAsia="仿宋" w:cs="仿宋"/>
          <w:b/>
          <w:bCs/>
          <w:color w:val="auto"/>
          <w:sz w:val="28"/>
          <w:szCs w:val="28"/>
          <w:lang w:val="en-US" w:eastAsia="zh-CN"/>
        </w:rPr>
        <w:t xml:space="preserve"> </w:t>
      </w:r>
    </w:p>
    <w:p w14:paraId="17593EF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1 、施工组织节能 </w:t>
      </w:r>
    </w:p>
    <w:p w14:paraId="3413814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施工设备选型时遵循以下具体原则： </w:t>
      </w:r>
    </w:p>
    <w:p w14:paraId="6F1CD09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（1）施工设备的技术性能应适合工作的性质、施工对象、施工场地大小和物料运距远近等施工条件，充分发挥机械效率，保证施工质量，进而满足施工强度要求； </w:t>
      </w:r>
    </w:p>
    <w:p w14:paraId="66F060C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（2）所选设备应是技术先进，生产效率高，操纵灵活，机动性强，安全性高，结构简单，易于检修和改装，防护设备齐全，废气与噪音得到有效控制，环保性能好； </w:t>
      </w:r>
    </w:p>
    <w:p w14:paraId="41A7C4F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（3）注意经济效果，所选机械的购置和运转费用少，劳动量和能源消耗低，并通过技术经济比较，优选出成本最低的机械化施工方案； </w:t>
      </w:r>
    </w:p>
    <w:p w14:paraId="68FB8EA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（4）选用适用性比较广泛、类型比较单一的通用机械，所选机械的国别、型号和厂家应尽量少，配件供应要有保证； </w:t>
      </w:r>
    </w:p>
    <w:p w14:paraId="6A7BED8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（5）注意各工序所用机械的配套，一般要使后续机械的生产能力略大于先头机械的生产能力，充分发挥主要机械和费用高的机械的生产效率和潜力。 </w:t>
      </w:r>
    </w:p>
    <w:p w14:paraId="084E05F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2 、用水节能 </w:t>
      </w:r>
    </w:p>
    <w:p w14:paraId="02EF3D4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（1）工程项目临时职工食堂、卫生间等公共场合应安装节水龙头，并加装节水阀等节水器具； </w:t>
      </w:r>
    </w:p>
    <w:p w14:paraId="4F8BCCC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（2）在施工用水时应加强节水管理，避免浪费水，尽可能的安装节水阀等节水器具； </w:t>
      </w:r>
    </w:p>
    <w:p w14:paraId="135CEEE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（3）通过施工区、生活区等节水器具的推广和节水理念的普及，可大大提高节水效益，可节约用水 30～40％。 </w:t>
      </w:r>
    </w:p>
    <w:p w14:paraId="7D75F0A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3 、电力节能 </w:t>
      </w:r>
    </w:p>
    <w:p w14:paraId="644AA92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（1）积极采用高效设备，提高运行效率，降低设备运行费用，减少能耗； </w:t>
      </w:r>
    </w:p>
    <w:p w14:paraId="5174C70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（2）电力变压器因地制宜采用节能产品、设自动投切无功自动补偿装置柜提高功率因数、并合理布置变压器的位置，降低损耗； </w:t>
      </w:r>
    </w:p>
    <w:p w14:paraId="01AB4E2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（3）电动机优先选用高效、节能、铜绕组、三相交流鼠笼式异步电机，且使其与负荷形成最佳匹配，避免“大马拉小车 ”现象； </w:t>
      </w:r>
    </w:p>
    <w:p w14:paraId="5A14C96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（4）合理选用导线材料和截面，提高电能质量； </w:t>
      </w:r>
    </w:p>
    <w:p w14:paraId="10DF6FD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（5）调整电气设备布置方案，进一步降低线损； </w:t>
      </w:r>
    </w:p>
    <w:p w14:paraId="18271F4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（6）要求辅助设备制造厂家优先选用新开发的节能电机； </w:t>
      </w:r>
    </w:p>
    <w:p w14:paraId="5F524F4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（7）认真贯彻落实国家照明节能强制性标准，在照明设计中采用光效高的灯具、节能型光源，如用紧凑型、细管径荧光灯，选用能耗低的电子镇流器或节能型电感镇流器，保证各处照明功率密度值在规定之内； </w:t>
      </w:r>
    </w:p>
    <w:p w14:paraId="571B9E2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（8）在有天然采光条件的情况下，均利用天然光，减少夜间施工； </w:t>
      </w:r>
    </w:p>
    <w:p w14:paraId="2512FC7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9）必要的夜间施工尽量做到小范围的开灯控制方式，根据照明要求及不同电光源的特点，选择合理的照明方式，并优先选用光效高、显色性好的光源及配光合理、安全高效的灯具。光源可选用高光效的高压钠灯，带小电容补偿，以改善功率因数、减少线路电压降、提高发光效率。灯具效率不低于 60%，配用的镇流器选用低损耗型；局部区域采用庭院灯光时，光源选用紧凑型荧光灯（节能灯）。 </w:t>
      </w:r>
    </w:p>
    <w:p w14:paraId="04F4C3F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4 、运输节能 </w:t>
      </w:r>
    </w:p>
    <w:p w14:paraId="7A85BE9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sectPr>
          <w:pgSz w:w="23814" w:h="16840" w:orient="landscape"/>
          <w:pgMar w:top="1417" w:right="1134" w:bottom="1134" w:left="1701" w:header="850" w:footer="907" w:gutter="0"/>
          <w:pgBorders>
            <w:top w:val="none" w:sz="0" w:space="0"/>
            <w:left w:val="none" w:sz="0" w:space="0"/>
            <w:bottom w:val="none" w:sz="0" w:space="0"/>
            <w:right w:val="none" w:sz="0" w:space="0"/>
          </w:pgBorders>
          <w:pgNumType w:fmt="decimal"/>
          <w:cols w:space="775" w:num="2"/>
          <w:rtlGutter w:val="0"/>
          <w:docGrid w:type="lines" w:linePitch="292" w:charSpace="23644"/>
        </w:sectPr>
      </w:pPr>
      <w:r>
        <w:rPr>
          <w:rFonts w:hint="eastAsia" w:ascii="仿宋" w:hAnsi="仿宋" w:eastAsia="仿宋" w:cs="仿宋"/>
          <w:color w:val="000000" w:themeColor="text1"/>
          <w:sz w:val="28"/>
          <w:szCs w:val="28"/>
          <w:lang w:val="en-US" w:eastAsia="zh-CN"/>
          <w14:textFill>
            <w14:solidFill>
              <w14:schemeClr w14:val="tx1"/>
            </w14:solidFill>
          </w14:textFill>
        </w:rPr>
        <w:t>本工程主要建设内容为管网敷设，每个工区均有施工道路与旁边的市政道路直接相连，施工车辆可以直接进入市政道路，交通便利，从而达到减少运输能耗的目标。同时，在工程土方开挖与回填期间，应选配合理的挖掘机及自卸汽车数量配比，提高工作效率，降低运输能耗，节约能耗指标。</w:t>
      </w:r>
    </w:p>
    <w:p w14:paraId="7D14871F">
      <w:pPr>
        <w:pStyle w:val="2"/>
        <w:keepNext w:val="0"/>
        <w:keepLines w:val="0"/>
        <w:pageBreakBefore w:val="0"/>
        <w:widowControl/>
        <w:kinsoku/>
        <w:wordWrap/>
        <w:overflowPunct/>
        <w:topLinePunct w:val="0"/>
        <w:autoSpaceDE/>
        <w:autoSpaceDN/>
        <w:bidi w:val="0"/>
        <w:adjustRightInd/>
        <w:snapToGrid/>
        <w:spacing w:before="147" w:beforeLines="50" w:beforeAutospacing="0" w:after="147" w:afterLines="50" w:afterAutospacing="0" w:line="360" w:lineRule="auto"/>
        <w:jc w:val="center"/>
        <w:textAlignment w:val="auto"/>
        <w:rPr>
          <w:rFonts w:hint="eastAsia" w:ascii="仿宋" w:hAnsi="仿宋" w:eastAsia="仿宋" w:cs="仿宋"/>
          <w:color w:val="auto"/>
          <w:sz w:val="28"/>
          <w:szCs w:val="28"/>
          <w:lang w:val="en-US" w:eastAsia="zh-CN"/>
        </w:rPr>
      </w:pPr>
      <w:bookmarkStart w:id="200" w:name="_Toc30167"/>
      <w:r>
        <w:rPr>
          <w:rFonts w:hint="eastAsia" w:ascii="仿宋" w:hAnsi="仿宋" w:eastAsia="仿宋" w:cs="仿宋"/>
          <w:color w:val="auto"/>
          <w:sz w:val="28"/>
          <w:szCs w:val="28"/>
          <w:lang w:val="en-US" w:eastAsia="zh-CN"/>
        </w:rPr>
        <w:t>八 交通组织</w:t>
      </w:r>
      <w:bookmarkEnd w:id="200"/>
      <w:r>
        <w:rPr>
          <w:rFonts w:hint="eastAsia" w:ascii="仿宋" w:hAnsi="仿宋" w:eastAsia="仿宋" w:cs="仿宋"/>
          <w:color w:val="auto"/>
          <w:sz w:val="28"/>
          <w:szCs w:val="28"/>
          <w:lang w:val="en-US" w:eastAsia="zh-CN"/>
        </w:rPr>
        <w:t xml:space="preserve"> </w:t>
      </w:r>
    </w:p>
    <w:p w14:paraId="3A1C7D80">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201" w:name="_Toc29973"/>
      <w:r>
        <w:rPr>
          <w:rFonts w:hint="eastAsia" w:ascii="仿宋" w:hAnsi="仿宋" w:eastAsia="仿宋" w:cs="仿宋"/>
          <w:b/>
          <w:bCs/>
          <w:color w:val="auto"/>
          <w:sz w:val="28"/>
          <w:szCs w:val="28"/>
          <w:lang w:val="en-US" w:eastAsia="zh-CN"/>
        </w:rPr>
        <w:t>8.1 交通组织原则</w:t>
      </w:r>
      <w:bookmarkEnd w:id="201"/>
      <w:r>
        <w:rPr>
          <w:rFonts w:hint="eastAsia" w:ascii="仿宋" w:hAnsi="仿宋" w:eastAsia="仿宋" w:cs="仿宋"/>
          <w:b/>
          <w:bCs/>
          <w:color w:val="auto"/>
          <w:sz w:val="28"/>
          <w:szCs w:val="28"/>
          <w:lang w:val="en-US" w:eastAsia="zh-CN"/>
        </w:rPr>
        <w:t xml:space="preserve"> </w:t>
      </w:r>
    </w:p>
    <w:p w14:paraId="6DC0D26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1 、保障施工工程顺利进行的原则 </w:t>
      </w:r>
    </w:p>
    <w:p w14:paraId="584F02C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是最根本的原则，交通组织是为了降低施工对群众日常生活的影响，但不能妨碍项目施工顺利进行。交通组织措施不可能完全解决道路施工对周边地区的交通影响问题，但可通过有效的组织措施减轻因施工带来的交通不便，同时又能保障改建项目施工的顺利进行。  </w:t>
      </w:r>
    </w:p>
    <w:p w14:paraId="2C1844B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2 、体现协调和匹配的原则 </w:t>
      </w:r>
    </w:p>
    <w:p w14:paraId="0FED655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交通组织方案要与地区道路交通相协调，通过分流和疏导，尽可能维持区域内主要交通走廊的服务水平和交通畅通。 </w:t>
      </w:r>
    </w:p>
    <w:p w14:paraId="660F15B1">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202" w:name="_Toc3756"/>
      <w:r>
        <w:rPr>
          <w:rFonts w:hint="eastAsia" w:ascii="仿宋" w:hAnsi="仿宋" w:eastAsia="仿宋" w:cs="仿宋"/>
          <w:b/>
          <w:bCs/>
          <w:color w:val="auto"/>
          <w:sz w:val="28"/>
          <w:szCs w:val="28"/>
          <w:lang w:val="en-US" w:eastAsia="zh-CN"/>
        </w:rPr>
        <w:t>8.2 交通疏解设计</w:t>
      </w:r>
      <w:bookmarkEnd w:id="202"/>
      <w:r>
        <w:rPr>
          <w:rFonts w:hint="eastAsia" w:ascii="仿宋" w:hAnsi="仿宋" w:eastAsia="仿宋" w:cs="仿宋"/>
          <w:b/>
          <w:bCs/>
          <w:color w:val="auto"/>
          <w:sz w:val="28"/>
          <w:szCs w:val="28"/>
          <w:lang w:val="en-US" w:eastAsia="zh-CN"/>
        </w:rPr>
        <w:t xml:space="preserve"> </w:t>
      </w:r>
    </w:p>
    <w:p w14:paraId="68FC09F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本次交通疏解包括外围疏解和施工区域疏解（内部疏解），外围疏解是指境外交通（出行起点、目的地不在施工街道范围内的），通过外围道路引导车辆绕行，避免车辆进入施工区域引起拥堵。施工区域疏解是指境内交通（出行的起点、目的点在施工街道范围内）此类因生活、居住、工作在施工区域范国内，必须从施工道路经过。合理的组织车道在施工路段上行驶和绕行区域范围内道路，保障工程安全、顺利施工。 </w:t>
      </w:r>
    </w:p>
    <w:p w14:paraId="438E924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1 、机动车交通组织在施工区域外围路网的每一条主要的交通节点等合适位置前设置施工引导标志，东西南北四个方向均设三道导流，从外围引导 车辆绕行过境，以减轻施工路段的交通压力和对施工造成的干扰。并在施工路段设置限速标志及慢行标志提醒境内道路使用者。 由于前期己经在外围过境车辆绕行，可缓解区内的交通压力。本工程工期短，期间又要保证道路交通，拟采用分段围蔽分段施工，以保证路口交通始终处于通行状态。对于施工区域内交通可以借临近的支路绕行，将围挡路段的部分交通分流到相近的平行路网上。并调整和完善交叉口交通信号和导流系统，作到信息传递快捷、准确；与修建管涵道路相交的非信号控制交叉路口，右进右出干道，减少对直线交通的干扰。 </w:t>
      </w:r>
    </w:p>
    <w:p w14:paraId="4E6F06A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交叉口路段施工围蔽： </w:t>
      </w:r>
    </w:p>
    <w:p w14:paraId="776060E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（1）实施交通管制（禁止路边停车、部分路口禁止左转、支路交通右进右出）。 </w:t>
      </w:r>
    </w:p>
    <w:p w14:paraId="70954C2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（2）路口半侧围蔽施工，保证路口处于通行状态，并相应调整信号控制机相位。重点抢修交叉口段，为下一阶段交叉口另外半侧施工争取时间。 </w:t>
      </w:r>
    </w:p>
    <w:p w14:paraId="685C8C2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（3）路口范围内 20m 采用通透式围挡，0.8m 以上部分采用网状铁线制成，避免视距受遮挡，引起的意外交通事故。 </w:t>
      </w:r>
    </w:p>
    <w:p w14:paraId="57E3863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2 、慢行交通组织 </w:t>
      </w:r>
    </w:p>
    <w:p w14:paraId="3712856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本工程对慢行交通组织的主要任务为在路段上组织行人、非机动车在人行道上行走，在交叉口范围及其他开辟行人过街的地方使行人在人行横道内利用专用过街信号或停车让行的方式安全过街，使人车分离、减少干扰。在 人行道开口位置均设无障碍通道，在行人过街处设置盲人过街声控设施。 </w:t>
      </w:r>
    </w:p>
    <w:p w14:paraId="3C7FE92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本设计工程不设置专门的非机动车道，对于被施工占用的非机动车道通过标志标线组织非机动车道在人行道上行驶或推行；在交叉口与行人交通同时组织通过交叉口。 </w:t>
      </w:r>
    </w:p>
    <w:p w14:paraId="4A39A03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公交路线调整方案尽量从“不扰民”角度考虑，保证公交调整与施工交通相协调，原则上不对线路结构作较大调整，体现就近原则，减少公交出行的步行距离和出行时耗。 </w:t>
      </w:r>
    </w:p>
    <w:p w14:paraId="509D70B2">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203" w:name="_Toc23396"/>
      <w:r>
        <w:rPr>
          <w:rFonts w:hint="eastAsia" w:ascii="仿宋" w:hAnsi="仿宋" w:eastAsia="仿宋" w:cs="仿宋"/>
          <w:b/>
          <w:bCs/>
          <w:color w:val="auto"/>
          <w:sz w:val="28"/>
          <w:szCs w:val="28"/>
          <w:lang w:val="en-US" w:eastAsia="zh-CN"/>
        </w:rPr>
        <w:t>8.3 交通保障措施</w:t>
      </w:r>
      <w:bookmarkEnd w:id="203"/>
      <w:r>
        <w:rPr>
          <w:rFonts w:hint="eastAsia" w:ascii="仿宋" w:hAnsi="仿宋" w:eastAsia="仿宋" w:cs="仿宋"/>
          <w:b/>
          <w:bCs/>
          <w:color w:val="auto"/>
          <w:sz w:val="28"/>
          <w:szCs w:val="28"/>
          <w:lang w:val="en-US" w:eastAsia="zh-CN"/>
        </w:rPr>
        <w:t xml:space="preserve"> </w:t>
      </w:r>
    </w:p>
    <w:p w14:paraId="4B748B5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前期的宣传引导为能更好得到群众与人民的谅解与支持，在施工前要做好宣传工作，通过现代信息平台，比如登报、交通广播、于机短信、网络、电视、横幅等方式告知广大市民，让市民有心理准备及采取相应的应对措施。 </w:t>
      </w:r>
    </w:p>
    <w:p w14:paraId="48EB28C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施工时积极与当地各级行政部门、公安部门及交警合作，在施工总平面布置和交通组织示意图规定位置与本工程各通道入口处设置标志牌，指示人行及车辆通行，并引导车辆绕行，各通道入口处夜间设置警示灯。 </w:t>
      </w:r>
    </w:p>
    <w:p w14:paraId="2B2C9C7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1 、技术措施方案 </w:t>
      </w:r>
    </w:p>
    <w:p w14:paraId="0109FC8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1）将施工作业区域与开放路面用路栏分离，围挡安置应整齐稳固，安置的位置应以不防碍道路交通和行人通过为原则除出入口外必须连续封闭保证施工现场与外界隔离国挡前应做好交通导向标志，施工时应指派专门人员维护交通秩序。围挡区附近不准堆放余士、施工材料及其他杂物，并保证该范国内整洁。 </w:t>
      </w:r>
    </w:p>
    <w:p w14:paraId="74676B5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（2）在开放交通道路变向段前 30m 收道封闭然后依次设置紧急停车带，施工机械停放在施工区域范国内。 </w:t>
      </w:r>
    </w:p>
    <w:p w14:paraId="09DA3D6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（3）在开放交通段道路前方及交叉口四周，分别设置“前方施工”警示标志提醒司机前方施工，小心驾驶。 </w:t>
      </w:r>
    </w:p>
    <w:p w14:paraId="26910BC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（4）在施工区域内车辆、机械等设备都必须挂上警示标志，并设专人指挥，形成严密的内部交通安全组织机构，杜绝违章操作及违章指挥； </w:t>
      </w:r>
    </w:p>
    <w:p w14:paraId="31CEAD7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（5）在施工路段摆放足够的反光交通锥、车辆夜间反光标牌、警示灯； </w:t>
      </w:r>
    </w:p>
    <w:p w14:paraId="6BA00DA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（6）夜间施工时应有专用的照明设施。 </w:t>
      </w:r>
    </w:p>
    <w:p w14:paraId="3C83D08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2 、安全管理措施交通保证措施 </w:t>
      </w:r>
    </w:p>
    <w:p w14:paraId="2F8CFDD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与交警部门配合，确保交通安全。主动与政府、公路交通主管部门、建设单位等部门共同制订在施工期间保护公路设施，维护交通安全畅通协议，接受公路、交通、社会和政府部门的监督。 </w:t>
      </w:r>
    </w:p>
    <w:p w14:paraId="473C49D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（1）设专职交通协管员以便及时与交警部门联系。 </w:t>
      </w:r>
    </w:p>
    <w:p w14:paraId="2506F87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（2）施工期间安排专人进行交通疏导。 </w:t>
      </w:r>
    </w:p>
    <w:p w14:paraId="7F69CDA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（3）保证路面的整洁，确保不产生施工扬尘。 </w:t>
      </w:r>
    </w:p>
    <w:p w14:paraId="363D6DB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（4）成立交通协调办公室（委托交管部门）专门进行交通管理。 </w:t>
      </w:r>
    </w:p>
    <w:p w14:paraId="7E88EE9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（5）按国家标准挂设标志、标牌。 </w:t>
      </w:r>
    </w:p>
    <w:p w14:paraId="72DBB3C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（6）交叉路口的国护设置圆顺。 </w:t>
      </w:r>
    </w:p>
    <w:p w14:paraId="51FCAFF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（7）通行车道不堆放材料。</w:t>
      </w:r>
    </w:p>
    <w:p w14:paraId="64694F85">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（8）施工时，如遇到特殊情况，需经交警同意后方可进行变动交通。 </w:t>
      </w:r>
    </w:p>
    <w:p w14:paraId="5FAF3E5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（9）施工期间，确保交通安全与正常施工，施工区域进行封闭。 </w:t>
      </w:r>
    </w:p>
    <w:p w14:paraId="60EBC2A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（10）施工期间利用公路运输施工用料的车辆遵守交通规则。决不乱停乱放，随意装卸。 </w:t>
      </w:r>
    </w:p>
    <w:p w14:paraId="591AAF0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（11）刮风下雨天加强对施工地段所有交通道路的巡回检查，发现险情立即组织抢险队伍进行妥善处理。 </w:t>
      </w:r>
    </w:p>
    <w:p w14:paraId="03FEBC4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（12）定期将交通情况向业主和交通管理部门汇报，遇有事故在第一时间内告知交通警察到现场处理，不隐瞒，不漏报，不擅自处理。 </w:t>
      </w:r>
    </w:p>
    <w:p w14:paraId="4946E81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（13）节假日期间，加强交通维护工作，做好道路的清洁、畅通保障，减少对市民正常出行的干扰。 </w:t>
      </w:r>
    </w:p>
    <w:p w14:paraId="3528C44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（14）在各开放交通变向出入口位置以及厂区门口道路交叉口和道路交汇口处设置醒目提示标志，提醒准备经过本路段的车辆减速行驶并设置交通警示标志及交通引导设施。 </w:t>
      </w:r>
    </w:p>
    <w:p w14:paraId="5B32A6C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3 、交通安全管理及措施 </w:t>
      </w:r>
    </w:p>
    <w:p w14:paraId="05A30D0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设立高效的安全管理机构，现场时刻保证 l 名交通安全总负责人，负责协调与各单位的沟通和现场交通安全人员的指挥。相关部门负责人的电话随时畅通。 </w:t>
      </w:r>
    </w:p>
    <w:p w14:paraId="664E6FC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（1）行车安全管理措施 </w:t>
      </w:r>
    </w:p>
    <w:p w14:paraId="31CCD1E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①建立交通安全事故应急机制，由专人负责指挥，发现事故及时上报，及时报警，绝对服从交警及路政部门的指挥并积极配合；在事故发生时应立即做出反映，立即由安全负责人利用现有的资源条件配合交警部门解决事故。</w:t>
      </w:r>
    </w:p>
    <w:p w14:paraId="4683609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②设专人进行交通指挥，主要是对前方车辆和进出封闭区域施工车辆的指挥，指挥人员要求具有较熟练的指挥交通能力。施工车辆进出施工区域的交通管制指挥人员必须身着交通反光背心，指挥交通时必须穿戴整齐，并用红绿色小三角旗指挥交通。 </w:t>
      </w:r>
    </w:p>
    <w:p w14:paraId="6B4D23B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③设专人进行交通设施的维护，反光锥按位置正确摆放，间距 5 米成排布设并用砂袋固定，若施工过程中出现移位应及时调整，损坏及时更换。 </w:t>
      </w:r>
    </w:p>
    <w:p w14:paraId="40C1E57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④严格按要求及相关标准设置交通管制标志，当施工完成后尽快将交通标志撤离开放交通，当因故暂停施工时，将交通标志撤至内侧一个车道上，以增加行车路面的宽度。 </w:t>
      </w:r>
    </w:p>
    <w:p w14:paraId="5B616A4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⑤施工中遇到交通事故，现场交通安全人员即时按规定报告，保护好现场，并协助路政、交警疏导交通，若遇车辆在工作面侧突然熄火，现场人员能推动的应及时组织人员把车辆推到紧急停车带。发生特大交通事故或发生危险物品车辆交通事故及有必要停止施工的紧急情况时，即时请示有关领导同意后暂停施工，至任务执行或现场清理完毕后方恢复施工。 </w:t>
      </w:r>
    </w:p>
    <w:p w14:paraId="40D7150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⑥道路遇警卫任务时，交通安全人员必须昕从路政、交警的安排。执行一级警卫或者其它重要任务（处理群众性事件等）时须停止施工，至任务执行完毕后方恢复施工。 </w:t>
      </w:r>
    </w:p>
    <w:p w14:paraId="5F418B4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⑦施工人员严禁横穿车道，必须在锥形交通标国护区内作业区域活动，不得向正常通行的车道摆放或抛掷物品。 </w:t>
      </w:r>
    </w:p>
    <w:p w14:paraId="33B9106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（2）交通安全人员交通安全防护措施 </w:t>
      </w:r>
    </w:p>
    <w:p w14:paraId="7C4F758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①所有交通安全人员必须掌握相关规定、行为规范、技能熟练、具有强烈的交通安全意识。</w:t>
      </w:r>
    </w:p>
    <w:p w14:paraId="68C261D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②为交通安全人员配置完备的安全防护用品（安全帽、反光衣等），交通安全人员穿戴整齐，未穿戴整齐者也严禁上岗。 </w:t>
      </w:r>
    </w:p>
    <w:p w14:paraId="04B7FB7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③现场交通安全人员除维护交通设施及其它必要时，远离交通分隔带，交通安全人员可站立于中央防撞墙附近，面向车流，对不规范行车告知路政人员，由路政人员配合指挥交通；指挥施工车辆进出封闭区域时必须面向车辆，严禁背对车辆；交通安全人员更不能穿越行车道。 </w:t>
      </w:r>
    </w:p>
    <w:p w14:paraId="41DF875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（3）施工人员交通安全防护措施 </w:t>
      </w:r>
    </w:p>
    <w:p w14:paraId="29FD1A3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①加强对施工人员交通安全教育与监督。所有施工人员都必须经过交通安全教育后才能作业，严格遵守《城市道路维修养护作业安全规程》，另配备专职生产安全员。 </w:t>
      </w:r>
    </w:p>
    <w:p w14:paraId="45E1F46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②施工人员只能在封闭区域内作业，严禁施工人员横穿行车道，违者重罚或直接清除出场。 </w:t>
      </w:r>
    </w:p>
    <w:p w14:paraId="7A147A2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③施工人员在交通安全方面必须服从交通安全人员的指挥。 </w:t>
      </w:r>
    </w:p>
    <w:p w14:paraId="408CF9F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（4）保证施工安全畅通的措施 </w:t>
      </w:r>
    </w:p>
    <w:p w14:paraId="54A71D4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①设立安全生产管理机构，配备足够的专职安全生产管理人员（交通协管员），负责指挥施工车辆进出施工区域及确保主线车辆行驶畅通。 </w:t>
      </w:r>
    </w:p>
    <w:p w14:paraId="2D97B86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②安全员要求具有较熟练指挥交通的能力，指挥交通时必须穿好反光衣，袖章穿戴整齐，并用红绿色小三角旗指挥交通；建立交通安全事故应急机制，由专人负责指挥，发现事故及时上报，及时报警，绝对服从交警及路政部门的指挥并积极配合。 </w:t>
      </w:r>
    </w:p>
    <w:p w14:paraId="3F08265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③交通安全员一发现施工路段出现堵塞以及安全事故，第一时间报告交警、路政部门，同时也向安全负责人报告。由安全负责人利用现有的资源条件配合交警部门解决事故，必要时宁可停止施工。 </w:t>
      </w:r>
    </w:p>
    <w:p w14:paraId="583563B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（5）其他注意事项 </w:t>
      </w:r>
    </w:p>
    <w:p w14:paraId="538792D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①交通标志点时应结合现场条件加以调整，以增强可视性，更好的指示交通，标志牌的版面内容必须经交警部门的审核和认可方可实施。 </w:t>
      </w:r>
    </w:p>
    <w:p w14:paraId="6553409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 xml:space="preserve">②渠箱开挖时应注意埋设管线（电力、通信、交通信号管线），施工时应加以保护。 </w:t>
      </w:r>
    </w:p>
    <w:p w14:paraId="6DA43A3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③施工临时标志和交通设施的拆除、恢复原貌工作。在施工完毕后，先进行清理路面所遗留的杂物，恢复安装道路原有标志，恢复原有路貌，保证原有道路的功能及交通畅通，然后照逆行车方向的顺序依次拆除施工临时标志和安全防护设施，恢复道路正常交通秩序。</w:t>
      </w:r>
    </w:p>
    <w:p w14:paraId="4AF7E6C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p>
    <w:p w14:paraId="0D05EC41">
      <w:pPr>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br w:type="page"/>
      </w:r>
    </w:p>
    <w:p w14:paraId="018CCAEE">
      <w:pPr>
        <w:pStyle w:val="2"/>
        <w:keepNext w:val="0"/>
        <w:keepLines w:val="0"/>
        <w:pageBreakBefore w:val="0"/>
        <w:widowControl/>
        <w:kinsoku/>
        <w:wordWrap/>
        <w:overflowPunct/>
        <w:topLinePunct w:val="0"/>
        <w:autoSpaceDE/>
        <w:autoSpaceDN/>
        <w:bidi w:val="0"/>
        <w:adjustRightInd/>
        <w:snapToGrid/>
        <w:spacing w:before="147" w:beforeLines="50" w:beforeAutospacing="0" w:after="147" w:afterLines="50" w:afterAutospacing="0" w:line="360" w:lineRule="auto"/>
        <w:jc w:val="center"/>
        <w:textAlignment w:val="auto"/>
        <w:rPr>
          <w:rFonts w:hint="eastAsia" w:ascii="仿宋" w:hAnsi="仿宋" w:eastAsia="仿宋" w:cs="仿宋"/>
          <w:color w:val="auto"/>
          <w:sz w:val="28"/>
          <w:szCs w:val="28"/>
          <w:lang w:val="en-US" w:eastAsia="zh-CN"/>
        </w:rPr>
      </w:pPr>
      <w:bookmarkStart w:id="204" w:name="_Toc489434543"/>
      <w:bookmarkStart w:id="205" w:name="_Toc3687"/>
      <w:bookmarkStart w:id="206" w:name="_Toc19063"/>
      <w:r>
        <w:rPr>
          <w:rFonts w:hint="eastAsia" w:ascii="仿宋" w:hAnsi="仿宋" w:eastAsia="仿宋" w:cs="仿宋"/>
          <w:color w:val="auto"/>
          <w:sz w:val="28"/>
          <w:szCs w:val="28"/>
          <w:lang w:val="en-US" w:eastAsia="zh-CN"/>
        </w:rPr>
        <w:t>九 项目管理及实施计划</w:t>
      </w:r>
      <w:bookmarkEnd w:id="204"/>
      <w:bookmarkEnd w:id="205"/>
      <w:bookmarkEnd w:id="206"/>
    </w:p>
    <w:p w14:paraId="1AD4D2C6">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207" w:name="_Toc489434544"/>
      <w:bookmarkStart w:id="208" w:name="_Toc366457267"/>
      <w:bookmarkStart w:id="209" w:name="_Toc9014"/>
      <w:bookmarkStart w:id="210" w:name="_Toc22656"/>
      <w:r>
        <w:rPr>
          <w:rFonts w:hint="eastAsia" w:ascii="仿宋" w:hAnsi="仿宋" w:eastAsia="仿宋" w:cs="仿宋"/>
          <w:b/>
          <w:bCs/>
          <w:color w:val="auto"/>
          <w:sz w:val="28"/>
          <w:szCs w:val="28"/>
          <w:lang w:val="en-US" w:eastAsia="zh-CN"/>
        </w:rPr>
        <w:t>9.1实施原则与步骤</w:t>
      </w:r>
      <w:bookmarkEnd w:id="207"/>
      <w:bookmarkEnd w:id="208"/>
      <w:bookmarkEnd w:id="209"/>
      <w:bookmarkEnd w:id="210"/>
    </w:p>
    <w:p w14:paraId="4FB947FD">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（1）项目的实施首先应符合国内建设项目的建设和审批程序。同时，积极配合有关单位，创造良好条件，为工程顺利进行打下基础。</w:t>
      </w:r>
    </w:p>
    <w:p w14:paraId="728F632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（2）建立专门机构作为项目执行单位，负责项目的实施、组织、协调和管理工作。</w:t>
      </w:r>
    </w:p>
    <w:p w14:paraId="0AA49C3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（3）由有关部门委派专人担任项目的法人代表，项目实施过程中的决策、指挥执行等均由项目实施负责人代表负责。</w:t>
      </w:r>
    </w:p>
    <w:p w14:paraId="76AB95E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（4）项目的设计、供货、施工安装等履行单位应与项目执行单位履行必要的法律手续，违约责任应按照国家的有关法律法规执行。</w:t>
      </w:r>
    </w:p>
    <w:p w14:paraId="68F2AD8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（5）项目执行单位（用户）应与项目履行单位协商制定项目实施计划表，并于履行前提前通知有关各方。</w:t>
      </w:r>
    </w:p>
    <w:p w14:paraId="1C4C4F6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项目执行单位应积极为履行单位开展工作创造有利条件，履行单位应服从项目执行单位的指挥和调度。</w:t>
      </w:r>
      <w:bookmarkStart w:id="211" w:name="_Toc338929194"/>
      <w:bookmarkStart w:id="212" w:name="_Toc489434545"/>
      <w:bookmarkStart w:id="213" w:name="_Toc9734"/>
      <w:bookmarkStart w:id="214" w:name="_Toc366457268"/>
    </w:p>
    <w:p w14:paraId="11805033">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215" w:name="_Toc19406"/>
      <w:r>
        <w:rPr>
          <w:rFonts w:hint="eastAsia" w:ascii="仿宋" w:hAnsi="仿宋" w:eastAsia="仿宋" w:cs="仿宋"/>
          <w:b/>
          <w:bCs/>
          <w:color w:val="auto"/>
          <w:sz w:val="28"/>
          <w:szCs w:val="28"/>
          <w:lang w:val="en-US" w:eastAsia="zh-CN"/>
        </w:rPr>
        <w:t>9.2项目管理机构</w:t>
      </w:r>
      <w:bookmarkEnd w:id="211"/>
      <w:bookmarkEnd w:id="212"/>
      <w:bookmarkEnd w:id="213"/>
      <w:bookmarkEnd w:id="214"/>
      <w:bookmarkEnd w:id="215"/>
    </w:p>
    <w:p w14:paraId="2A784897">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216" w:name="_Toc15985"/>
      <w:bookmarkStart w:id="217" w:name="_Toc354161537"/>
      <w:bookmarkStart w:id="218" w:name="_Toc362653024"/>
      <w:bookmarkStart w:id="219" w:name="_Toc366457269"/>
      <w:bookmarkStart w:id="220" w:name="_Toc19478"/>
      <w:r>
        <w:rPr>
          <w:rFonts w:hint="eastAsia" w:ascii="仿宋" w:hAnsi="仿宋" w:eastAsia="仿宋" w:cs="仿宋"/>
          <w:b/>
          <w:bCs/>
          <w:color w:val="auto"/>
          <w:sz w:val="28"/>
          <w:szCs w:val="28"/>
          <w:lang w:val="en-US" w:eastAsia="zh-CN"/>
        </w:rPr>
        <w:t>9.2.1实施组织机构</w:t>
      </w:r>
      <w:bookmarkEnd w:id="216"/>
      <w:bookmarkEnd w:id="217"/>
      <w:bookmarkEnd w:id="218"/>
      <w:bookmarkEnd w:id="219"/>
      <w:bookmarkEnd w:id="220"/>
    </w:p>
    <w:p w14:paraId="1BB1A45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为了实施本工程，应组建由岳阳市政府有关部门负责组成的项目实施、组织、协调和管理工作的项目执行单位。</w:t>
      </w:r>
    </w:p>
    <w:p w14:paraId="28494970">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221" w:name="_Toc366457270"/>
      <w:bookmarkStart w:id="222" w:name="_Toc5440"/>
      <w:bookmarkStart w:id="223" w:name="_Toc354161538"/>
      <w:bookmarkStart w:id="224" w:name="_Toc362653025"/>
      <w:bookmarkStart w:id="225" w:name="_Toc25943"/>
      <w:r>
        <w:rPr>
          <w:rFonts w:hint="eastAsia" w:ascii="仿宋" w:hAnsi="仿宋" w:eastAsia="仿宋" w:cs="仿宋"/>
          <w:b/>
          <w:bCs/>
          <w:color w:val="auto"/>
          <w:sz w:val="28"/>
          <w:szCs w:val="28"/>
          <w:lang w:val="en-US" w:eastAsia="zh-CN"/>
        </w:rPr>
        <w:t>9.2.2计划主要履行单位</w:t>
      </w:r>
      <w:bookmarkEnd w:id="221"/>
      <w:bookmarkEnd w:id="222"/>
      <w:bookmarkEnd w:id="223"/>
      <w:bookmarkEnd w:id="224"/>
      <w:bookmarkEnd w:id="225"/>
    </w:p>
    <w:p w14:paraId="6C1810C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本工程项目的供货、施工、安装等单位均要进行必要的资格审查，并应将审查程序与评审结果形成书面资料报送有关上级部门审定，并存档备案。</w:t>
      </w:r>
    </w:p>
    <w:p w14:paraId="3CFD3B9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（1）供货</w:t>
      </w:r>
    </w:p>
    <w:p w14:paraId="7F84EA0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设备的供货，将由项目执行单位（业主）通过计划与参与单位的技术交流，以及对 引进同类设备使用情况的考察，掌握技术质量等信息的基础上，通过公开招标方式进行确定。同时关键设备必须进行出厂前检验、到货检验等程序，以确保设备的质量及完整性。</w:t>
      </w:r>
    </w:p>
    <w:p w14:paraId="4195F0C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（2）管道施工</w:t>
      </w:r>
    </w:p>
    <w:p w14:paraId="6A063C0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管道施工必须在具有城市管道施工的单位中选择，拟由项目执行单位进行资格审查后通过招标方式确定。</w:t>
      </w:r>
    </w:p>
    <w:p w14:paraId="18C2A4A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（3）配件安装</w:t>
      </w:r>
    </w:p>
    <w:p w14:paraId="59E2DE2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设备安装安装应分别选择有资格的专业安装施工单位，由项目执行单位进行资格审查后，通过招标方式确定。</w:t>
      </w:r>
    </w:p>
    <w:p w14:paraId="6C86604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（4）施工及安装采用标准和规范</w:t>
      </w:r>
    </w:p>
    <w:p w14:paraId="64B7080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排水管网施工项目的施工及安装必须按照国家现行的专业技术规范与标准执行，或采用不低于这些规范的国外规范标准。进口设备的引进与外商进行技术联络技术谈判将由业主主持下会同设计单位参加，设计联络的安排及设计资料的提供将在有关合同中明确。</w:t>
      </w:r>
    </w:p>
    <w:p w14:paraId="187745D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（5）调试与试运转</w:t>
      </w:r>
    </w:p>
    <w:p w14:paraId="191227E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国内设备的调试可根据招标文件及有关的技术标准进行并由供货单位派技术人员进行技术指导。进口设备的调试应由供货制造商派技术专家指导进行，有关细节可在商务谈判中商定，并写入商务合同中。</w:t>
      </w:r>
    </w:p>
    <w:p w14:paraId="4DFFBB3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试运转工作应由供货方、设计单位、安装单位共同参加。试运转工作人员（一般为工程管理单位指派）上岗前必须进行技术培训并通过技术考核。有关设备调试、通水试运转以及验收等项工作的技术文件必须存档备案。</w:t>
      </w:r>
    </w:p>
    <w:p w14:paraId="36154797">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226" w:name="_Toc4409"/>
      <w:r>
        <w:rPr>
          <w:rFonts w:hint="eastAsia" w:ascii="仿宋" w:hAnsi="仿宋" w:eastAsia="仿宋" w:cs="仿宋"/>
          <w:b/>
          <w:bCs/>
          <w:color w:val="auto"/>
          <w:sz w:val="28"/>
          <w:szCs w:val="28"/>
          <w:lang w:val="en-US" w:eastAsia="zh-CN"/>
        </w:rPr>
        <w:t>9.3.运行期管理</w:t>
      </w:r>
      <w:bookmarkEnd w:id="226"/>
    </w:p>
    <w:p w14:paraId="73B49E7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工程管理所根据工程建筑物布置情况，结合工程运行条件，制定必须的管理体制、制度和条例，并重点作好各建筑物的检查观测和养护修理工作。</w:t>
      </w:r>
    </w:p>
    <w:p w14:paraId="6D64736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（1）工程检查</w:t>
      </w:r>
    </w:p>
    <w:p w14:paraId="3D36B2F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每年汛期、汛后对各管线及附属设施进行定期检查。</w:t>
      </w:r>
    </w:p>
    <w:p w14:paraId="081F45C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工程建成后，在开始运用的 3～5 年内，必须对工程进行一次全面鉴定，以后每隔 6～10 年进行一次。</w:t>
      </w:r>
    </w:p>
    <w:p w14:paraId="10E20EAA">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（2）工程观测</w:t>
      </w:r>
    </w:p>
    <w:p w14:paraId="3427C0B5">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工程竣工后，管理单位应做好监测工作，及时监测工程运行期存在的问题，观测数据的分析整理并保存。</w:t>
      </w:r>
    </w:p>
    <w:p w14:paraId="7FA2CAF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（3）建筑物的养护管理</w:t>
      </w:r>
    </w:p>
    <w:p w14:paraId="4604025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为保证管线的安全、正常运行，管理单位需配备有一定专业技术的人员对本工程主要管线和相关设施进行管理。</w:t>
      </w:r>
    </w:p>
    <w:p w14:paraId="57C57094">
      <w:pPr>
        <w:pStyle w:val="3"/>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仿宋" w:hAnsi="仿宋" w:eastAsia="仿宋" w:cs="仿宋"/>
          <w:b/>
          <w:bCs/>
          <w:color w:val="auto"/>
          <w:sz w:val="28"/>
          <w:szCs w:val="28"/>
          <w:lang w:val="en-US" w:eastAsia="zh-CN"/>
        </w:rPr>
      </w:pPr>
      <w:bookmarkStart w:id="227" w:name="_Toc5329"/>
      <w:r>
        <w:rPr>
          <w:rFonts w:hint="eastAsia" w:ascii="仿宋" w:hAnsi="仿宋" w:eastAsia="仿宋" w:cs="仿宋"/>
          <w:b/>
          <w:bCs/>
          <w:color w:val="auto"/>
          <w:sz w:val="28"/>
          <w:szCs w:val="28"/>
          <w:lang w:val="en-US" w:eastAsia="zh-CN"/>
        </w:rPr>
        <w:t>9.4.运营维护方案</w:t>
      </w:r>
      <w:bookmarkEnd w:id="227"/>
    </w:p>
    <w:p w14:paraId="569C40B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bookmarkStart w:id="228" w:name="bookmark265"/>
      <w:bookmarkEnd w:id="228"/>
      <w:r>
        <w:rPr>
          <w:rFonts w:hint="eastAsia" w:ascii="仿宋" w:hAnsi="仿宋" w:eastAsia="仿宋" w:cs="仿宋"/>
          <w:color w:val="000000" w:themeColor="text1"/>
          <w:sz w:val="28"/>
          <w:szCs w:val="28"/>
          <w:lang w:val="en-US" w:eastAsia="zh-CN"/>
          <w14:textFill>
            <w14:solidFill>
              <w14:schemeClr w14:val="tx1"/>
            </w14:solidFill>
          </w14:textFill>
        </w:rPr>
        <w:t>（1）管道清疏</w:t>
      </w:r>
    </w:p>
    <w:p w14:paraId="71781EE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通过水力冲洗、机械疏通、人力掏挖等方法清除排水管道内的淤泥和杂物，保持排水管道的正常使用功能。</w:t>
      </w:r>
    </w:p>
    <w:p w14:paraId="1A2909B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（2）附属构筑物维护</w:t>
      </w:r>
    </w:p>
    <w:p w14:paraId="1A72D85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定期对检查井、截流井、倒虹吸井、闸井、雨水口、排河口及潮闸门进行清理， 对井筒、踏步、井室、流槽等部位的损坏进行维修，保持附属构筑物的正常使用功能。</w:t>
      </w:r>
    </w:p>
    <w:p w14:paraId="7A37E71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（3）检查井井盖和雨水箅子补装更换</w:t>
      </w:r>
    </w:p>
    <w:p w14:paraId="7CF64795">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对丢失或损坏的排水检查井井盖或雨水箅子进行补装和更换。</w:t>
      </w:r>
    </w:p>
    <w:p w14:paraId="54F5D77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（4）有毒易燃易爆气体释放通过自然扩散或强制通风等手段，定期对排水管渠内有毒易燃易爆气体进行释放。</w:t>
      </w:r>
    </w:p>
    <w:p w14:paraId="74B68B7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（5）设施巡查</w:t>
      </w:r>
    </w:p>
    <w:p w14:paraId="43EB8EE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定期对排水管渠井盖、雨水箅子、排河口及管道运行情况进行巡视和检查。</w:t>
      </w:r>
    </w:p>
    <w:p w14:paraId="5D8EC98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（6）设施普查</w:t>
      </w:r>
    </w:p>
    <w:p w14:paraId="338E62A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通过人工或设备的方式，定期对运营排水设施运行功能、管道及附属构筑物结构情况进行检查和评估，全面掌握设施运行状况，为年度养护、维护和更新改造计划的编制提供依据。</w:t>
      </w:r>
    </w:p>
    <w:p w14:paraId="0B37BE3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（7）管道检测</w:t>
      </w:r>
    </w:p>
    <w:p w14:paraId="1631E7C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通过管道机器人对现况或新建排水管道进行闭路电视检测，根据检测结果评估管道功能性等级和结构性等级状况，为管道养护、整修、修复和更新提供清晰、准确的依据。</w:t>
      </w:r>
    </w:p>
    <w:p w14:paraId="67DBDB81">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p>
    <w:p w14:paraId="11D2B13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p>
    <w:p w14:paraId="17F7E97C">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sectPr>
          <w:pgSz w:w="23814" w:h="16840" w:orient="landscape"/>
          <w:pgMar w:top="1417" w:right="1134" w:bottom="1134" w:left="1701" w:header="850" w:footer="907" w:gutter="0"/>
          <w:pgBorders>
            <w:top w:val="none" w:sz="0" w:space="0"/>
            <w:left w:val="none" w:sz="0" w:space="0"/>
            <w:bottom w:val="none" w:sz="0" w:space="0"/>
            <w:right w:val="none" w:sz="0" w:space="0"/>
          </w:pgBorders>
          <w:pgNumType w:fmt="decimal"/>
          <w:cols w:space="775" w:num="2"/>
          <w:rtlGutter w:val="0"/>
          <w:docGrid w:type="lines" w:linePitch="292" w:charSpace="23644"/>
        </w:sectPr>
      </w:pPr>
    </w:p>
    <w:p w14:paraId="0B39749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outlineLvl w:val="9"/>
        <w:rPr>
          <w:rFonts w:hint="eastAsia" w:ascii="仿宋" w:hAnsi="仿宋" w:eastAsia="仿宋" w:cs="仿宋"/>
          <w:color w:val="000000" w:themeColor="text1"/>
          <w:sz w:val="28"/>
          <w:szCs w:val="28"/>
          <w:lang w:val="en-US" w:eastAsia="zh-CN"/>
          <w14:textFill>
            <w14:solidFill>
              <w14:schemeClr w14:val="tx1"/>
            </w14:solidFill>
          </w14:textFill>
        </w:rPr>
      </w:pPr>
      <w:r>
        <w:drawing>
          <wp:inline distT="0" distB="0" distL="114300" distR="114300">
            <wp:extent cx="5271135" cy="7434580"/>
            <wp:effectExtent l="0" t="0" r="5715" b="1397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37"/>
                    <a:stretch>
                      <a:fillRect/>
                    </a:stretch>
                  </pic:blipFill>
                  <pic:spPr>
                    <a:xfrm>
                      <a:off x="0" y="0"/>
                      <a:ext cx="5271135" cy="7434580"/>
                    </a:xfrm>
                    <a:prstGeom prst="rect">
                      <a:avLst/>
                    </a:prstGeom>
                    <a:noFill/>
                    <a:ln>
                      <a:noFill/>
                    </a:ln>
                  </pic:spPr>
                </pic:pic>
              </a:graphicData>
            </a:graphic>
          </wp:inline>
        </w:drawing>
      </w:r>
      <w:r>
        <w:drawing>
          <wp:inline distT="0" distB="0" distL="114300" distR="114300">
            <wp:extent cx="5459730" cy="7711440"/>
            <wp:effectExtent l="0" t="0" r="7620" b="381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38"/>
                    <a:stretch>
                      <a:fillRect/>
                    </a:stretch>
                  </pic:blipFill>
                  <pic:spPr>
                    <a:xfrm>
                      <a:off x="0" y="0"/>
                      <a:ext cx="5459730" cy="7711440"/>
                    </a:xfrm>
                    <a:prstGeom prst="rect">
                      <a:avLst/>
                    </a:prstGeom>
                    <a:noFill/>
                    <a:ln>
                      <a:noFill/>
                    </a:ln>
                  </pic:spPr>
                </pic:pic>
              </a:graphicData>
            </a:graphic>
          </wp:inline>
        </w:drawing>
      </w:r>
    </w:p>
    <w:sectPr>
      <w:pgSz w:w="23814" w:h="16840" w:orient="landscape"/>
      <w:pgMar w:top="1417" w:right="1134" w:bottom="1134" w:left="1701" w:header="850" w:footer="907" w:gutter="0"/>
      <w:pgBorders>
        <w:top w:val="none" w:sz="0" w:space="0"/>
        <w:left w:val="none" w:sz="0" w:space="0"/>
        <w:bottom w:val="none" w:sz="0" w:space="0"/>
        <w:right w:val="none" w:sz="0" w:space="0"/>
      </w:pgBorders>
      <w:pgNumType w:fmt="decimal"/>
      <w:cols w:space="775" w:num="2"/>
      <w:rtlGutter w:val="0"/>
      <w:docGrid w:type="lines" w:linePitch="292" w:charSpace="23644"/>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长城细圆体">
    <w:altName w:val="宋体"/>
    <w:panose1 w:val="00000000000000000000"/>
    <w:charset w:val="86"/>
    <w:family w:val="modern"/>
    <w:pitch w:val="default"/>
    <w:sig w:usb0="00000000" w:usb1="00000000" w:usb2="00000010" w:usb3="00000000" w:csb0="00040000" w:csb1="00000000"/>
  </w:font>
  <w:font w:name="新宋体">
    <w:panose1 w:val="02010609030101010101"/>
    <w:charset w:val="86"/>
    <w:family w:val="modern"/>
    <w:pitch w:val="default"/>
    <w:sig w:usb0="00000003" w:usb1="288F0000" w:usb2="00000006" w:usb3="00000000" w:csb0="00040001"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System">
    <w:altName w:val="宋体"/>
    <w:panose1 w:val="00000000000000000000"/>
    <w:charset w:val="86"/>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D44EB4">
    <w:pPr>
      <w:pStyle w:val="12"/>
      <w:ind w:right="360"/>
      <w:jc w:val="right"/>
      <w:rPr>
        <w:rFonts w:ascii="仿宋_GB2312" w:eastAsia="仿宋_GB2312"/>
        <w:sz w:val="24"/>
        <w:szCs w:val="24"/>
      </w:rPr>
    </w:pPr>
  </w:p>
  <w:p w14:paraId="02BBC92E">
    <w:pPr>
      <w:pStyle w:val="12"/>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5EB6AC">
    <w:pPr>
      <w:pStyle w:val="12"/>
      <w:framePr w:wrap="around" w:vAnchor="text" w:hAnchor="margin" w:xAlign="center" w:y="1"/>
      <w:rPr>
        <w:rStyle w:val="23"/>
      </w:rPr>
    </w:pPr>
    <w:r>
      <w:fldChar w:fldCharType="begin"/>
    </w:r>
    <w:r>
      <w:rPr>
        <w:rStyle w:val="23"/>
      </w:rPr>
      <w:instrText xml:space="preserve">PAGE  </w:instrText>
    </w:r>
    <w:r>
      <w:fldChar w:fldCharType="separate"/>
    </w:r>
    <w:r>
      <w:rPr>
        <w:rStyle w:val="23"/>
      </w:rPr>
      <w:t>1</w:t>
    </w:r>
    <w:r>
      <w:fldChar w:fldCharType="end"/>
    </w:r>
  </w:p>
  <w:p w14:paraId="583E2660"/>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621DAF">
    <w:pPr>
      <w:pStyle w:val="13"/>
      <w:pBdr>
        <w:bottom w:val="none" w:color="auto" w:sz="0" w:space="1"/>
      </w:pBdr>
      <w:tabs>
        <w:tab w:val="left" w:pos="7655"/>
        <w:tab w:val="clear" w:pos="4153"/>
      </w:tabs>
      <w:jc w:val="both"/>
      <w:rPr>
        <w:rFonts w:hint="eastAsia"/>
        <w:lang w:eastAsia="zh-CN"/>
      </w:rPr>
    </w:pPr>
    <w:r>
      <w:rPr>
        <w:rFonts w:hint="eastAsia"/>
        <w:lang w:eastAsia="zh-CN"/>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4D53B9">
    <w:pPr>
      <w:pStyle w:val="13"/>
      <w:pBdr>
        <w:bottom w:val="none" w:color="auto" w:sz="0" w:space="1"/>
      </w:pBdr>
      <w:jc w:val="both"/>
      <w:rPr>
        <w:rFonts w:hint="eastAsia" w:eastAsia="宋体"/>
        <w:sz w:val="24"/>
        <w:szCs w:val="24"/>
        <w:lang w:eastAsia="zh-CN"/>
      </w:rPr>
    </w:pPr>
    <w:r>
      <w:rPr>
        <w:rFonts w:hint="eastAsia" w:ascii="宋体" w:hAnsi="宋体" w:cs="微软雅黑"/>
        <w:bCs/>
        <w:sz w:val="24"/>
        <w:szCs w:val="24"/>
      </w:rPr>
      <w:t xml:space="preserve">                                                 </w:t>
    </w:r>
    <w:r>
      <w:rPr>
        <w:rFonts w:hint="eastAsia" w:ascii="宋体" w:hAnsi="宋体" w:cs="微软雅黑"/>
        <w:bCs/>
        <w:sz w:val="24"/>
        <w:szCs w:val="24"/>
        <w:lang w:val="en-US" w:eastAsia="zh-CN"/>
      </w:rPr>
      <w:t xml:space="preserve"> </w:t>
    </w:r>
    <w:r>
      <w:rPr>
        <w:rFonts w:hint="eastAsia" w:ascii="宋体" w:hAnsi="宋体" w:cs="微软雅黑"/>
        <w:bCs/>
        <w:sz w:val="24"/>
        <w:szCs w:val="24"/>
      </w:rPr>
      <w:t xml:space="preserve">    </w:t>
    </w:r>
    <w:r>
      <w:rPr>
        <w:rFonts w:hint="eastAsia" w:ascii="宋体" w:hAnsi="宋体" w:cs="微软雅黑"/>
        <w:bCs/>
        <w:sz w:val="24"/>
        <w:szCs w:val="24"/>
        <w:lang w:val="en-US" w:eastAsia="zh-CN"/>
      </w:rPr>
      <w:t xml:space="preserve"> </w:t>
    </w:r>
    <w:r>
      <w:rPr>
        <w:rFonts w:hint="eastAsia" w:ascii="宋体" w:hAnsi="宋体" w:cs="微软雅黑"/>
        <w:bCs/>
        <w:sz w:val="24"/>
        <w:szCs w:val="24"/>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78613BD"/>
    <w:multiLevelType w:val="singleLevel"/>
    <w:tmpl w:val="878613BD"/>
    <w:lvl w:ilvl="0" w:tentative="0">
      <w:start w:val="3"/>
      <w:numFmt w:val="decimal"/>
      <w:suff w:val="nothing"/>
      <w:lvlText w:val="（%1）"/>
      <w:lvlJc w:val="left"/>
    </w:lvl>
  </w:abstractNum>
  <w:abstractNum w:abstractNumId="1">
    <w:nsid w:val="A1B19A4E"/>
    <w:multiLevelType w:val="singleLevel"/>
    <w:tmpl w:val="A1B19A4E"/>
    <w:lvl w:ilvl="0" w:tentative="0">
      <w:start w:val="1"/>
      <w:numFmt w:val="decimal"/>
      <w:suff w:val="nothing"/>
      <w:lvlText w:val="%1、"/>
      <w:lvlJc w:val="left"/>
    </w:lvl>
  </w:abstractNum>
  <w:abstractNum w:abstractNumId="2">
    <w:nsid w:val="B3D9962F"/>
    <w:multiLevelType w:val="singleLevel"/>
    <w:tmpl w:val="B3D9962F"/>
    <w:lvl w:ilvl="0" w:tentative="0">
      <w:start w:val="1"/>
      <w:numFmt w:val="decimal"/>
      <w:lvlText w:val="%1)"/>
      <w:lvlJc w:val="left"/>
      <w:pPr>
        <w:tabs>
          <w:tab w:val="left" w:pos="312"/>
        </w:tabs>
      </w:pPr>
    </w:lvl>
  </w:abstractNum>
  <w:abstractNum w:abstractNumId="3">
    <w:nsid w:val="C58E4C1D"/>
    <w:multiLevelType w:val="singleLevel"/>
    <w:tmpl w:val="C58E4C1D"/>
    <w:lvl w:ilvl="0" w:tentative="0">
      <w:start w:val="7"/>
      <w:numFmt w:val="decimal"/>
      <w:lvlText w:val="%1)"/>
      <w:lvlJc w:val="left"/>
      <w:pPr>
        <w:tabs>
          <w:tab w:val="left" w:pos="312"/>
        </w:tabs>
      </w:pPr>
    </w:lvl>
  </w:abstractNum>
  <w:abstractNum w:abstractNumId="4">
    <w:nsid w:val="026A5A9F"/>
    <w:multiLevelType w:val="singleLevel"/>
    <w:tmpl w:val="026A5A9F"/>
    <w:lvl w:ilvl="0" w:tentative="0">
      <w:start w:val="1"/>
      <w:numFmt w:val="decimal"/>
      <w:suff w:val="nothing"/>
      <w:lvlText w:val="（%1）"/>
      <w:lvlJc w:val="left"/>
    </w:lvl>
  </w:abstractNum>
  <w:abstractNum w:abstractNumId="5">
    <w:nsid w:val="1340A9B0"/>
    <w:multiLevelType w:val="singleLevel"/>
    <w:tmpl w:val="1340A9B0"/>
    <w:lvl w:ilvl="0" w:tentative="0">
      <w:start w:val="1"/>
      <w:numFmt w:val="decimal"/>
      <w:suff w:val="nothing"/>
      <w:lvlText w:val="%1、"/>
      <w:lvlJc w:val="left"/>
    </w:lvl>
  </w:abstractNum>
  <w:abstractNum w:abstractNumId="6">
    <w:nsid w:val="16F8121A"/>
    <w:multiLevelType w:val="singleLevel"/>
    <w:tmpl w:val="16F8121A"/>
    <w:lvl w:ilvl="0" w:tentative="0">
      <w:start w:val="1"/>
      <w:numFmt w:val="decimal"/>
      <w:lvlText w:val="%1)"/>
      <w:lvlJc w:val="left"/>
      <w:pPr>
        <w:tabs>
          <w:tab w:val="left" w:pos="312"/>
        </w:tabs>
      </w:pPr>
    </w:lvl>
  </w:abstractNum>
  <w:abstractNum w:abstractNumId="7">
    <w:nsid w:val="3602D382"/>
    <w:multiLevelType w:val="multilevel"/>
    <w:tmpl w:val="3602D382"/>
    <w:lvl w:ilvl="0" w:tentative="0">
      <w:start w:val="1"/>
      <w:numFmt w:val="decimal"/>
      <w:lvlText w:val="%1"/>
      <w:lvlJc w:val="left"/>
      <w:pPr>
        <w:ind w:left="4840" w:hanging="432"/>
      </w:pPr>
    </w:lvl>
    <w:lvl w:ilvl="1" w:tentative="0">
      <w:start w:val="1"/>
      <w:numFmt w:val="decimal"/>
      <w:lvlText w:val="%1.%2"/>
      <w:lvlJc w:val="left"/>
      <w:pPr>
        <w:ind w:left="576" w:hanging="576"/>
      </w:pPr>
      <w:rPr>
        <w:rFonts w:hint="default" w:ascii="Times New Roman" w:hAnsi="Times New Roman" w:cs="Times New Roman"/>
        <w:b/>
        <w:bCs/>
        <w:sz w:val="24"/>
        <w:szCs w:val="24"/>
      </w:rPr>
    </w:lvl>
    <w:lvl w:ilvl="2" w:tentative="0">
      <w:start w:val="1"/>
      <w:numFmt w:val="decimal"/>
      <w:lvlText w:val="%1.%2.%3"/>
      <w:lvlJc w:val="left"/>
      <w:pPr>
        <w:ind w:left="720" w:hanging="720"/>
      </w:pPr>
      <w:rPr>
        <w:rFonts w:hint="default" w:ascii="Times New Roman" w:hAnsi="Times New Roman" w:cs="Times New Roman"/>
        <w:b/>
        <w:bCs/>
        <w:sz w:val="24"/>
        <w:szCs w:val="24"/>
      </w:rPr>
    </w:lvl>
    <w:lvl w:ilvl="3" w:tentative="0">
      <w:start w:val="1"/>
      <w:numFmt w:val="decimal"/>
      <w:pStyle w:val="6"/>
      <w:lvlText w:val="%1.%2.%3.%4"/>
      <w:lvlJc w:val="left"/>
      <w:pPr>
        <w:ind w:left="864" w:hanging="864"/>
      </w:pPr>
      <w:rPr>
        <w:rFonts w:hint="default"/>
        <w:b/>
        <w:bCs/>
        <w:sz w:val="24"/>
        <w:szCs w:val="24"/>
      </w:rPr>
    </w:lvl>
    <w:lvl w:ilvl="4" w:tentative="0">
      <w:start w:val="1"/>
      <w:numFmt w:val="decimal"/>
      <w:lvlText w:val="%1.%2.%3.%4.%5"/>
      <w:lvlJc w:val="left"/>
      <w:pPr>
        <w:ind w:left="1008" w:hanging="1008"/>
      </w:pPr>
      <w:rPr>
        <w:rFonts w:hint="default"/>
        <w:b/>
        <w:bCs/>
        <w:sz w:val="24"/>
        <w:szCs w:val="24"/>
      </w:r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abstractNum w:abstractNumId="8">
    <w:nsid w:val="39483685"/>
    <w:multiLevelType w:val="singleLevel"/>
    <w:tmpl w:val="39483685"/>
    <w:lvl w:ilvl="0" w:tentative="0">
      <w:start w:val="5"/>
      <w:numFmt w:val="decimal"/>
      <w:suff w:val="nothing"/>
      <w:lvlText w:val="（%1）"/>
      <w:lvlJc w:val="left"/>
    </w:lvl>
  </w:abstractNum>
  <w:abstractNum w:abstractNumId="9">
    <w:nsid w:val="4EA11743"/>
    <w:multiLevelType w:val="multilevel"/>
    <w:tmpl w:val="4EA11743"/>
    <w:lvl w:ilvl="0" w:tentative="0">
      <w:start w:val="1"/>
      <w:numFmt w:val="decimal"/>
      <w:isLgl/>
      <w:suff w:val="space"/>
      <w:lvlText w:val="%1"/>
      <w:lvlJc w:val="center"/>
      <w:pPr>
        <w:ind w:left="0" w:firstLine="0"/>
      </w:pPr>
      <w:rPr>
        <w:rFonts w:hint="default" w:ascii="Times New Roman" w:hAnsi="Times New Roman" w:eastAsia="黑体"/>
        <w:b/>
        <w:bCs/>
        <w:i w:val="0"/>
        <w:sz w:val="40"/>
      </w:rPr>
    </w:lvl>
    <w:lvl w:ilvl="1" w:tentative="0">
      <w:start w:val="1"/>
      <w:numFmt w:val="decimal"/>
      <w:isLgl/>
      <w:suff w:val="space"/>
      <w:lvlText w:val="%1.%2"/>
      <w:lvlJc w:val="left"/>
      <w:pPr>
        <w:tabs>
          <w:tab w:val="left" w:pos="0"/>
        </w:tabs>
        <w:ind w:left="0" w:firstLine="0"/>
      </w:pPr>
      <w:rPr>
        <w:rFonts w:hint="eastAsia"/>
      </w:rPr>
    </w:lvl>
    <w:lvl w:ilvl="2" w:tentative="0">
      <w:start w:val="1"/>
      <w:numFmt w:val="decimal"/>
      <w:pStyle w:val="5"/>
      <w:isLgl/>
      <w:suff w:val="space"/>
      <w:lvlText w:val="%1.%2.%3"/>
      <w:lvlJc w:val="left"/>
      <w:pPr>
        <w:tabs>
          <w:tab w:val="left" w:pos="0"/>
        </w:tabs>
        <w:ind w:left="0" w:firstLine="0"/>
      </w:pPr>
      <w:rPr>
        <w:rFonts w:hint="eastAsia"/>
      </w:rPr>
    </w:lvl>
    <w:lvl w:ilvl="3" w:tentative="0">
      <w:start w:val="1"/>
      <w:numFmt w:val="decimal"/>
      <w:isLgl/>
      <w:suff w:val="space"/>
      <w:lvlText w:val="%1.%2.%3.%4"/>
      <w:lvlJc w:val="left"/>
      <w:pPr>
        <w:tabs>
          <w:tab w:val="left" w:pos="0"/>
        </w:tabs>
        <w:ind w:left="0" w:firstLine="0"/>
      </w:pPr>
      <w:rPr>
        <w:rFonts w:hint="default" w:ascii="Times New Roman" w:hAnsi="Times New Roman" w:cs="Times New Roman"/>
        <w:color w:val="000000" w:themeColor="text1"/>
        <w14:textFill>
          <w14:solidFill>
            <w14:schemeClr w14:val="tx1"/>
          </w14:solidFill>
        </w14:textFill>
      </w:rPr>
    </w:lvl>
    <w:lvl w:ilvl="4" w:tentative="0">
      <w:start w:val="1"/>
      <w:numFmt w:val="decimal"/>
      <w:isLgl/>
      <w:suff w:val="space"/>
      <w:lvlText w:val="%1.%2.%3.%4.%5"/>
      <w:lvlJc w:val="left"/>
      <w:pPr>
        <w:ind w:left="0" w:firstLine="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num w:numId="1">
    <w:abstractNumId w:val="9"/>
  </w:num>
  <w:num w:numId="2">
    <w:abstractNumId w:val="7"/>
  </w:num>
  <w:num w:numId="3">
    <w:abstractNumId w:val="5"/>
  </w:num>
  <w:num w:numId="4">
    <w:abstractNumId w:val="0"/>
  </w:num>
  <w:num w:numId="5">
    <w:abstractNumId w:val="1"/>
  </w:num>
  <w:num w:numId="6">
    <w:abstractNumId w:val="8"/>
  </w:num>
  <w:num w:numId="7">
    <w:abstractNumId w:val="3"/>
  </w:num>
  <w:num w:numId="8">
    <w:abstractNumId w:val="2"/>
  </w:num>
  <w:num w:numId="9">
    <w:abstractNumId w:val="6"/>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E0YTVjMTE4OTQxMjNhODdhZmY2MTgwZTczM2NmN2UifQ=="/>
  </w:docVars>
  <w:rsids>
    <w:rsidRoot w:val="00172A27"/>
    <w:rsid w:val="00360A75"/>
    <w:rsid w:val="011638A2"/>
    <w:rsid w:val="017A50B2"/>
    <w:rsid w:val="017B7436"/>
    <w:rsid w:val="01D576D9"/>
    <w:rsid w:val="02117C76"/>
    <w:rsid w:val="027E22C9"/>
    <w:rsid w:val="02872721"/>
    <w:rsid w:val="02F8758C"/>
    <w:rsid w:val="038766BE"/>
    <w:rsid w:val="039B2B34"/>
    <w:rsid w:val="04223B99"/>
    <w:rsid w:val="04594E61"/>
    <w:rsid w:val="04795A6D"/>
    <w:rsid w:val="048F5D06"/>
    <w:rsid w:val="04A67922"/>
    <w:rsid w:val="05584EC0"/>
    <w:rsid w:val="05990248"/>
    <w:rsid w:val="061B44D1"/>
    <w:rsid w:val="06413579"/>
    <w:rsid w:val="068C5C42"/>
    <w:rsid w:val="08034D41"/>
    <w:rsid w:val="084E5FEC"/>
    <w:rsid w:val="08934A17"/>
    <w:rsid w:val="08C77367"/>
    <w:rsid w:val="08DC5658"/>
    <w:rsid w:val="09CB04FA"/>
    <w:rsid w:val="0A080F88"/>
    <w:rsid w:val="0A8F71D8"/>
    <w:rsid w:val="0B61066E"/>
    <w:rsid w:val="0B8A787B"/>
    <w:rsid w:val="0C1157E1"/>
    <w:rsid w:val="0C560B8B"/>
    <w:rsid w:val="0E6E1077"/>
    <w:rsid w:val="0E912F6F"/>
    <w:rsid w:val="0EFC4299"/>
    <w:rsid w:val="0F1B7B63"/>
    <w:rsid w:val="0F7D27DC"/>
    <w:rsid w:val="0F8A3B9D"/>
    <w:rsid w:val="0FB029A1"/>
    <w:rsid w:val="0FED051E"/>
    <w:rsid w:val="10027FA1"/>
    <w:rsid w:val="10046849"/>
    <w:rsid w:val="10854628"/>
    <w:rsid w:val="10C952A5"/>
    <w:rsid w:val="10FC2F38"/>
    <w:rsid w:val="113F3772"/>
    <w:rsid w:val="11C169EE"/>
    <w:rsid w:val="11E05937"/>
    <w:rsid w:val="12641D7B"/>
    <w:rsid w:val="128D6FC9"/>
    <w:rsid w:val="12966669"/>
    <w:rsid w:val="13183E17"/>
    <w:rsid w:val="135E57E2"/>
    <w:rsid w:val="13852398"/>
    <w:rsid w:val="13934F07"/>
    <w:rsid w:val="13B52C70"/>
    <w:rsid w:val="13D16DAF"/>
    <w:rsid w:val="14A04844"/>
    <w:rsid w:val="15190FE8"/>
    <w:rsid w:val="151B66DF"/>
    <w:rsid w:val="151D5957"/>
    <w:rsid w:val="15F26E87"/>
    <w:rsid w:val="16F54102"/>
    <w:rsid w:val="172A128B"/>
    <w:rsid w:val="1791130A"/>
    <w:rsid w:val="18015B42"/>
    <w:rsid w:val="18054537"/>
    <w:rsid w:val="18285301"/>
    <w:rsid w:val="18E257B2"/>
    <w:rsid w:val="1A9E554F"/>
    <w:rsid w:val="1AF13750"/>
    <w:rsid w:val="1B0818E3"/>
    <w:rsid w:val="1B2A6DC9"/>
    <w:rsid w:val="1B682381"/>
    <w:rsid w:val="1C300547"/>
    <w:rsid w:val="1C3D5E4E"/>
    <w:rsid w:val="1CFC7225"/>
    <w:rsid w:val="1D00505A"/>
    <w:rsid w:val="1D962329"/>
    <w:rsid w:val="1DEA4650"/>
    <w:rsid w:val="1E543091"/>
    <w:rsid w:val="1E8B0F25"/>
    <w:rsid w:val="20523600"/>
    <w:rsid w:val="2068419F"/>
    <w:rsid w:val="20F80F28"/>
    <w:rsid w:val="21480C4B"/>
    <w:rsid w:val="22157815"/>
    <w:rsid w:val="235853DB"/>
    <w:rsid w:val="23C56018"/>
    <w:rsid w:val="24121DEF"/>
    <w:rsid w:val="2423778D"/>
    <w:rsid w:val="25BC28B2"/>
    <w:rsid w:val="27E97C9E"/>
    <w:rsid w:val="27E97F1F"/>
    <w:rsid w:val="281C1BB8"/>
    <w:rsid w:val="287D0A7D"/>
    <w:rsid w:val="28C560BE"/>
    <w:rsid w:val="293F4A2F"/>
    <w:rsid w:val="29550D74"/>
    <w:rsid w:val="295613B6"/>
    <w:rsid w:val="29B04796"/>
    <w:rsid w:val="29E277A3"/>
    <w:rsid w:val="2A225DF1"/>
    <w:rsid w:val="2A27706B"/>
    <w:rsid w:val="2B77760D"/>
    <w:rsid w:val="2B9F1B69"/>
    <w:rsid w:val="2BAB58CB"/>
    <w:rsid w:val="2BC82B33"/>
    <w:rsid w:val="2BD610FB"/>
    <w:rsid w:val="2CBA4FC4"/>
    <w:rsid w:val="2DB1014D"/>
    <w:rsid w:val="2E90122D"/>
    <w:rsid w:val="2EBB2FC2"/>
    <w:rsid w:val="2F724F35"/>
    <w:rsid w:val="2FAE6357"/>
    <w:rsid w:val="2FB659D0"/>
    <w:rsid w:val="2FFF2A44"/>
    <w:rsid w:val="300A1801"/>
    <w:rsid w:val="301461DC"/>
    <w:rsid w:val="307701FB"/>
    <w:rsid w:val="30975518"/>
    <w:rsid w:val="312D13FE"/>
    <w:rsid w:val="312E70CD"/>
    <w:rsid w:val="31502613"/>
    <w:rsid w:val="31741536"/>
    <w:rsid w:val="32342B66"/>
    <w:rsid w:val="32584AA6"/>
    <w:rsid w:val="33E93F48"/>
    <w:rsid w:val="344E7486"/>
    <w:rsid w:val="35213875"/>
    <w:rsid w:val="35330416"/>
    <w:rsid w:val="36012639"/>
    <w:rsid w:val="37C624B2"/>
    <w:rsid w:val="399E1130"/>
    <w:rsid w:val="3A541BF5"/>
    <w:rsid w:val="3A986AF7"/>
    <w:rsid w:val="3AAC1457"/>
    <w:rsid w:val="3AD11317"/>
    <w:rsid w:val="3B0D7433"/>
    <w:rsid w:val="3B827774"/>
    <w:rsid w:val="3C3136A4"/>
    <w:rsid w:val="3C4554FD"/>
    <w:rsid w:val="3D4235C3"/>
    <w:rsid w:val="3D7A78E4"/>
    <w:rsid w:val="3DBF51F5"/>
    <w:rsid w:val="3DF441B3"/>
    <w:rsid w:val="3E5B59F5"/>
    <w:rsid w:val="3EF56614"/>
    <w:rsid w:val="3F6B1650"/>
    <w:rsid w:val="3F7942AE"/>
    <w:rsid w:val="3FE13435"/>
    <w:rsid w:val="3FEE1F91"/>
    <w:rsid w:val="402C0052"/>
    <w:rsid w:val="41E55808"/>
    <w:rsid w:val="423A0EBC"/>
    <w:rsid w:val="424830B5"/>
    <w:rsid w:val="43362122"/>
    <w:rsid w:val="43A85162"/>
    <w:rsid w:val="43BB47F3"/>
    <w:rsid w:val="43DA3493"/>
    <w:rsid w:val="43DF7B60"/>
    <w:rsid w:val="43E706F0"/>
    <w:rsid w:val="44286E9F"/>
    <w:rsid w:val="4464354E"/>
    <w:rsid w:val="44E73A68"/>
    <w:rsid w:val="451C266B"/>
    <w:rsid w:val="45272D5F"/>
    <w:rsid w:val="45570BED"/>
    <w:rsid w:val="45AF3583"/>
    <w:rsid w:val="462B14E6"/>
    <w:rsid w:val="467A397F"/>
    <w:rsid w:val="4682114A"/>
    <w:rsid w:val="46D05B9E"/>
    <w:rsid w:val="46D6598E"/>
    <w:rsid w:val="474A354D"/>
    <w:rsid w:val="476D4547"/>
    <w:rsid w:val="479229E6"/>
    <w:rsid w:val="47CD1191"/>
    <w:rsid w:val="485A2E27"/>
    <w:rsid w:val="489F6B33"/>
    <w:rsid w:val="493A4AAE"/>
    <w:rsid w:val="494D11FB"/>
    <w:rsid w:val="49835AB6"/>
    <w:rsid w:val="49BC54C3"/>
    <w:rsid w:val="4A0E1922"/>
    <w:rsid w:val="4A630034"/>
    <w:rsid w:val="4A630E0F"/>
    <w:rsid w:val="4AD32DCE"/>
    <w:rsid w:val="4B0940A8"/>
    <w:rsid w:val="4B8240FA"/>
    <w:rsid w:val="4BB24DCF"/>
    <w:rsid w:val="4BEB73D9"/>
    <w:rsid w:val="4C0B2731"/>
    <w:rsid w:val="4C355722"/>
    <w:rsid w:val="4CAA75A6"/>
    <w:rsid w:val="4D252731"/>
    <w:rsid w:val="4D302985"/>
    <w:rsid w:val="4D434404"/>
    <w:rsid w:val="4DF44325"/>
    <w:rsid w:val="4DFB14F8"/>
    <w:rsid w:val="4E2730CC"/>
    <w:rsid w:val="501144C3"/>
    <w:rsid w:val="50267B3A"/>
    <w:rsid w:val="506F14E1"/>
    <w:rsid w:val="50E83EC0"/>
    <w:rsid w:val="511D4708"/>
    <w:rsid w:val="51200B50"/>
    <w:rsid w:val="513F4390"/>
    <w:rsid w:val="517169BB"/>
    <w:rsid w:val="51BE1D8B"/>
    <w:rsid w:val="528F5C29"/>
    <w:rsid w:val="52A10FF1"/>
    <w:rsid w:val="52F21E12"/>
    <w:rsid w:val="542D4A09"/>
    <w:rsid w:val="54304F99"/>
    <w:rsid w:val="54380DBD"/>
    <w:rsid w:val="54525F01"/>
    <w:rsid w:val="556D0AB2"/>
    <w:rsid w:val="56357195"/>
    <w:rsid w:val="56C445B4"/>
    <w:rsid w:val="582E636B"/>
    <w:rsid w:val="58A37BE5"/>
    <w:rsid w:val="58C15050"/>
    <w:rsid w:val="590F7D91"/>
    <w:rsid w:val="5A255C83"/>
    <w:rsid w:val="5A9F7BFF"/>
    <w:rsid w:val="5B0148ED"/>
    <w:rsid w:val="5B064511"/>
    <w:rsid w:val="5B122345"/>
    <w:rsid w:val="5BA6162F"/>
    <w:rsid w:val="5BB5323E"/>
    <w:rsid w:val="5C0F3DA5"/>
    <w:rsid w:val="5C390B63"/>
    <w:rsid w:val="5CA506C1"/>
    <w:rsid w:val="5D8C0C6F"/>
    <w:rsid w:val="5DFA683C"/>
    <w:rsid w:val="5DFE70FF"/>
    <w:rsid w:val="5E5970BC"/>
    <w:rsid w:val="5F023E74"/>
    <w:rsid w:val="5F1C6CD8"/>
    <w:rsid w:val="5F1F2324"/>
    <w:rsid w:val="5F3D06B1"/>
    <w:rsid w:val="5F7B4C98"/>
    <w:rsid w:val="5FB452EA"/>
    <w:rsid w:val="601D57AD"/>
    <w:rsid w:val="608763D3"/>
    <w:rsid w:val="6175447D"/>
    <w:rsid w:val="617D74D3"/>
    <w:rsid w:val="61D92DE6"/>
    <w:rsid w:val="61FF17B8"/>
    <w:rsid w:val="620C77C0"/>
    <w:rsid w:val="62363CAD"/>
    <w:rsid w:val="625B26D9"/>
    <w:rsid w:val="62BA12DA"/>
    <w:rsid w:val="63310C18"/>
    <w:rsid w:val="6377613F"/>
    <w:rsid w:val="63C01ACC"/>
    <w:rsid w:val="63EA3E67"/>
    <w:rsid w:val="64130C7A"/>
    <w:rsid w:val="64394065"/>
    <w:rsid w:val="644D16E1"/>
    <w:rsid w:val="6586358E"/>
    <w:rsid w:val="666F5210"/>
    <w:rsid w:val="667E022C"/>
    <w:rsid w:val="674C0FFA"/>
    <w:rsid w:val="67F20C4C"/>
    <w:rsid w:val="6811678C"/>
    <w:rsid w:val="68710AB1"/>
    <w:rsid w:val="68D52BEC"/>
    <w:rsid w:val="69026F3E"/>
    <w:rsid w:val="69114EF8"/>
    <w:rsid w:val="694A6683"/>
    <w:rsid w:val="696A4AE4"/>
    <w:rsid w:val="6A022F6E"/>
    <w:rsid w:val="6A2805D7"/>
    <w:rsid w:val="6A511315"/>
    <w:rsid w:val="6BB74B34"/>
    <w:rsid w:val="6BDD1DB2"/>
    <w:rsid w:val="6C016BE7"/>
    <w:rsid w:val="6C0E7D56"/>
    <w:rsid w:val="6C1A72AD"/>
    <w:rsid w:val="6C2D0936"/>
    <w:rsid w:val="6C3F2FBB"/>
    <w:rsid w:val="6C8E0D7A"/>
    <w:rsid w:val="6CE55E33"/>
    <w:rsid w:val="6D895764"/>
    <w:rsid w:val="6DA275BE"/>
    <w:rsid w:val="6EB4152F"/>
    <w:rsid w:val="6F8A46B9"/>
    <w:rsid w:val="705119A4"/>
    <w:rsid w:val="708F5C5B"/>
    <w:rsid w:val="70BC26B9"/>
    <w:rsid w:val="70DB7488"/>
    <w:rsid w:val="711544BD"/>
    <w:rsid w:val="71203E76"/>
    <w:rsid w:val="715B5709"/>
    <w:rsid w:val="715F07E5"/>
    <w:rsid w:val="71D52E2E"/>
    <w:rsid w:val="72CA1308"/>
    <w:rsid w:val="72EA2FC7"/>
    <w:rsid w:val="741D6FD3"/>
    <w:rsid w:val="7439758C"/>
    <w:rsid w:val="74747EFA"/>
    <w:rsid w:val="74B43F14"/>
    <w:rsid w:val="74BA716A"/>
    <w:rsid w:val="750157DA"/>
    <w:rsid w:val="750667E2"/>
    <w:rsid w:val="754F752D"/>
    <w:rsid w:val="75C418C5"/>
    <w:rsid w:val="76EA13C5"/>
    <w:rsid w:val="77110B96"/>
    <w:rsid w:val="77AB3E76"/>
    <w:rsid w:val="77B358A8"/>
    <w:rsid w:val="7849099D"/>
    <w:rsid w:val="786B18D5"/>
    <w:rsid w:val="7A255F27"/>
    <w:rsid w:val="7A794E29"/>
    <w:rsid w:val="7B495A80"/>
    <w:rsid w:val="7BCD1F80"/>
    <w:rsid w:val="7C8B3B56"/>
    <w:rsid w:val="7C8F4DD1"/>
    <w:rsid w:val="7CFD787D"/>
    <w:rsid w:val="7DBF4FA6"/>
    <w:rsid w:val="7DF623AF"/>
    <w:rsid w:val="7E491E00"/>
    <w:rsid w:val="7F30558E"/>
    <w:rsid w:val="7FF352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1"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autoRedefine/>
    <w:qFormat/>
    <w:uiPriority w:val="0"/>
    <w:pPr>
      <w:widowControl/>
      <w:spacing w:before="100" w:beforeAutospacing="1" w:after="100" w:afterAutospacing="1"/>
      <w:jc w:val="left"/>
      <w:outlineLvl w:val="0"/>
    </w:pPr>
    <w:rPr>
      <w:rFonts w:ascii="宋体" w:hAnsi="宋体" w:cs="宋体"/>
      <w:b/>
      <w:bCs/>
      <w:kern w:val="36"/>
      <w:sz w:val="24"/>
      <w:szCs w:val="24"/>
    </w:rPr>
  </w:style>
  <w:style w:type="paragraph" w:styleId="3">
    <w:name w:val="heading 2"/>
    <w:basedOn w:val="1"/>
    <w:next w:val="4"/>
    <w:autoRedefine/>
    <w:qFormat/>
    <w:uiPriority w:val="0"/>
    <w:pPr>
      <w:keepNext/>
      <w:keepLines/>
      <w:spacing w:before="260" w:after="260" w:line="416" w:lineRule="auto"/>
      <w:outlineLvl w:val="1"/>
    </w:pPr>
    <w:rPr>
      <w:rFonts w:ascii="Cambria" w:hAnsi="Cambria"/>
      <w:b/>
      <w:bCs/>
      <w:sz w:val="32"/>
      <w:szCs w:val="32"/>
    </w:rPr>
  </w:style>
  <w:style w:type="paragraph" w:styleId="5">
    <w:name w:val="heading 3"/>
    <w:basedOn w:val="1"/>
    <w:next w:val="1"/>
    <w:unhideWhenUsed/>
    <w:qFormat/>
    <w:uiPriority w:val="0"/>
    <w:pPr>
      <w:keepNext/>
      <w:keepLines/>
      <w:numPr>
        <w:ilvl w:val="2"/>
        <w:numId w:val="1"/>
      </w:numPr>
      <w:spacing w:line="413" w:lineRule="auto"/>
      <w:ind w:firstLineChars="0"/>
      <w:outlineLvl w:val="2"/>
    </w:pPr>
    <w:rPr>
      <w:b/>
    </w:rPr>
  </w:style>
  <w:style w:type="paragraph" w:styleId="6">
    <w:name w:val="heading 4"/>
    <w:basedOn w:val="1"/>
    <w:next w:val="1"/>
    <w:qFormat/>
    <w:uiPriority w:val="1"/>
    <w:pPr>
      <w:keepNext/>
      <w:keepLines/>
      <w:numPr>
        <w:ilvl w:val="3"/>
        <w:numId w:val="2"/>
      </w:numPr>
      <w:ind w:firstLineChars="0"/>
      <w:outlineLvl w:val="3"/>
    </w:pPr>
    <w:rPr>
      <w:b/>
      <w:bCs/>
      <w:szCs w:val="24"/>
    </w:rPr>
  </w:style>
  <w:style w:type="character" w:default="1" w:styleId="21">
    <w:name w:val="Default Paragraph Font"/>
    <w:autoRedefine/>
    <w:qFormat/>
    <w:uiPriority w:val="0"/>
  </w:style>
  <w:style w:type="table" w:default="1" w:styleId="19">
    <w:name w:val="Normal Table"/>
    <w:autoRedefine/>
    <w:semiHidden/>
    <w:qFormat/>
    <w:uiPriority w:val="0"/>
    <w:tblPr>
      <w:tblCellMar>
        <w:top w:w="0" w:type="dxa"/>
        <w:left w:w="108" w:type="dxa"/>
        <w:bottom w:w="0" w:type="dxa"/>
        <w:right w:w="108" w:type="dxa"/>
      </w:tblCellMar>
    </w:tblPr>
  </w:style>
  <w:style w:type="paragraph" w:styleId="4">
    <w:name w:val="Body Text Indent 2"/>
    <w:basedOn w:val="1"/>
    <w:autoRedefine/>
    <w:qFormat/>
    <w:uiPriority w:val="0"/>
    <w:pPr>
      <w:spacing w:after="120" w:line="480" w:lineRule="auto"/>
      <w:ind w:left="420" w:leftChars="200"/>
    </w:pPr>
  </w:style>
  <w:style w:type="paragraph" w:styleId="7">
    <w:name w:val="Normal Indent"/>
    <w:basedOn w:val="1"/>
    <w:autoRedefine/>
    <w:qFormat/>
    <w:uiPriority w:val="0"/>
    <w:pPr>
      <w:spacing w:line="240" w:lineRule="auto"/>
      <w:ind w:firstLine="420" w:firstLineChars="0"/>
    </w:pPr>
    <w:rPr>
      <w:rFonts w:ascii="Times New Roman" w:hAnsi="Times New Roman"/>
      <w:sz w:val="21"/>
      <w:szCs w:val="20"/>
    </w:rPr>
  </w:style>
  <w:style w:type="paragraph" w:styleId="8">
    <w:name w:val="caption"/>
    <w:basedOn w:val="1"/>
    <w:next w:val="1"/>
    <w:unhideWhenUsed/>
    <w:qFormat/>
    <w:uiPriority w:val="0"/>
    <w:pPr>
      <w:ind w:firstLine="0" w:firstLineChars="0"/>
      <w:jc w:val="center"/>
      <w:outlineLvl w:val="4"/>
    </w:pPr>
    <w:rPr>
      <w:b/>
    </w:rPr>
  </w:style>
  <w:style w:type="paragraph" w:styleId="9">
    <w:name w:val="Body Text"/>
    <w:basedOn w:val="1"/>
    <w:autoRedefine/>
    <w:qFormat/>
    <w:uiPriority w:val="0"/>
    <w:pPr>
      <w:spacing w:after="120" w:afterLines="0" w:afterAutospacing="0"/>
    </w:pPr>
    <w:rPr>
      <w:kern w:val="2"/>
      <w:sz w:val="21"/>
    </w:rPr>
  </w:style>
  <w:style w:type="paragraph" w:styleId="10">
    <w:name w:val="Body Text Indent"/>
    <w:basedOn w:val="1"/>
    <w:autoRedefine/>
    <w:qFormat/>
    <w:uiPriority w:val="0"/>
    <w:pPr>
      <w:adjustRightInd w:val="0"/>
      <w:spacing w:line="440" w:lineRule="exact"/>
      <w:ind w:firstLine="600"/>
      <w:jc w:val="left"/>
      <w:textAlignment w:val="baseline"/>
    </w:pPr>
    <w:rPr>
      <w:rFonts w:ascii="长城细圆体" w:eastAsia="长城细圆体"/>
      <w:spacing w:val="-4"/>
      <w:kern w:val="0"/>
      <w:sz w:val="24"/>
    </w:rPr>
  </w:style>
  <w:style w:type="paragraph" w:styleId="11">
    <w:name w:val="Date"/>
    <w:basedOn w:val="1"/>
    <w:next w:val="1"/>
    <w:autoRedefine/>
    <w:qFormat/>
    <w:uiPriority w:val="0"/>
    <w:rPr>
      <w:sz w:val="28"/>
      <w:szCs w:val="28"/>
    </w:rPr>
  </w:style>
  <w:style w:type="paragraph" w:styleId="12">
    <w:name w:val="footer"/>
    <w:basedOn w:val="1"/>
    <w:next w:val="1"/>
    <w:autoRedefine/>
    <w:qFormat/>
    <w:uiPriority w:val="99"/>
    <w:pPr>
      <w:tabs>
        <w:tab w:val="center" w:pos="4153"/>
        <w:tab w:val="right" w:pos="8306"/>
      </w:tabs>
      <w:snapToGrid w:val="0"/>
      <w:jc w:val="left"/>
    </w:pPr>
    <w:rPr>
      <w:sz w:val="18"/>
      <w:szCs w:val="18"/>
    </w:rPr>
  </w:style>
  <w:style w:type="paragraph" w:styleId="13">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4">
    <w:name w:val="toc 1"/>
    <w:basedOn w:val="1"/>
    <w:next w:val="1"/>
    <w:qFormat/>
    <w:uiPriority w:val="0"/>
  </w:style>
  <w:style w:type="paragraph" w:styleId="15">
    <w:name w:val="toc 2"/>
    <w:basedOn w:val="1"/>
    <w:next w:val="1"/>
    <w:qFormat/>
    <w:uiPriority w:val="0"/>
    <w:pPr>
      <w:ind w:left="420" w:leftChars="200"/>
    </w:pPr>
  </w:style>
  <w:style w:type="paragraph" w:styleId="16">
    <w:name w:val="Normal (Web)"/>
    <w:basedOn w:val="1"/>
    <w:autoRedefine/>
    <w:unhideWhenUsed/>
    <w:qFormat/>
    <w:uiPriority w:val="99"/>
    <w:pPr>
      <w:jc w:val="left"/>
    </w:pPr>
    <w:rPr>
      <w:kern w:val="0"/>
      <w:sz w:val="24"/>
      <w:szCs w:val="24"/>
    </w:rPr>
  </w:style>
  <w:style w:type="paragraph" w:styleId="17">
    <w:name w:val="Body Text First Indent"/>
    <w:basedOn w:val="1"/>
    <w:qFormat/>
    <w:uiPriority w:val="0"/>
    <w:pPr>
      <w:spacing w:after="120"/>
      <w:ind w:firstLine="420" w:firstLineChars="100"/>
      <w:jc w:val="both"/>
    </w:pPr>
  </w:style>
  <w:style w:type="paragraph" w:styleId="18">
    <w:name w:val="Body Text First Indent 2"/>
    <w:basedOn w:val="10"/>
    <w:autoRedefine/>
    <w:unhideWhenUsed/>
    <w:qFormat/>
    <w:uiPriority w:val="99"/>
    <w:pPr>
      <w:ind w:firstLine="420" w:firstLineChars="200"/>
    </w:pPr>
  </w:style>
  <w:style w:type="table" w:styleId="20">
    <w:name w:val="Table Grid"/>
    <w:basedOn w:val="1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Strong"/>
    <w:basedOn w:val="21"/>
    <w:qFormat/>
    <w:uiPriority w:val="0"/>
    <w:rPr>
      <w:b/>
    </w:rPr>
  </w:style>
  <w:style w:type="character" w:styleId="23">
    <w:name w:val="page number"/>
    <w:basedOn w:val="21"/>
    <w:autoRedefine/>
    <w:qFormat/>
    <w:uiPriority w:val="0"/>
  </w:style>
  <w:style w:type="paragraph" w:customStyle="1" w:styleId="24">
    <w:name w:val=" Char"/>
    <w:basedOn w:val="1"/>
    <w:autoRedefine/>
    <w:qFormat/>
    <w:uiPriority w:val="0"/>
  </w:style>
  <w:style w:type="paragraph" w:customStyle="1" w:styleId="25">
    <w:name w:val="样式 宋体 左 行距: 固定值 22 磅"/>
    <w:basedOn w:val="1"/>
    <w:autoRedefine/>
    <w:qFormat/>
    <w:uiPriority w:val="0"/>
    <w:pPr>
      <w:spacing w:line="440" w:lineRule="exact"/>
      <w:ind w:firstLine="480" w:firstLineChars="200"/>
      <w:jc w:val="left"/>
    </w:pPr>
    <w:rPr>
      <w:rFonts w:ascii="宋体" w:hAnsi="宋体" w:cs="宋体"/>
      <w:sz w:val="24"/>
    </w:rPr>
  </w:style>
  <w:style w:type="character" w:customStyle="1" w:styleId="26">
    <w:name w:val="16"/>
    <w:basedOn w:val="21"/>
    <w:autoRedefine/>
    <w:qFormat/>
    <w:uiPriority w:val="0"/>
    <w:rPr>
      <w:rFonts w:hint="default" w:ascii="Times New Roman" w:hAnsi="Times New Roman" w:cs="Times New Roman"/>
      <w:color w:val="000000"/>
      <w:sz w:val="18"/>
      <w:szCs w:val="18"/>
    </w:rPr>
  </w:style>
  <w:style w:type="character" w:customStyle="1" w:styleId="27">
    <w:name w:val="15"/>
    <w:basedOn w:val="21"/>
    <w:autoRedefine/>
    <w:qFormat/>
    <w:uiPriority w:val="0"/>
    <w:rPr>
      <w:rFonts w:hint="eastAsia" w:ascii="宋体" w:hAnsi="宋体" w:eastAsia="宋体"/>
      <w:color w:val="000000"/>
      <w:sz w:val="22"/>
      <w:szCs w:val="22"/>
    </w:rPr>
  </w:style>
  <w:style w:type="character" w:customStyle="1" w:styleId="28">
    <w:name w:val="font51"/>
    <w:basedOn w:val="21"/>
    <w:autoRedefine/>
    <w:qFormat/>
    <w:uiPriority w:val="0"/>
    <w:rPr>
      <w:rFonts w:hint="default" w:ascii="Times New Roman" w:hAnsi="Times New Roman" w:cs="Times New Roman"/>
      <w:color w:val="000000"/>
      <w:sz w:val="22"/>
      <w:szCs w:val="22"/>
      <w:u w:val="none"/>
    </w:rPr>
  </w:style>
  <w:style w:type="character" w:customStyle="1" w:styleId="29">
    <w:name w:val="font01"/>
    <w:basedOn w:val="21"/>
    <w:autoRedefine/>
    <w:qFormat/>
    <w:uiPriority w:val="0"/>
    <w:rPr>
      <w:rFonts w:hint="default" w:ascii="Times New Roman" w:hAnsi="Times New Roman" w:cs="Times New Roman"/>
      <w:color w:val="000000"/>
      <w:sz w:val="18"/>
      <w:szCs w:val="18"/>
      <w:u w:val="none"/>
    </w:rPr>
  </w:style>
  <w:style w:type="character" w:customStyle="1" w:styleId="30">
    <w:name w:val="font31"/>
    <w:basedOn w:val="21"/>
    <w:autoRedefine/>
    <w:qFormat/>
    <w:uiPriority w:val="0"/>
    <w:rPr>
      <w:rFonts w:hint="eastAsia" w:ascii="宋体" w:hAnsi="宋体" w:eastAsia="宋体" w:cs="宋体"/>
      <w:color w:val="000000"/>
      <w:sz w:val="22"/>
      <w:szCs w:val="22"/>
      <w:u w:val="none"/>
    </w:rPr>
  </w:style>
  <w:style w:type="character" w:customStyle="1" w:styleId="31">
    <w:name w:val="font41"/>
    <w:basedOn w:val="21"/>
    <w:autoRedefine/>
    <w:qFormat/>
    <w:uiPriority w:val="0"/>
    <w:rPr>
      <w:rFonts w:hint="default" w:ascii="Times New Roman" w:hAnsi="Times New Roman" w:cs="Times New Roman"/>
      <w:color w:val="000000"/>
      <w:sz w:val="28"/>
      <w:szCs w:val="28"/>
      <w:u w:val="none"/>
    </w:rPr>
  </w:style>
  <w:style w:type="character" w:customStyle="1" w:styleId="32">
    <w:name w:val="font61"/>
    <w:basedOn w:val="21"/>
    <w:autoRedefine/>
    <w:qFormat/>
    <w:uiPriority w:val="0"/>
    <w:rPr>
      <w:rFonts w:hint="default" w:ascii="Times New Roman" w:hAnsi="Times New Roman" w:cs="Times New Roman"/>
      <w:color w:val="000000"/>
      <w:sz w:val="22"/>
      <w:szCs w:val="22"/>
      <w:u w:val="single"/>
    </w:rPr>
  </w:style>
  <w:style w:type="character" w:customStyle="1" w:styleId="33">
    <w:name w:val="font71"/>
    <w:basedOn w:val="21"/>
    <w:autoRedefine/>
    <w:qFormat/>
    <w:uiPriority w:val="0"/>
    <w:rPr>
      <w:rFonts w:hint="eastAsia" w:ascii="宋体" w:hAnsi="宋体" w:eastAsia="宋体" w:cs="宋体"/>
      <w:color w:val="000000"/>
      <w:sz w:val="22"/>
      <w:szCs w:val="22"/>
      <w:u w:val="single"/>
    </w:rPr>
  </w:style>
  <w:style w:type="character" w:customStyle="1" w:styleId="34">
    <w:name w:val="font81"/>
    <w:basedOn w:val="21"/>
    <w:autoRedefine/>
    <w:qFormat/>
    <w:uiPriority w:val="0"/>
    <w:rPr>
      <w:rFonts w:hint="default" w:ascii="Times New Roman" w:hAnsi="Times New Roman" w:cs="Times New Roman"/>
      <w:color w:val="000000"/>
      <w:sz w:val="28"/>
      <w:szCs w:val="28"/>
      <w:u w:val="none"/>
    </w:rPr>
  </w:style>
  <w:style w:type="character" w:customStyle="1" w:styleId="35">
    <w:name w:val="font91"/>
    <w:basedOn w:val="21"/>
    <w:autoRedefine/>
    <w:qFormat/>
    <w:uiPriority w:val="0"/>
    <w:rPr>
      <w:rFonts w:hint="default" w:ascii="Times New Roman" w:hAnsi="Times New Roman" w:cs="Times New Roman"/>
      <w:color w:val="000000"/>
      <w:sz w:val="18"/>
      <w:szCs w:val="18"/>
      <w:u w:val="none"/>
    </w:rPr>
  </w:style>
  <w:style w:type="character" w:customStyle="1" w:styleId="36">
    <w:name w:val="font21"/>
    <w:basedOn w:val="21"/>
    <w:autoRedefine/>
    <w:qFormat/>
    <w:uiPriority w:val="0"/>
    <w:rPr>
      <w:rFonts w:hint="eastAsia" w:ascii="宋体" w:hAnsi="宋体" w:eastAsia="宋体" w:cs="宋体"/>
      <w:color w:val="000000"/>
      <w:sz w:val="22"/>
      <w:szCs w:val="22"/>
      <w:u w:val="none"/>
    </w:rPr>
  </w:style>
  <w:style w:type="paragraph" w:customStyle="1" w:styleId="37">
    <w:name w:val="Default"/>
    <w:autoRedefine/>
    <w:qFormat/>
    <w:uiPriority w:val="0"/>
    <w:pPr>
      <w:widowControl w:val="0"/>
      <w:autoSpaceDE w:val="0"/>
      <w:autoSpaceDN w:val="0"/>
      <w:adjustRightInd w:val="0"/>
    </w:pPr>
    <w:rPr>
      <w:rFonts w:ascii="新宋体" w:hAnsi="Calibri" w:eastAsia="新宋体" w:cs="Times New Roman"/>
      <w:color w:val="000000"/>
      <w:sz w:val="24"/>
      <w:lang w:val="en-US" w:eastAsia="zh-CN" w:bidi="ar-SA"/>
    </w:rPr>
  </w:style>
  <w:style w:type="paragraph" w:customStyle="1" w:styleId="38">
    <w:name w:val="CM40"/>
    <w:basedOn w:val="37"/>
    <w:next w:val="37"/>
    <w:autoRedefine/>
    <w:qFormat/>
    <w:uiPriority w:val="0"/>
    <w:rPr>
      <w:color w:val="auto"/>
    </w:rPr>
  </w:style>
  <w:style w:type="paragraph" w:customStyle="1" w:styleId="39">
    <w:name w:val="城建正文"/>
    <w:basedOn w:val="1"/>
    <w:autoRedefine/>
    <w:qFormat/>
    <w:uiPriority w:val="0"/>
    <w:pPr>
      <w:spacing w:line="500" w:lineRule="exact"/>
      <w:ind w:firstLine="200" w:firstLineChars="200"/>
    </w:pPr>
    <w:rPr>
      <w:rFonts w:eastAsia="仿宋_GB2312"/>
      <w:sz w:val="28"/>
      <w:szCs w:val="24"/>
    </w:rPr>
  </w:style>
  <w:style w:type="paragraph" w:customStyle="1" w:styleId="40">
    <w:name w:val="表格正文"/>
    <w:basedOn w:val="1"/>
    <w:autoRedefine/>
    <w:qFormat/>
    <w:uiPriority w:val="0"/>
    <w:pPr>
      <w:jc w:val="center"/>
    </w:pPr>
    <w:rPr>
      <w:rFonts w:ascii="宋体" w:hAnsi="宋体" w:cs="宋体"/>
      <w:sz w:val="24"/>
      <w:szCs w:val="24"/>
    </w:rPr>
  </w:style>
  <w:style w:type="character" w:customStyle="1" w:styleId="41">
    <w:name w:val="font101"/>
    <w:basedOn w:val="21"/>
    <w:autoRedefine/>
    <w:qFormat/>
    <w:uiPriority w:val="0"/>
    <w:rPr>
      <w:rFonts w:hint="eastAsia" w:ascii="仿宋" w:hAnsi="仿宋" w:eastAsia="仿宋" w:cs="仿宋"/>
      <w:color w:val="000000"/>
      <w:sz w:val="20"/>
      <w:szCs w:val="20"/>
      <w:u w:val="none"/>
    </w:rPr>
  </w:style>
  <w:style w:type="character" w:customStyle="1" w:styleId="42">
    <w:name w:val="font112"/>
    <w:basedOn w:val="21"/>
    <w:autoRedefine/>
    <w:qFormat/>
    <w:uiPriority w:val="0"/>
    <w:rPr>
      <w:rFonts w:hint="eastAsia" w:ascii="仿宋" w:hAnsi="仿宋" w:eastAsia="仿宋" w:cs="仿宋"/>
      <w:color w:val="000000"/>
      <w:sz w:val="22"/>
      <w:szCs w:val="22"/>
      <w:u w:val="single"/>
    </w:rPr>
  </w:style>
  <w:style w:type="character" w:customStyle="1" w:styleId="43">
    <w:name w:val="font121"/>
    <w:basedOn w:val="21"/>
    <w:autoRedefine/>
    <w:qFormat/>
    <w:uiPriority w:val="0"/>
    <w:rPr>
      <w:rFonts w:hint="eastAsia" w:ascii="仿宋" w:hAnsi="仿宋" w:eastAsia="仿宋" w:cs="仿宋"/>
      <w:color w:val="000000"/>
      <w:sz w:val="22"/>
      <w:szCs w:val="22"/>
      <w:u w:val="single"/>
    </w:rPr>
  </w:style>
  <w:style w:type="character" w:customStyle="1" w:styleId="44">
    <w:name w:val="font131"/>
    <w:basedOn w:val="21"/>
    <w:autoRedefine/>
    <w:qFormat/>
    <w:uiPriority w:val="0"/>
    <w:rPr>
      <w:rFonts w:hint="eastAsia" w:ascii="仿宋" w:hAnsi="仿宋" w:eastAsia="仿宋" w:cs="仿宋"/>
      <w:color w:val="000000"/>
      <w:sz w:val="28"/>
      <w:szCs w:val="28"/>
      <w:u w:val="none"/>
    </w:rPr>
  </w:style>
  <w:style w:type="paragraph" w:customStyle="1" w:styleId="45">
    <w:name w:val="正文111"/>
    <w:basedOn w:val="1"/>
    <w:qFormat/>
    <w:uiPriority w:val="0"/>
    <w:pPr>
      <w:adjustRightInd w:val="0"/>
      <w:snapToGrid w:val="0"/>
      <w:spacing w:line="360" w:lineRule="auto"/>
      <w:ind w:firstLine="480" w:firstLineChars="200"/>
    </w:pPr>
    <w:rPr>
      <w:rFonts w:ascii="宋体" w:hAnsi="宋体"/>
      <w:sz w:val="24"/>
      <w:szCs w:val="24"/>
    </w:rPr>
  </w:style>
  <w:style w:type="character" w:customStyle="1" w:styleId="46">
    <w:name w:val="font141"/>
    <w:basedOn w:val="21"/>
    <w:qFormat/>
    <w:uiPriority w:val="0"/>
    <w:rPr>
      <w:rFonts w:hint="default" w:ascii="Times New Roman" w:hAnsi="Times New Roman" w:cs="Times New Roman"/>
      <w:color w:val="000000"/>
      <w:sz w:val="22"/>
      <w:szCs w:val="22"/>
      <w:u w:val="single"/>
    </w:rPr>
  </w:style>
  <w:style w:type="character" w:customStyle="1" w:styleId="47">
    <w:name w:val="font151"/>
    <w:basedOn w:val="21"/>
    <w:qFormat/>
    <w:uiPriority w:val="0"/>
    <w:rPr>
      <w:rFonts w:hint="eastAsia" w:ascii="宋体" w:hAnsi="宋体" w:eastAsia="宋体" w:cs="宋体"/>
      <w:color w:val="000000"/>
      <w:sz w:val="22"/>
      <w:szCs w:val="22"/>
      <w:u w:val="single"/>
    </w:rPr>
  </w:style>
  <w:style w:type="character" w:customStyle="1" w:styleId="48">
    <w:name w:val="font161"/>
    <w:basedOn w:val="21"/>
    <w:qFormat/>
    <w:uiPriority w:val="0"/>
    <w:rPr>
      <w:rFonts w:hint="default" w:ascii="Times New Roman" w:hAnsi="Times New Roman" w:cs="Times New Roman"/>
      <w:color w:val="000000"/>
      <w:sz w:val="28"/>
      <w:szCs w:val="28"/>
      <w:u w:val="none"/>
    </w:rPr>
  </w:style>
  <w:style w:type="paragraph" w:customStyle="1" w:styleId="49">
    <w:name w:val="表格-内容"/>
    <w:basedOn w:val="1"/>
    <w:qFormat/>
    <w:uiPriority w:val="0"/>
    <w:pPr>
      <w:jc w:val="center"/>
    </w:pPr>
    <w:rPr>
      <w:spacing w:val="-8"/>
      <w:kern w:val="2"/>
      <w:sz w:val="21"/>
      <w:szCs w:val="21"/>
    </w:rPr>
  </w:style>
  <w:style w:type="paragraph" w:customStyle="1" w:styleId="50">
    <w:name w:val="样式1"/>
    <w:basedOn w:val="1"/>
    <w:qFormat/>
    <w:uiPriority w:val="0"/>
    <w:pPr>
      <w:spacing w:line="320" w:lineRule="exact"/>
      <w:jc w:val="center"/>
    </w:pPr>
    <w:rPr>
      <w:w w:val="90"/>
      <w:sz w:val="20"/>
    </w:rPr>
  </w:style>
  <w:style w:type="table" w:customStyle="1" w:styleId="51">
    <w:name w:val="Table Normal"/>
    <w:semiHidden/>
    <w:unhideWhenUsed/>
    <w:qFormat/>
    <w:uiPriority w:val="0"/>
    <w:tblPr>
      <w:tblCellMar>
        <w:top w:w="0" w:type="dxa"/>
        <w:left w:w="0" w:type="dxa"/>
        <w:bottom w:w="0" w:type="dxa"/>
        <w:right w:w="0" w:type="dxa"/>
      </w:tblCellMar>
    </w:tblPr>
  </w:style>
  <w:style w:type="paragraph" w:customStyle="1" w:styleId="52">
    <w:name w:val="Table Paragraph"/>
    <w:basedOn w:val="1"/>
    <w:qFormat/>
    <w:uiPriority w:val="1"/>
  </w:style>
  <w:style w:type="paragraph" w:customStyle="1" w:styleId="53">
    <w:name w:val="Table Text"/>
    <w:basedOn w:val="1"/>
    <w:semiHidden/>
    <w:qFormat/>
    <w:uiPriority w:val="0"/>
    <w:rPr>
      <w:rFonts w:ascii="宋体" w:hAnsi="宋体" w:eastAsia="宋体" w:cs="宋体"/>
      <w:sz w:val="18"/>
      <w:szCs w:val="18"/>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header" Target="header2.xml"/><Relationship Id="rId40" Type="http://schemas.openxmlformats.org/officeDocument/2006/relationships/fontTable" Target="fontTable.xml"/><Relationship Id="rId4" Type="http://schemas.openxmlformats.org/officeDocument/2006/relationships/footer" Target="footer1.xml"/><Relationship Id="rId39" Type="http://schemas.openxmlformats.org/officeDocument/2006/relationships/numbering" Target="numbering.xml"/><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header" Target="header1.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wmf"/><Relationship Id="rId22" Type="http://schemas.openxmlformats.org/officeDocument/2006/relationships/image" Target="media/image15.jpe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png"/><Relationship Id="rId13" Type="http://schemas.openxmlformats.org/officeDocument/2006/relationships/image" Target="media/image6.jpe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63</Pages>
  <Words>3327</Words>
  <Characters>3980</Characters>
  <Lines>0</Lines>
  <Paragraphs>0</Paragraphs>
  <TotalTime>0</TotalTime>
  <ScaleCrop>false</ScaleCrop>
  <LinksUpToDate>false</LinksUpToDate>
  <CharactersWithSpaces>4307</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2023-05-07T05:58:00Z</dcterms:created>
  <dc:creator>SHIDENWEI</dc:creator>
  <cp:lastModifiedBy>644</cp:lastModifiedBy>
  <cp:lastPrinted>2023-05-10T07:38:00Z</cp:lastPrinted>
  <dcterms:modified xsi:type="dcterms:W3CDTF">2026-07-06T05:05:49Z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08836759DA1F4DE5A1E9D43FC7C306CF_13</vt:lpwstr>
  </property>
  <property fmtid="{D5CDD505-2E9C-101B-9397-08002B2CF9AE}" pid="4" name="KSOTemplateDocerSaveRecord">
    <vt:lpwstr>eyJoZGlkIjoiNjIxNjcyY2FlMTQ0YTRmMjY1ODRjZjU0MzhkMjRhYjYiLCJ1c2VySWQiOiI1NTQ4MDAxMjAifQ==</vt:lpwstr>
  </property>
</Properties>
</file>