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5FD9AA">
      <w:pPr>
        <w:tabs>
          <w:tab w:val="left" w:pos="10080"/>
        </w:tabs>
        <w:spacing w:line="360" w:lineRule="auto"/>
        <w:jc w:val="center"/>
        <w:outlineLvl w:val="0"/>
        <w:rPr>
          <w:rFonts w:hint="default" w:ascii="仿宋_GB2312" w:hAnsi="仿宋_GB2312" w:eastAsia="仿宋_GB2312" w:cs="仿宋_GB2312"/>
          <w:b/>
          <w:color w:val="auto"/>
          <w:sz w:val="72"/>
          <w:szCs w:val="72"/>
          <w:lang w:val="en-US" w:eastAsia="zh-CN" w:bidi="ar-SA"/>
        </w:rPr>
      </w:pPr>
      <w:r>
        <w:rPr>
          <w:rFonts w:hint="eastAsia" w:ascii="仿宋_GB2312" w:hAnsi="仿宋_GB2312" w:eastAsia="仿宋_GB2312" w:cs="仿宋_GB2312"/>
          <w:b/>
          <w:color w:val="000000" w:themeColor="text1"/>
          <w:sz w:val="72"/>
          <w:szCs w:val="72"/>
          <w:lang w:val="en-US" w:eastAsia="zh-CN" w:bidi="ar-SA"/>
          <w14:textFill>
            <w14:solidFill>
              <w14:schemeClr w14:val="tx1"/>
            </w14:solidFill>
          </w14:textFill>
        </w:rPr>
        <w:t>岳阳楼区老旧厂区转型提质建设项目——初步设计文件</w:t>
      </w:r>
    </w:p>
    <w:p w14:paraId="2BA8C92A">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3880585E">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5A71C6F1">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r>
        <w:rPr>
          <w:rFonts w:hint="eastAsia" w:ascii="仿宋_GB2312" w:hAnsi="仿宋_GB2312" w:eastAsia="仿宋_GB2312" w:cs="仿宋_GB2312"/>
          <w:b/>
          <w:color w:val="FF0000"/>
          <w:sz w:val="48"/>
          <w:szCs w:val="48"/>
          <w:lang w:val="en-US" w:eastAsia="zh-CN" w:bidi="ar-SA"/>
        </w:rPr>
        <w:drawing>
          <wp:anchor distT="0" distB="0" distL="114300" distR="114300" simplePos="0" relativeHeight="251662336" behindDoc="0" locked="0" layoutInCell="1" allowOverlap="1">
            <wp:simplePos x="0" y="0"/>
            <wp:positionH relativeFrom="column">
              <wp:posOffset>6611620</wp:posOffset>
            </wp:positionH>
            <wp:positionV relativeFrom="paragraph">
              <wp:posOffset>146050</wp:posOffset>
            </wp:positionV>
            <wp:extent cx="5500370" cy="3705860"/>
            <wp:effectExtent l="0" t="0" r="5080" b="8890"/>
            <wp:wrapSquare wrapText="bothSides"/>
            <wp:docPr id="6" name="图片 6" descr="07304f59-bbce-44ac-9101-99293f93ea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7304f59-bbce-44ac-9101-99293f93ea2a"/>
                    <pic:cNvPicPr>
                      <a:picLocks noChangeAspect="1"/>
                    </pic:cNvPicPr>
                  </pic:nvPicPr>
                  <pic:blipFill>
                    <a:blip r:embed="rId7"/>
                    <a:stretch>
                      <a:fillRect/>
                    </a:stretch>
                  </pic:blipFill>
                  <pic:spPr>
                    <a:xfrm>
                      <a:off x="0" y="0"/>
                      <a:ext cx="5500370" cy="3705860"/>
                    </a:xfrm>
                    <a:prstGeom prst="rect">
                      <a:avLst/>
                    </a:prstGeom>
                  </pic:spPr>
                </pic:pic>
              </a:graphicData>
            </a:graphic>
          </wp:anchor>
        </w:drawing>
      </w:r>
      <w:r>
        <w:rPr>
          <w:rFonts w:hint="eastAsia" w:ascii="仿宋_GB2312" w:hAnsi="仿宋_GB2312" w:eastAsia="仿宋_GB2312" w:cs="仿宋_GB2312"/>
          <w:b/>
          <w:color w:val="FF0000"/>
          <w:sz w:val="48"/>
          <w:szCs w:val="48"/>
          <w:lang w:val="en-US" w:eastAsia="zh-CN" w:bidi="ar-SA"/>
        </w:rPr>
        <w:drawing>
          <wp:anchor distT="0" distB="0" distL="114300" distR="114300" simplePos="0" relativeHeight="251661312" behindDoc="0" locked="0" layoutInCell="1" allowOverlap="1">
            <wp:simplePos x="0" y="0"/>
            <wp:positionH relativeFrom="column">
              <wp:posOffset>611505</wp:posOffset>
            </wp:positionH>
            <wp:positionV relativeFrom="paragraph">
              <wp:posOffset>126365</wp:posOffset>
            </wp:positionV>
            <wp:extent cx="5701665" cy="3715385"/>
            <wp:effectExtent l="0" t="0" r="13335" b="18415"/>
            <wp:wrapSquare wrapText="bothSides"/>
            <wp:docPr id="2" name="图片 2" descr="3badb898-400d-4895-8156-30c92da7c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badb898-400d-4895-8156-30c92da7c067"/>
                    <pic:cNvPicPr>
                      <a:picLocks noChangeAspect="1"/>
                    </pic:cNvPicPr>
                  </pic:nvPicPr>
                  <pic:blipFill>
                    <a:blip r:embed="rId8"/>
                    <a:stretch>
                      <a:fillRect/>
                    </a:stretch>
                  </pic:blipFill>
                  <pic:spPr>
                    <a:xfrm>
                      <a:off x="0" y="0"/>
                      <a:ext cx="5701665" cy="3715385"/>
                    </a:xfrm>
                    <a:prstGeom prst="rect">
                      <a:avLst/>
                    </a:prstGeom>
                  </pic:spPr>
                </pic:pic>
              </a:graphicData>
            </a:graphic>
          </wp:anchor>
        </w:drawing>
      </w:r>
    </w:p>
    <w:p w14:paraId="5E839AD1">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2E650C44">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27F5E56F">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102A3D75">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66FB693A">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4039E87A">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1A0FBEBC">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0D053EAE">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4EE900BF">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01474436">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21FE0DD3">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79D0556D">
      <w:pPr>
        <w:tabs>
          <w:tab w:val="left" w:pos="10080"/>
        </w:tabs>
        <w:spacing w:line="360" w:lineRule="auto"/>
        <w:ind w:firstLine="6425" w:firstLineChars="2000"/>
        <w:jc w:val="both"/>
        <w:outlineLvl w:val="0"/>
        <w:rPr>
          <w:rFonts w:hint="default" w:ascii="仿宋" w:hAnsi="仿宋" w:eastAsia="仿宋" w:cs="仿宋"/>
          <w:b/>
          <w:bCs/>
          <w:kern w:val="36"/>
          <w:sz w:val="32"/>
          <w:szCs w:val="32"/>
          <w:lang w:val="en-US" w:eastAsia="zh-CN" w:bidi="ar-SA"/>
        </w:rPr>
      </w:pPr>
      <w:r>
        <w:rPr>
          <w:rFonts w:hint="eastAsia" w:ascii="仿宋" w:hAnsi="仿宋" w:eastAsia="仿宋" w:cs="仿宋"/>
          <w:b/>
          <w:bCs/>
          <w:kern w:val="36"/>
          <w:sz w:val="32"/>
          <w:szCs w:val="32"/>
          <w:lang w:val="en-US" w:eastAsia="zh-CN" w:bidi="ar-SA"/>
        </w:rPr>
        <w:t>建设单位：</w:t>
      </w:r>
      <w:bookmarkStart w:id="13" w:name="_GoBack"/>
      <w:r>
        <w:rPr>
          <w:rFonts w:hint="eastAsia" w:ascii="仿宋" w:hAnsi="仿宋" w:eastAsia="仿宋" w:cs="仿宋"/>
          <w:b/>
          <w:bCs/>
          <w:kern w:val="36"/>
          <w:sz w:val="32"/>
          <w:szCs w:val="32"/>
          <w:lang w:val="en-US" w:eastAsia="zh-CN" w:bidi="ar-SA"/>
        </w:rPr>
        <w:t>岳阳楼区汇城集团发展有限公司</w:t>
      </w:r>
      <w:bookmarkEnd w:id="13"/>
    </w:p>
    <w:p w14:paraId="2F9F78C6">
      <w:pPr>
        <w:tabs>
          <w:tab w:val="left" w:pos="10080"/>
        </w:tabs>
        <w:spacing w:line="360" w:lineRule="auto"/>
        <w:ind w:firstLine="6425" w:firstLineChars="2000"/>
        <w:jc w:val="both"/>
        <w:outlineLvl w:val="0"/>
        <w:rPr>
          <w:rFonts w:hint="default" w:ascii="仿宋_GB2312" w:hAnsi="仿宋_GB2312" w:eastAsia="仿宋_GB2312" w:cs="仿宋_GB2312"/>
          <w:b/>
          <w:color w:val="FF0000"/>
          <w:sz w:val="48"/>
          <w:szCs w:val="48"/>
          <w:lang w:val="en-US" w:eastAsia="zh-CN" w:bidi="ar-SA"/>
        </w:rPr>
      </w:pPr>
      <w:r>
        <w:rPr>
          <w:rFonts w:hint="eastAsia" w:ascii="仿宋" w:hAnsi="仿宋" w:eastAsia="仿宋" w:cs="仿宋"/>
          <w:b/>
          <w:bCs/>
          <w:kern w:val="36"/>
          <w:sz w:val="32"/>
          <w:szCs w:val="32"/>
          <w:lang w:val="en-US" w:eastAsia="zh-CN" w:bidi="ar-SA"/>
        </w:rPr>
        <w:t>设计单位：岳阳市规划勘测设计院有限公司</w:t>
      </w:r>
    </w:p>
    <w:p w14:paraId="1BAC947F">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254AAC6E">
      <w:pPr>
        <w:tabs>
          <w:tab w:val="left" w:pos="10080"/>
        </w:tabs>
        <w:spacing w:line="360" w:lineRule="auto"/>
        <w:ind w:firstLine="8674" w:firstLineChars="2700"/>
        <w:jc w:val="both"/>
        <w:outlineLvl w:val="0"/>
        <w:rPr>
          <w:rFonts w:hint="default" w:ascii="仿宋_GB2312" w:hAnsi="仿宋_GB2312" w:eastAsia="仿宋_GB2312" w:cs="仿宋_GB2312"/>
          <w:b/>
          <w:color w:val="FF0000"/>
          <w:sz w:val="48"/>
          <w:szCs w:val="48"/>
          <w:lang w:val="en-US" w:eastAsia="zh-CN" w:bidi="ar-SA"/>
        </w:rPr>
      </w:pPr>
      <w:r>
        <w:rPr>
          <w:rFonts w:hint="eastAsia" w:ascii="仿宋" w:hAnsi="仿宋" w:eastAsia="仿宋" w:cs="仿宋"/>
          <w:b/>
          <w:bCs/>
          <w:kern w:val="36"/>
          <w:sz w:val="32"/>
          <w:szCs w:val="32"/>
          <w:lang w:val="en-US" w:eastAsia="zh-CN" w:bidi="ar-SA"/>
        </w:rPr>
        <w:t>2025年12月</w:t>
      </w:r>
    </w:p>
    <w:p w14:paraId="2EFF10A7">
      <w:pPr>
        <w:tabs>
          <w:tab w:val="left" w:pos="10080"/>
        </w:tabs>
        <w:spacing w:line="360" w:lineRule="auto"/>
        <w:jc w:val="center"/>
        <w:outlineLvl w:val="0"/>
        <w:rPr>
          <w:rFonts w:hint="eastAsia" w:ascii="仿宋_GB2312" w:hAnsi="仿宋_GB2312" w:eastAsia="仿宋_GB2312" w:cs="仿宋_GB2312"/>
          <w:b/>
          <w:color w:val="FF0000"/>
          <w:sz w:val="48"/>
          <w:szCs w:val="48"/>
          <w:lang w:val="en-US" w:eastAsia="zh-CN" w:bidi="ar-SA"/>
        </w:rPr>
      </w:pPr>
    </w:p>
    <w:p w14:paraId="2ED5A55F">
      <w:pPr>
        <w:tabs>
          <w:tab w:val="left" w:pos="10080"/>
        </w:tabs>
        <w:spacing w:line="360" w:lineRule="auto"/>
        <w:jc w:val="both"/>
        <w:outlineLvl w:val="0"/>
        <w:rPr>
          <w:rFonts w:hint="eastAsia" w:ascii="仿宋_GB2312" w:hAnsi="仿宋_GB2312" w:eastAsia="仿宋_GB2312" w:cs="仿宋_GB2312"/>
          <w:b/>
          <w:color w:val="FF0000"/>
          <w:sz w:val="48"/>
          <w:szCs w:val="48"/>
          <w:lang w:val="en-US" w:eastAsia="zh-CN" w:bidi="ar-SA"/>
        </w:rPr>
      </w:pPr>
    </w:p>
    <w:p w14:paraId="496254EC">
      <w:pPr>
        <w:tabs>
          <w:tab w:val="left" w:pos="10080"/>
        </w:tabs>
        <w:spacing w:line="360" w:lineRule="auto"/>
        <w:jc w:val="center"/>
        <w:outlineLvl w:val="0"/>
        <w:rPr>
          <w:rFonts w:hint="eastAsia" w:ascii="仿宋_GB2312" w:hAnsi="仿宋_GB2312" w:eastAsia="仿宋_GB2312" w:cs="仿宋_GB2312"/>
          <w:b/>
          <w:color w:val="auto"/>
          <w:sz w:val="48"/>
          <w:szCs w:val="48"/>
          <w:lang w:val="en-US" w:eastAsia="zh-CN" w:bidi="ar-SA"/>
        </w:rPr>
      </w:pPr>
      <w:r>
        <w:rPr>
          <w:rFonts w:hint="eastAsia" w:ascii="仿宋_GB2312" w:hAnsi="仿宋_GB2312" w:eastAsia="仿宋_GB2312" w:cs="仿宋_GB2312"/>
          <w:b/>
          <w:color w:val="FF0000"/>
          <w:sz w:val="48"/>
          <w:szCs w:val="48"/>
          <w:lang w:val="en-US" w:eastAsia="zh-CN" w:bidi="ar-SA"/>
        </w:rPr>
        <w:t>岳阳楼区老旧厂区转型提质建设项目</w:t>
      </w:r>
    </w:p>
    <w:p w14:paraId="0585AE79">
      <w:pPr>
        <w:tabs>
          <w:tab w:val="left" w:pos="10080"/>
        </w:tabs>
        <w:spacing w:line="360" w:lineRule="auto"/>
        <w:jc w:val="center"/>
        <w:outlineLvl w:val="0"/>
        <w:rPr>
          <w:rFonts w:ascii="仿宋" w:hAnsi="仿宋" w:eastAsia="仿宋" w:cs="仿宋"/>
          <w:b/>
          <w:sz w:val="52"/>
          <w:szCs w:val="52"/>
        </w:rPr>
        <w:sectPr>
          <w:headerReference r:id="rId3" w:type="default"/>
          <w:footerReference r:id="rId4" w:type="default"/>
          <w:footerReference r:id="rId5" w:type="even"/>
          <w:pgSz w:w="23814" w:h="16840" w:orient="landscape"/>
          <w:pgMar w:top="1701" w:right="1701" w:bottom="1701" w:left="1701" w:header="851" w:footer="992" w:gutter="0"/>
          <w:cols w:space="425" w:num="1"/>
          <w:docGrid w:type="lines" w:linePitch="312" w:charSpace="0"/>
        </w:sectPr>
      </w:pPr>
      <w:r>
        <w:rPr>
          <w:rFonts w:hint="eastAsia" w:ascii="仿宋" w:hAnsi="仿宋" w:eastAsia="仿宋" w:cs="仿宋"/>
          <w:b/>
          <w:sz w:val="52"/>
          <w:szCs w:val="52"/>
        </w:rPr>
        <w:t>初步设计说明书</w:t>
      </w:r>
    </w:p>
    <w:p w14:paraId="0248D76A">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rPr>
        <w:t>项目概况</w:t>
      </w:r>
    </w:p>
    <w:p w14:paraId="512805CD">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本项目建设地点位于湖南省岳阳市岳阳楼区城陵矶片区，为岳阳楼区老旧厂区风貌改造提升项目。</w:t>
      </w:r>
    </w:p>
    <w:p w14:paraId="73E0136F">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本项目的主要内容包括岳州关改造、老旧厂区改造、社区服务中心及体育公园建设、上下江陵路改造、桂花园路改造、城陵矶港广场建设和居民区改造六大核心部分，统筹推进景观绿化、照明、道路、配套基础设施四大类工程，具体实施配套基础设施的改造修缮、公共服务与运动休闲设施完善、道路提质与管线整合、街巷风貌协同与配套强化、广场标志性打造与基础设施配套、居民区设施更新与人居环境提升等系列工作，全面提升街区整体品质与综合服务能力。</w:t>
      </w:r>
    </w:p>
    <w:p w14:paraId="4C93755B">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rPr>
        <w:t>现状及规划情况</w:t>
      </w:r>
    </w:p>
    <w:p w14:paraId="16796E11">
      <w:pPr>
        <w:pStyle w:val="3"/>
        <w:numPr>
          <w:ilvl w:val="1"/>
          <w:numId w:val="0"/>
        </w:numPr>
        <w:spacing w:before="0" w:after="0" w:line="360" w:lineRule="auto"/>
        <w:rPr>
          <w:rFonts w:hint="default" w:ascii="仿宋" w:hAnsi="仿宋" w:eastAsia="仿宋" w:cs="仿宋"/>
          <w:sz w:val="28"/>
          <w:szCs w:val="28"/>
          <w:lang w:val="en-US" w:eastAsia="zh-CN"/>
        </w:rPr>
      </w:pPr>
      <w:r>
        <w:rPr>
          <w:rFonts w:hint="eastAsia" w:ascii="仿宋" w:hAnsi="仿宋" w:eastAsia="仿宋" w:cs="仿宋"/>
          <w:sz w:val="28"/>
          <w:szCs w:val="28"/>
        </w:rPr>
        <w:t xml:space="preserve">2.1 </w:t>
      </w:r>
      <w:r>
        <w:rPr>
          <w:rFonts w:hint="eastAsia" w:ascii="仿宋" w:hAnsi="仿宋" w:eastAsia="仿宋" w:cs="仿宋"/>
          <w:sz w:val="28"/>
          <w:szCs w:val="28"/>
          <w:lang w:val="en-US" w:eastAsia="zh-CN"/>
        </w:rPr>
        <w:t>规划情况</w:t>
      </w:r>
    </w:p>
    <w:p w14:paraId="7955D9A7">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1、功能定位</w:t>
      </w:r>
    </w:p>
    <w:p w14:paraId="6FC52DA3">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湖南省通江达海的对外贸易开放口岸，以港口、汽贸、物流、工业和居住生活为主的“产城融合型”城市功能片区。</w:t>
      </w:r>
    </w:p>
    <w:p w14:paraId="398F3674">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2、发展目标</w:t>
      </w:r>
    </w:p>
    <w:p w14:paraId="62DA0E19">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进一步完善城市功能，充分发挥城陵矶片区区位、环境资源优势，在保护城市生态环境，处理环境保护与城市建设两者关系的前提下，通过调整用地结构，促进土地集约高效使用，高标准配置相关配套设施，凸现省际开放口岸和汽贸物流特色，加快推进城市更新，提升城市品质，从而创造完美社区，营造和谐社会。</w:t>
      </w:r>
    </w:p>
    <w:p w14:paraId="15017AFA">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3、用地规模</w:t>
      </w:r>
    </w:p>
    <w:p w14:paraId="0D7C73D9">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规划用地面积1140.72公顷，其中新港区范围总用地990.81公顷，岳阳楼区范围总用地面积149.91公顷。</w:t>
      </w:r>
    </w:p>
    <w:p w14:paraId="338E197D">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4、人口规模</w:t>
      </w:r>
    </w:p>
    <w:p w14:paraId="34D83FA2">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规划预测人口规模约11.80万人。</w:t>
      </w:r>
    </w:p>
    <w:p w14:paraId="3F2F43A9">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5、规划结构</w:t>
      </w:r>
    </w:p>
    <w:p w14:paraId="32499651">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“一带、一心、六片”。</w:t>
      </w:r>
    </w:p>
    <w:p w14:paraId="7DF28ED3">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一带：即港口作业带。由七里山港区（部分）、城陵矶港区组成的沿江港口带，包括港口作业区及后方仓储区、物流区；</w:t>
      </w:r>
    </w:p>
    <w:p w14:paraId="37211136">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一心：即城陵矶片区公共服务中心，规划为居区级商贸金融中心，兼具文化娱乐、居住生活等。</w:t>
      </w:r>
    </w:p>
    <w:p w14:paraId="2F84455E">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六片：即北部工业片：指华能电力和泰格林纸产业区，主要包括泰格林纸和华能电厂两大工业用地。</w:t>
      </w:r>
    </w:p>
    <w:p w14:paraId="3FA669FF">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汽贸物流片：汽车休闲为特色，汽车贸易和汽车服务为核心，配套服务为辅助的三大功能板块用地。</w:t>
      </w:r>
    </w:p>
    <w:p w14:paraId="3610166E">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西部港口物流片：规划保留现有仓储及港口为主的港口物流组团。</w:t>
      </w:r>
    </w:p>
    <w:p w14:paraId="599A4509">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中部生活片：沿城陵矶路两侧分布的华能电厂、造纸厂生活区及规划居住生活片区。</w:t>
      </w:r>
    </w:p>
    <w:p w14:paraId="4FB164CF">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西南生活片：主要位于原肉联厂、棉麻仓库等仓储用地，规划采用盘活现有存量土地的措施，助力城市更新，完善市政设施、配套公服设施建设新型生活居住片区。</w:t>
      </w:r>
    </w:p>
    <w:p w14:paraId="30625D97">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交通枢纽片：由联港路、许家垄路、江陵路和京广铁路围合而成的范围，由城市道路、铁路、铁路编组站、高速公路等区域交通设施用地组成，各类交通、电力网、输油管道交织形成的交通节点，结合交通节点特点打造交通枢纽公园。</w:t>
      </w:r>
    </w:p>
    <w:p w14:paraId="082EB42A">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6、城陵矶老港口片区规划</w:t>
      </w:r>
    </w:p>
    <w:p w14:paraId="56AA27D4">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城陵矶老港口片区规划分为工港风貌整治区、村社整治改造区、岳州关人文历史风貌恢复区、城陵矶老港公服完善区、桂花园整治区、库港物流工业整治区等6个分区，涉及分区改造类型包括老旧厂区改造提升、城市历史文化保护传承、城镇老旧小区整治改造、城市功能完善、完整社区建设等城市更新类型。</w:t>
      </w:r>
    </w:p>
    <w:p w14:paraId="43750520">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将城市更新、文物保护与活化利用相结合，依托具有代表性的岳州关历史文物建筑遗址，引入沉浸式体验方式，开发游赏、研学体系、文创体验空间、游轮接待节点，打造一座兼具时尚审美和自主运营的城市人文节点。</w:t>
      </w:r>
    </w:p>
    <w:p w14:paraId="205D83C1">
      <w:pPr>
        <w:spacing w:line="360" w:lineRule="auto"/>
        <w:ind w:firstLine="560" w:firstLineChars="200"/>
        <w:rPr>
          <w:rFonts w:hint="default" w:ascii="仿宋" w:hAnsi="仿宋" w:eastAsia="仿宋" w:cs="仿宋"/>
          <w:sz w:val="28"/>
          <w:szCs w:val="28"/>
          <w:lang w:val="en-US" w:eastAsia="zh-CN"/>
        </w:rPr>
      </w:pPr>
    </w:p>
    <w:p w14:paraId="143A9A5C">
      <w:pPr>
        <w:spacing w:line="360" w:lineRule="auto"/>
        <w:ind w:firstLine="420" w:firstLineChars="200"/>
        <w:jc w:val="center"/>
      </w:pPr>
      <w:r>
        <w:drawing>
          <wp:inline distT="0" distB="0" distL="114300" distR="114300">
            <wp:extent cx="4197985" cy="5759450"/>
            <wp:effectExtent l="0" t="0" r="12065" b="1270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a:srcRect b="3302"/>
                    <a:stretch>
                      <a:fillRect/>
                    </a:stretch>
                  </pic:blipFill>
                  <pic:spPr>
                    <a:xfrm>
                      <a:off x="0" y="0"/>
                      <a:ext cx="4197985" cy="5759450"/>
                    </a:xfrm>
                    <a:prstGeom prst="rect">
                      <a:avLst/>
                    </a:prstGeom>
                  </pic:spPr>
                </pic:pic>
              </a:graphicData>
            </a:graphic>
          </wp:inline>
        </w:drawing>
      </w:r>
    </w:p>
    <w:p w14:paraId="40A88210">
      <w:pPr>
        <w:spacing w:line="360" w:lineRule="auto"/>
        <w:ind w:firstLine="560" w:firstLineChars="200"/>
        <w:jc w:val="center"/>
        <w:rPr>
          <w:rFonts w:hint="eastAsia"/>
          <w:lang w:val="en-US" w:eastAsia="zh-CN"/>
        </w:rPr>
      </w:pPr>
      <w:r>
        <w:rPr>
          <w:rFonts w:hint="eastAsia" w:ascii="仿宋" w:hAnsi="仿宋" w:eastAsia="仿宋" w:cs="仿宋"/>
          <w:sz w:val="28"/>
          <w:szCs w:val="28"/>
          <w:lang w:val="en-US" w:eastAsia="zh-CN"/>
        </w:rPr>
        <w:t>项目范围图</w:t>
      </w:r>
    </w:p>
    <w:p w14:paraId="27BE22E5">
      <w:pPr>
        <w:pStyle w:val="3"/>
        <w:numPr>
          <w:ilvl w:val="1"/>
          <w:numId w:val="0"/>
        </w:numPr>
        <w:spacing w:before="0" w:after="0" w:line="360" w:lineRule="auto"/>
        <w:rPr>
          <w:rFonts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lang w:val="en-US" w:eastAsia="zh-CN"/>
        </w:rPr>
        <w:t>2</w:t>
      </w:r>
      <w:r>
        <w:rPr>
          <w:rFonts w:hint="eastAsia" w:ascii="仿宋" w:hAnsi="仿宋" w:eastAsia="仿宋" w:cs="仿宋"/>
          <w:sz w:val="28"/>
          <w:szCs w:val="28"/>
        </w:rPr>
        <w:t xml:space="preserve"> 现状情况</w:t>
      </w:r>
    </w:p>
    <w:p w14:paraId="42F48DE8">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1、岳州关</w:t>
      </w:r>
    </w:p>
    <w:p w14:paraId="0A44D960">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近年来，岳州关周边建筑产权逐步从原有单位剥离，多数建筑年久失修、缺乏有效养护，其立面出现明显的破损，局部加盖建筑多采用彩钢屋顶砖混结构，对整体风貌产生了进一步的破坏，加之部分住宅已成为危房，亟待整体整治。2007年对岳州关修缮时，为保障消防安全，设置现状唯一的坡道入口。但该入口位于城陵矶港作业区内，按港口安全生产要求实行封闭化管理，平时游客及市民无法直接抵达岳州关，为了充分保护和活化利用岳州关，亟需设置与城市道路及滨湖慢行步道相连接的出入口。岳州关周边基础配套设施较老旧，无法满足使用要求。</w:t>
      </w:r>
    </w:p>
    <w:p w14:paraId="052FE033">
      <w:pPr>
        <w:spacing w:line="360" w:lineRule="auto"/>
        <w:ind w:firstLine="420" w:firstLineChars="200"/>
        <w:rPr>
          <w:rFonts w:hint="default" w:ascii="仿宋_GB2312" w:hAnsi="仿宋_GB2312" w:eastAsia="仿宋_GB2312" w:cs="仿宋_GB2312"/>
          <w:color w:val="auto"/>
          <w:szCs w:val="28"/>
          <w:lang w:val="en-US" w:eastAsia="zh-CN"/>
        </w:rPr>
      </w:pPr>
      <w:r>
        <w:drawing>
          <wp:inline distT="0" distB="0" distL="114300" distR="114300">
            <wp:extent cx="5266055" cy="4187825"/>
            <wp:effectExtent l="0" t="0" r="10795" b="31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5266055" cy="4187825"/>
                    </a:xfrm>
                    <a:prstGeom prst="rect">
                      <a:avLst/>
                    </a:prstGeom>
                    <a:noFill/>
                    <a:ln>
                      <a:noFill/>
                    </a:ln>
                  </pic:spPr>
                </pic:pic>
              </a:graphicData>
            </a:graphic>
          </wp:inline>
        </w:drawing>
      </w:r>
    </w:p>
    <w:p w14:paraId="383A0F67">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岳州关现状</w:t>
      </w:r>
    </w:p>
    <w:p w14:paraId="6CC1FE48">
      <w:pPr>
        <w:numPr>
          <w:ilvl w:val="0"/>
          <w:numId w:val="4"/>
        </w:num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社区服务中心及体育公园</w:t>
      </w:r>
    </w:p>
    <w:p w14:paraId="77BAB45A">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该区域现状为一片空地，长满杂草，地势较平坦，适宜进行开发建设。</w:t>
      </w:r>
    </w:p>
    <w:p w14:paraId="17BBFC9A">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6109970" cy="4580890"/>
            <wp:effectExtent l="0" t="0" r="5080" b="10160"/>
            <wp:docPr id="18" name="图片 18" descr="9f5b4c91b6c067b99960bff9210da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f5b4c91b6c067b99960bff9210da430"/>
                    <pic:cNvPicPr>
                      <a:picLocks noChangeAspect="1"/>
                    </pic:cNvPicPr>
                  </pic:nvPicPr>
                  <pic:blipFill>
                    <a:blip r:embed="rId11"/>
                    <a:stretch>
                      <a:fillRect/>
                    </a:stretch>
                  </pic:blipFill>
                  <pic:spPr>
                    <a:xfrm>
                      <a:off x="0" y="0"/>
                      <a:ext cx="6109970" cy="4580890"/>
                    </a:xfrm>
                    <a:prstGeom prst="rect">
                      <a:avLst/>
                    </a:prstGeom>
                  </pic:spPr>
                </pic:pic>
              </a:graphicData>
            </a:graphic>
          </wp:inline>
        </w:drawing>
      </w:r>
    </w:p>
    <w:p w14:paraId="25B8A0ED">
      <w:pPr>
        <w:jc w:val="center"/>
        <w:rPr>
          <w:rFonts w:hint="default"/>
          <w:lang w:val="en-US" w:eastAsia="zh-CN"/>
        </w:rPr>
      </w:pPr>
      <w:r>
        <w:rPr>
          <w:rFonts w:hint="eastAsia"/>
          <w:lang w:val="en-US" w:eastAsia="zh-CN"/>
        </w:rPr>
        <w:t>社区服务中心及体育公园空地</w:t>
      </w:r>
    </w:p>
    <w:p w14:paraId="5DEE8272">
      <w:pPr>
        <w:numPr>
          <w:ilvl w:val="0"/>
          <w:numId w:val="4"/>
        </w:numPr>
        <w:spacing w:line="360" w:lineRule="auto"/>
        <w:ind w:left="0" w:leftChars="0"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上下江陵路</w:t>
      </w:r>
    </w:p>
    <w:p w14:paraId="7E638FEC">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上下江陵路车行道已完成铺沥青，上江陵路无成形人行道，下江陵路人行道为透水混凝土人行道，景观效果较差，与周边景观协调性差</w:t>
      </w:r>
      <w:r>
        <w:rPr>
          <w:rFonts w:hint="default" w:ascii="仿宋" w:hAnsi="仿宋" w:eastAsia="仿宋" w:cs="仿宋"/>
          <w:sz w:val="28"/>
          <w:szCs w:val="28"/>
          <w:lang w:val="en-US" w:eastAsia="zh-CN"/>
        </w:rPr>
        <w:t>。</w:t>
      </w:r>
      <w:r>
        <w:rPr>
          <w:rFonts w:hint="eastAsia" w:ascii="仿宋" w:hAnsi="仿宋" w:eastAsia="仿宋" w:cs="仿宋"/>
          <w:sz w:val="28"/>
          <w:szCs w:val="28"/>
          <w:lang w:val="en-US" w:eastAsia="zh-CN"/>
        </w:rPr>
        <w:t>电力管线为架空线路，景观效果差，且年久失修存在安全隐患。路灯已基本损坏无法使用。</w:t>
      </w:r>
    </w:p>
    <w:p w14:paraId="6607E298">
      <w:pPr>
        <w:jc w:val="center"/>
        <w:rPr>
          <w:rFonts w:hint="default"/>
          <w:lang w:val="en-US" w:eastAsia="zh-CN"/>
        </w:rPr>
      </w:pPr>
      <w:r>
        <w:rPr>
          <w:rFonts w:hint="default"/>
          <w:lang w:val="en-US" w:eastAsia="zh-CN"/>
        </w:rPr>
        <w:drawing>
          <wp:inline distT="0" distB="0" distL="114300" distR="114300">
            <wp:extent cx="5264785" cy="3947160"/>
            <wp:effectExtent l="0" t="0" r="12065" b="15240"/>
            <wp:docPr id="5" name="图片 5" descr="842da8cc3eec9f4a9f20dc348c1dc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42da8cc3eec9f4a9f20dc348c1dc4a4"/>
                    <pic:cNvPicPr>
                      <a:picLocks noChangeAspect="1"/>
                    </pic:cNvPicPr>
                  </pic:nvPicPr>
                  <pic:blipFill>
                    <a:blip r:embed="rId12"/>
                    <a:stretch>
                      <a:fillRect/>
                    </a:stretch>
                  </pic:blipFill>
                  <pic:spPr>
                    <a:xfrm>
                      <a:off x="0" y="0"/>
                      <a:ext cx="5264785" cy="3947160"/>
                    </a:xfrm>
                    <a:prstGeom prst="rect">
                      <a:avLst/>
                    </a:prstGeom>
                  </pic:spPr>
                </pic:pic>
              </a:graphicData>
            </a:graphic>
          </wp:inline>
        </w:drawing>
      </w:r>
    </w:p>
    <w:p w14:paraId="4DA6E0EF">
      <w:pPr>
        <w:jc w:val="center"/>
        <w:rPr>
          <w:rFonts w:hint="eastAsia"/>
          <w:lang w:val="en-US" w:eastAsia="zh-CN"/>
        </w:rPr>
      </w:pPr>
      <w:r>
        <w:rPr>
          <w:rFonts w:hint="eastAsia"/>
          <w:lang w:val="en-US" w:eastAsia="zh-CN"/>
        </w:rPr>
        <w:t>上江陵路</w:t>
      </w:r>
    </w:p>
    <w:p w14:paraId="2DEAF995">
      <w:pPr>
        <w:jc w:val="center"/>
        <w:rPr>
          <w:rFonts w:hint="default"/>
          <w:lang w:val="en-US" w:eastAsia="zh-CN"/>
        </w:rPr>
      </w:pPr>
      <w:r>
        <w:rPr>
          <w:rFonts w:hint="default"/>
          <w:lang w:val="en-US" w:eastAsia="zh-CN"/>
        </w:rPr>
        <w:drawing>
          <wp:inline distT="0" distB="0" distL="114300" distR="114300">
            <wp:extent cx="5264785" cy="3947160"/>
            <wp:effectExtent l="0" t="0" r="12065" b="15240"/>
            <wp:docPr id="3" name="图片 3" descr="f847e33944378ea40d84e19b54a6d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847e33944378ea40d84e19b54a6d975"/>
                    <pic:cNvPicPr>
                      <a:picLocks noChangeAspect="1"/>
                    </pic:cNvPicPr>
                  </pic:nvPicPr>
                  <pic:blipFill>
                    <a:blip r:embed="rId13"/>
                    <a:stretch>
                      <a:fillRect/>
                    </a:stretch>
                  </pic:blipFill>
                  <pic:spPr>
                    <a:xfrm>
                      <a:off x="0" y="0"/>
                      <a:ext cx="5264785" cy="3947160"/>
                    </a:xfrm>
                    <a:prstGeom prst="rect">
                      <a:avLst/>
                    </a:prstGeom>
                  </pic:spPr>
                </pic:pic>
              </a:graphicData>
            </a:graphic>
          </wp:inline>
        </w:drawing>
      </w:r>
    </w:p>
    <w:p w14:paraId="0FB38672">
      <w:pPr>
        <w:jc w:val="center"/>
        <w:rPr>
          <w:rFonts w:hint="eastAsia"/>
          <w:lang w:val="en-US" w:eastAsia="zh-CN"/>
        </w:rPr>
      </w:pPr>
      <w:r>
        <w:rPr>
          <w:rFonts w:hint="eastAsia"/>
          <w:lang w:val="en-US" w:eastAsia="zh-CN"/>
        </w:rPr>
        <w:t>下江陵路</w:t>
      </w:r>
    </w:p>
    <w:p w14:paraId="7DAA9483">
      <w:pPr>
        <w:numPr>
          <w:ilvl w:val="0"/>
          <w:numId w:val="4"/>
        </w:numPr>
        <w:spacing w:line="360" w:lineRule="auto"/>
        <w:ind w:left="0" w:leftChars="0"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桂花园路</w:t>
      </w:r>
    </w:p>
    <w:p w14:paraId="26BCECF0">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桂花园路车行道已完成铺沥青，桂花园路人行道为透水混凝土人行道，景观效果较差，与周边景观协调性差</w:t>
      </w:r>
      <w:r>
        <w:rPr>
          <w:rFonts w:hint="default" w:ascii="仿宋" w:hAnsi="仿宋" w:eastAsia="仿宋" w:cs="仿宋"/>
          <w:sz w:val="28"/>
          <w:szCs w:val="28"/>
          <w:lang w:val="en-US" w:eastAsia="zh-CN"/>
        </w:rPr>
        <w:t>。</w:t>
      </w:r>
      <w:r>
        <w:rPr>
          <w:rFonts w:hint="eastAsia" w:ascii="仿宋" w:hAnsi="仿宋" w:eastAsia="仿宋" w:cs="仿宋"/>
          <w:sz w:val="28"/>
          <w:szCs w:val="28"/>
          <w:lang w:val="en-US" w:eastAsia="zh-CN"/>
        </w:rPr>
        <w:t>电力管线为架空线路，景观效果差，且年久失修存在安全隐患。照明路灯使用时间较长，景观效果较差。</w:t>
      </w:r>
    </w:p>
    <w:p w14:paraId="5C50B992">
      <w:pPr>
        <w:spacing w:line="360" w:lineRule="auto"/>
        <w:jc w:val="center"/>
        <w:rPr>
          <w:rFonts w:hint="default" w:ascii="仿宋_GB2312" w:hAnsi="仿宋_GB2312" w:eastAsia="仿宋_GB2312" w:cs="仿宋_GB2312"/>
          <w:color w:val="auto"/>
          <w:szCs w:val="28"/>
          <w:lang w:val="en-US" w:eastAsia="zh-CN"/>
        </w:rPr>
      </w:pPr>
      <w:r>
        <w:rPr>
          <w:rFonts w:hint="eastAsia"/>
          <w:lang w:val="en-US" w:eastAsia="zh-CN"/>
        </w:rPr>
        <w:drawing>
          <wp:inline distT="0" distB="0" distL="114300" distR="114300">
            <wp:extent cx="5261610" cy="3945890"/>
            <wp:effectExtent l="0" t="0" r="15240" b="16510"/>
            <wp:docPr id="8" name="图片 8" descr="c0ec82729de696255520726f5717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0ec82729de696255520726f5717d302"/>
                    <pic:cNvPicPr>
                      <a:picLocks noChangeAspect="1"/>
                    </pic:cNvPicPr>
                  </pic:nvPicPr>
                  <pic:blipFill>
                    <a:blip r:embed="rId14"/>
                    <a:stretch>
                      <a:fillRect/>
                    </a:stretch>
                  </pic:blipFill>
                  <pic:spPr>
                    <a:xfrm>
                      <a:off x="0" y="0"/>
                      <a:ext cx="5261610" cy="3945890"/>
                    </a:xfrm>
                    <a:prstGeom prst="rect">
                      <a:avLst/>
                    </a:prstGeom>
                  </pic:spPr>
                </pic:pic>
              </a:graphicData>
            </a:graphic>
          </wp:inline>
        </w:drawing>
      </w:r>
    </w:p>
    <w:p w14:paraId="47CF13B7">
      <w:pPr>
        <w:jc w:val="center"/>
        <w:rPr>
          <w:rFonts w:hint="eastAsia"/>
          <w:lang w:val="en-US" w:eastAsia="zh-CN"/>
        </w:rPr>
      </w:pPr>
      <w:r>
        <w:rPr>
          <w:rFonts w:hint="eastAsia"/>
          <w:lang w:val="en-US" w:eastAsia="zh-CN"/>
        </w:rPr>
        <w:t>桂花园路</w:t>
      </w:r>
    </w:p>
    <w:p w14:paraId="39AC1DED">
      <w:pPr>
        <w:numPr>
          <w:ilvl w:val="0"/>
          <w:numId w:val="4"/>
        </w:numPr>
        <w:spacing w:line="360" w:lineRule="auto"/>
        <w:ind w:left="0" w:leftChars="0"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城陵矶港广场</w:t>
      </w:r>
    </w:p>
    <w:p w14:paraId="573DFC29">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城陵矶港前有一大片空地，无具体设施。城陵矶港前坪无停车场无配套基础设施，配套设施较欠缺。</w:t>
      </w:r>
    </w:p>
    <w:p w14:paraId="665B950D">
      <w:pPr>
        <w:jc w:val="center"/>
        <w:rPr>
          <w:rFonts w:hint="eastAsia"/>
          <w:lang w:val="en-US" w:eastAsia="zh-CN"/>
        </w:rPr>
      </w:pPr>
      <w:r>
        <w:rPr>
          <w:rFonts w:hint="eastAsia"/>
          <w:lang w:val="en-US" w:eastAsia="zh-CN"/>
        </w:rPr>
        <w:drawing>
          <wp:inline distT="0" distB="0" distL="114300" distR="114300">
            <wp:extent cx="5264785" cy="3947160"/>
            <wp:effectExtent l="0" t="0" r="12065" b="15240"/>
            <wp:docPr id="10" name="图片 10" descr="b5959c2f30c189a3c9891e95e5e004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5959c2f30c189a3c9891e95e5e0043e"/>
                    <pic:cNvPicPr>
                      <a:picLocks noChangeAspect="1"/>
                    </pic:cNvPicPr>
                  </pic:nvPicPr>
                  <pic:blipFill>
                    <a:blip r:embed="rId15"/>
                    <a:stretch>
                      <a:fillRect/>
                    </a:stretch>
                  </pic:blipFill>
                  <pic:spPr>
                    <a:xfrm>
                      <a:off x="0" y="0"/>
                      <a:ext cx="5264785" cy="3947160"/>
                    </a:xfrm>
                    <a:prstGeom prst="rect">
                      <a:avLst/>
                    </a:prstGeom>
                  </pic:spPr>
                </pic:pic>
              </a:graphicData>
            </a:graphic>
          </wp:inline>
        </w:drawing>
      </w:r>
    </w:p>
    <w:p w14:paraId="0D5DD4EA">
      <w:pPr>
        <w:jc w:val="center"/>
        <w:rPr>
          <w:rFonts w:hint="eastAsia"/>
          <w:lang w:val="en-US" w:eastAsia="zh-CN"/>
        </w:rPr>
      </w:pPr>
      <w:r>
        <w:rPr>
          <w:rFonts w:hint="eastAsia"/>
          <w:lang w:val="en-US" w:eastAsia="zh-CN"/>
        </w:rPr>
        <w:t>城陵矶港广场</w:t>
      </w:r>
    </w:p>
    <w:p w14:paraId="195246A9">
      <w:pPr>
        <w:numPr>
          <w:ilvl w:val="0"/>
          <w:numId w:val="4"/>
        </w:numPr>
        <w:spacing w:line="360" w:lineRule="auto"/>
        <w:ind w:left="0" w:leftChars="0"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居民区</w:t>
      </w:r>
    </w:p>
    <w:p w14:paraId="162C4C7C">
      <w:pPr>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居民区内道路较窄，部分道路为断头路，部分位置无法满足消防通道要求，存在安全隐患。居民区未完成完全的雨污分流，线路凌乱，存在安全隐患。</w:t>
      </w:r>
    </w:p>
    <w:p w14:paraId="0C3FBA27">
      <w:pPr>
        <w:jc w:val="center"/>
        <w:rPr>
          <w:rFonts w:hint="eastAsia"/>
          <w:lang w:val="en-US" w:eastAsia="zh-CN"/>
        </w:rPr>
      </w:pPr>
      <w:r>
        <w:rPr>
          <w:rFonts w:hint="eastAsia"/>
          <w:lang w:val="en-US" w:eastAsia="zh-CN"/>
        </w:rPr>
        <w:drawing>
          <wp:inline distT="0" distB="0" distL="114300" distR="114300">
            <wp:extent cx="3186430" cy="2390775"/>
            <wp:effectExtent l="0" t="0" r="13970" b="9525"/>
            <wp:docPr id="11" name="图片 11" descr="6a652dbc9da1be398fa805019fdc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a652dbc9da1be398fa805019fdc2973"/>
                    <pic:cNvPicPr>
                      <a:picLocks noChangeAspect="1"/>
                    </pic:cNvPicPr>
                  </pic:nvPicPr>
                  <pic:blipFill>
                    <a:blip r:embed="rId16"/>
                    <a:stretch>
                      <a:fillRect/>
                    </a:stretch>
                  </pic:blipFill>
                  <pic:spPr>
                    <a:xfrm>
                      <a:off x="0" y="0"/>
                      <a:ext cx="3186430" cy="239077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802765" cy="2406015"/>
            <wp:effectExtent l="0" t="0" r="6985" b="13335"/>
            <wp:docPr id="17" name="图片 17" descr="29a9a9f196bcc18ca9f3d541542071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9a9a9f196bcc18ca9f3d541542071d4"/>
                    <pic:cNvPicPr>
                      <a:picLocks noChangeAspect="1"/>
                    </pic:cNvPicPr>
                  </pic:nvPicPr>
                  <pic:blipFill>
                    <a:blip r:embed="rId17"/>
                    <a:stretch>
                      <a:fillRect/>
                    </a:stretch>
                  </pic:blipFill>
                  <pic:spPr>
                    <a:xfrm>
                      <a:off x="0" y="0"/>
                      <a:ext cx="1802765" cy="2406015"/>
                    </a:xfrm>
                    <a:prstGeom prst="rect">
                      <a:avLst/>
                    </a:prstGeom>
                  </pic:spPr>
                </pic:pic>
              </a:graphicData>
            </a:graphic>
          </wp:inline>
        </w:drawing>
      </w:r>
    </w:p>
    <w:p w14:paraId="6F5162E9">
      <w:pPr>
        <w:jc w:val="center"/>
        <w:rPr>
          <w:rFonts w:hint="eastAsia"/>
          <w:lang w:val="en-US" w:eastAsia="zh-CN"/>
        </w:rPr>
      </w:pPr>
      <w:r>
        <w:rPr>
          <w:rFonts w:hint="eastAsia"/>
          <w:lang w:val="en-US" w:eastAsia="zh-CN"/>
        </w:rPr>
        <w:t>居民区现状</w:t>
      </w:r>
    </w:p>
    <w:p w14:paraId="2119D070">
      <w:pPr>
        <w:widowControl w:val="0"/>
        <w:numPr>
          <w:ilvl w:val="0"/>
          <w:numId w:val="0"/>
        </w:numPr>
        <w:spacing w:line="360" w:lineRule="auto"/>
        <w:jc w:val="both"/>
        <w:rPr>
          <w:rFonts w:hint="default" w:ascii="仿宋" w:hAnsi="仿宋" w:eastAsia="仿宋" w:cs="仿宋"/>
          <w:sz w:val="28"/>
          <w:szCs w:val="28"/>
          <w:lang w:val="en-US" w:eastAsia="zh-CN"/>
        </w:rPr>
      </w:pPr>
    </w:p>
    <w:p w14:paraId="38C9C0D7">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rPr>
        <w:t>工程建设条件</w:t>
      </w:r>
    </w:p>
    <w:p w14:paraId="683C6E78">
      <w:pPr>
        <w:pStyle w:val="4"/>
        <w:keepNext/>
        <w:keepLines/>
        <w:pageBreakBefore w:val="0"/>
        <w:widowControl w:val="0"/>
        <w:numPr>
          <w:ilvl w:val="2"/>
          <w:numId w:val="0"/>
        </w:numPr>
        <w:kinsoku/>
        <w:wordWrap/>
        <w:overflowPunct/>
        <w:topLinePunct w:val="0"/>
        <w:autoSpaceDE/>
        <w:autoSpaceDN/>
        <w:bidi w:val="0"/>
        <w:adjustRightInd/>
        <w:snapToGrid/>
        <w:spacing w:before="0" w:after="0" w:line="360" w:lineRule="auto"/>
        <w:ind w:leftChars="0"/>
        <w:textAlignment w:val="auto"/>
        <w:rPr>
          <w:rFonts w:hint="eastAsia" w:ascii="仿宋_GB2312" w:hAnsi="仿宋_GB2312" w:eastAsia="仿宋_GB2312" w:cs="仿宋_GB2312"/>
          <w:color w:val="auto"/>
        </w:rPr>
      </w:pPr>
      <w:r>
        <w:rPr>
          <w:rFonts w:hint="eastAsia" w:ascii="仿宋_GB2312" w:hAnsi="仿宋_GB2312" w:eastAsia="仿宋_GB2312" w:cs="仿宋_GB2312"/>
          <w:color w:val="auto"/>
          <w:lang w:val="en-US" w:eastAsia="zh-CN"/>
        </w:rPr>
        <w:t>3.1</w:t>
      </w:r>
      <w:r>
        <w:rPr>
          <w:rFonts w:hint="eastAsia" w:ascii="仿宋_GB2312" w:hAnsi="仿宋_GB2312" w:eastAsia="仿宋_GB2312" w:cs="仿宋_GB2312"/>
          <w:color w:val="auto"/>
        </w:rPr>
        <w:t>自然条件</w:t>
      </w:r>
    </w:p>
    <w:p w14:paraId="70E2FF3E">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岳阳市位于湖南东北部长江南岸，素称“湘北门户”。地处北纬28°25'33"～29°51 '00”,东经112°18'31”～114°09'06"之间。东邻江西省铜鼓县、修水县和湖北省通城县；南抵湖南省浏阳市、长沙市、望城区：西接湖南省沅江市、南县、安乡县；北接湖北省赤壁、洪湖、监利、石首县(市)。市东西横跨177.84公里，南北纵长157.87公里，总面积15019.2平方公里。总人口530万，其中市区面积824平方公里，城市人口95万，综合经济实力仅次于省会长沙，居湖南第二位。岳阳先后被国家批准为沿江对外开放城市、国家历史文化名城、中国优秀旅游城市、国家卫生城市和国家园林城市。岳阳是湖南唯一的临江城市。</w:t>
      </w:r>
    </w:p>
    <w:p w14:paraId="278CE0B9">
      <w:pPr>
        <w:pStyle w:val="4"/>
        <w:keepNext/>
        <w:keepLines/>
        <w:pageBreakBefore w:val="0"/>
        <w:widowControl w:val="0"/>
        <w:numPr>
          <w:ilvl w:val="2"/>
          <w:numId w:val="0"/>
        </w:numPr>
        <w:kinsoku/>
        <w:wordWrap/>
        <w:overflowPunct/>
        <w:topLinePunct w:val="0"/>
        <w:autoSpaceDE/>
        <w:autoSpaceDN/>
        <w:bidi w:val="0"/>
        <w:adjustRightInd/>
        <w:snapToGrid/>
        <w:spacing w:before="0" w:after="0" w:line="360" w:lineRule="auto"/>
        <w:ind w:leftChars="0"/>
        <w:textAlignment w:val="auto"/>
        <w:rPr>
          <w:rFonts w:hint="eastAsia" w:ascii="仿宋_GB2312" w:hAnsi="仿宋_GB2312" w:eastAsia="仿宋_GB2312" w:cs="仿宋_GB2312"/>
          <w:color w:val="auto"/>
        </w:rPr>
      </w:pPr>
      <w:r>
        <w:rPr>
          <w:rFonts w:hint="eastAsia" w:ascii="仿宋_GB2312" w:hAnsi="仿宋_GB2312" w:eastAsia="仿宋_GB2312" w:cs="仿宋_GB2312"/>
          <w:color w:val="auto"/>
          <w:lang w:val="en-US" w:eastAsia="zh-CN"/>
        </w:rPr>
        <w:t>3.2交通运输条件</w:t>
      </w:r>
    </w:p>
    <w:p w14:paraId="2B373A8F">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（1）水路：</w:t>
      </w:r>
    </w:p>
    <w:p w14:paraId="2146A43D">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岳阳是湖南唯一的临江口岸城市，城陵矶港是长江8大良港之一，通航性非常好。岳阳位居长江中游，处于经济相对发达的东部地区与正在实施大开发战略的西部地区的结合带，内含洞庭湖，背倚长江黄金水道，境内湖泊星布，河流网织，水系发达，水资源极为丰富，水路运输具有得天独厚的自然条件，拥有163公里的长江黄金水道和洞庭湖60%的水域，通航航道1274公里，等级航道682公里，千吨级泊位53个，三千吨级泊位30个，内河最大靠泊能力1000吨，可通达湖南74个县市及长江各口岸，长江最大靠泊能力5000吨，可沿长江水域经上海港出东海，直达世界各地。</w:t>
      </w:r>
    </w:p>
    <w:p w14:paraId="6D41D681">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（2）公路：</w:t>
      </w:r>
    </w:p>
    <w:p w14:paraId="4793E5ED">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岳阳市对外公路交通四通八达。有京港澳高速、岳临高速、随岳高速公路、杭瑞高速公路、岳宜高速公路、岳汝高速公路、岳常高速、石华高速、岳通高速、岳汝高速、107国道、308省道、平伍高速公路穿越境内，岳阳市区直接进入了全国高速快捷的公路交通网络。从市内来看，全市已有公路总长6800多公里，公路密度为每百平方公里16.35公里。从市中心城区来看，以南湖大道、德胜路、学院路、巴陵大道、岳阳大道、求索路等构成了城区道路主骨架系统，不但为城市东移北靠发展打下了基础，而且为发展城市内外高速快捷的交通网络创造了条件。</w:t>
      </w:r>
    </w:p>
    <w:p w14:paraId="0B1A37E8">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（3）铁路：</w:t>
      </w:r>
    </w:p>
    <w:p w14:paraId="7368395C">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铁路轨道交通具有运量大、速度快、节能、环保等特点，相对其它交通方式有着巨大的优势。京广铁路，京广高速铁路纵贯岳阳市境内长达170公里；建设中的荆岳铁路在岳阳境内经华容、君山等地后接入岳阳北站；在2030年前规划建成“四纵两横”的铁路网体系，其中“四纵”指京广铁路、武广客运专线、岳吉铁路、岳长城际铁路，“两横”指荆岳—岳常—岳九铁路、平—汨—益—娄—衡城际铁路。</w:t>
      </w:r>
    </w:p>
    <w:p w14:paraId="547ACE93">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（4）航运：</w:t>
      </w:r>
    </w:p>
    <w:p w14:paraId="3E0CAE6F">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岳阳三荷机场已通航，岳阳距长沙黄花国际机场仅140多公里，乘汽车走高速公路只有一个多小时的路程，空运相当方便。</w:t>
      </w:r>
    </w:p>
    <w:p w14:paraId="59ACDA6C">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综上所述，项目地交通运输非常便利。</w:t>
      </w:r>
    </w:p>
    <w:p w14:paraId="0D74F9DF">
      <w:pPr>
        <w:pStyle w:val="4"/>
        <w:keepNext/>
        <w:keepLines/>
        <w:pageBreakBefore w:val="0"/>
        <w:widowControl w:val="0"/>
        <w:numPr>
          <w:ilvl w:val="2"/>
          <w:numId w:val="0"/>
        </w:numPr>
        <w:kinsoku/>
        <w:wordWrap/>
        <w:overflowPunct/>
        <w:topLinePunct w:val="0"/>
        <w:autoSpaceDE/>
        <w:autoSpaceDN/>
        <w:bidi w:val="0"/>
        <w:adjustRightInd/>
        <w:snapToGrid/>
        <w:spacing w:before="0" w:after="0" w:line="360" w:lineRule="auto"/>
        <w:ind w:leftChars="0"/>
        <w:textAlignment w:val="auto"/>
        <w:rPr>
          <w:rFonts w:hint="eastAsia" w:ascii="仿宋_GB2312" w:hAnsi="仿宋_GB2312" w:eastAsia="仿宋_GB2312" w:cs="仿宋_GB2312"/>
          <w:color w:val="auto"/>
        </w:rPr>
      </w:pPr>
      <w:r>
        <w:rPr>
          <w:rFonts w:hint="eastAsia" w:ascii="仿宋_GB2312" w:hAnsi="仿宋_GB2312" w:eastAsia="仿宋_GB2312" w:cs="仿宋_GB2312"/>
          <w:color w:val="auto"/>
          <w:lang w:val="en-US" w:eastAsia="zh-CN"/>
        </w:rPr>
        <w:t>3.3施工条件</w:t>
      </w:r>
    </w:p>
    <w:p w14:paraId="58A8AE55">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1、给水：本项目建设给水可通过市政自来水供给，水源有保证。</w:t>
      </w:r>
    </w:p>
    <w:p w14:paraId="04AFE256">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2、排水：该项目排水采用雨、污分流制，雨水经雨水管道就近排入雨水沟渠，生活污水经化粪池处理后达标排放。</w:t>
      </w:r>
    </w:p>
    <w:p w14:paraId="146C62D4">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3、供电：沿线电力供应情况较好，工程用电可与电力部门协商解决或采用发电机自行发电解决。</w:t>
      </w:r>
    </w:p>
    <w:p w14:paraId="300A0CBA">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4、电讯：项目所在区域以程控电话、移动电话、高速宽带为主形成高效迅捷的通讯网络，各类信息能够及时传输交流，可为该项目提供便利的基础条件。</w:t>
      </w:r>
    </w:p>
    <w:p w14:paraId="65AAC7E1">
      <w:pPr>
        <w:pStyle w:val="21"/>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综上所述，项目所在地的自然环境条件、交通运输条件、公用工程条件、施工条件等对项目建设比较是适合的。</w:t>
      </w:r>
    </w:p>
    <w:p w14:paraId="6AF73719">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rPr>
        <w:t>工程设计方案</w:t>
      </w:r>
    </w:p>
    <w:p w14:paraId="053C5F5B">
      <w:pPr>
        <w:pStyle w:val="3"/>
        <w:numPr>
          <w:ilvl w:val="1"/>
          <w:numId w:val="0"/>
        </w:numPr>
        <w:spacing w:before="0" w:after="0" w:line="360" w:lineRule="auto"/>
        <w:rPr>
          <w:rFonts w:ascii="仿宋" w:hAnsi="仿宋" w:eastAsia="仿宋" w:cs="仿宋"/>
          <w:sz w:val="28"/>
          <w:szCs w:val="28"/>
        </w:rPr>
      </w:pPr>
      <w:r>
        <w:rPr>
          <w:rFonts w:hint="eastAsia" w:ascii="仿宋" w:hAnsi="仿宋" w:eastAsia="仿宋" w:cs="仿宋"/>
          <w:sz w:val="28"/>
          <w:szCs w:val="28"/>
          <w:lang w:val="en-US" w:eastAsia="zh-CN"/>
        </w:rPr>
        <w:t>4</w:t>
      </w:r>
      <w:r>
        <w:rPr>
          <w:rFonts w:hint="eastAsia" w:ascii="仿宋" w:hAnsi="仿宋" w:eastAsia="仿宋" w:cs="仿宋"/>
          <w:sz w:val="28"/>
          <w:szCs w:val="28"/>
        </w:rPr>
        <w:t>.1</w:t>
      </w:r>
      <w:r>
        <w:rPr>
          <w:rFonts w:hint="eastAsia" w:ascii="仿宋" w:hAnsi="仿宋" w:eastAsia="仿宋" w:cs="仿宋"/>
          <w:sz w:val="28"/>
          <w:szCs w:val="28"/>
          <w:lang w:val="en-US" w:eastAsia="zh-CN"/>
        </w:rPr>
        <w:t>总体改造</w:t>
      </w:r>
      <w:r>
        <w:rPr>
          <w:rFonts w:hint="eastAsia" w:ascii="仿宋" w:hAnsi="仿宋" w:eastAsia="仿宋" w:cs="仿宋"/>
          <w:sz w:val="28"/>
          <w:szCs w:val="28"/>
        </w:rPr>
        <w:t>设计思路</w:t>
      </w:r>
    </w:p>
    <w:p w14:paraId="7DC586C4">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 xml:space="preserve">总体设计考虑在现状的基础上进行升级改造，为此本设计中遵循以下思路： </w:t>
      </w:r>
    </w:p>
    <w:p w14:paraId="391E16F5">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 xml:space="preserve">总体设计应遵循“建设循环经济，节约型社会和可持续发展”的指导思想，贯彻“以人为本，安全第一”的理念，注重“交通功能与景观设计”的融合，抓住项目中的重点、难点和关键性技术问题，采取有效的解决措施，做好项目的总体综合协调，提高对项目的理解和驾驭能力，使工程方案具有安全适用性、服务社会性、尊重现实性、整体协调性、经济美观性、自然和谐性和生态环保性。 </w:t>
      </w:r>
    </w:p>
    <w:p w14:paraId="68AEDAD7">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 xml:space="preserve">本工程的建设应体现 “资源节约，经济耐久，安全舒适，环境融合”的理念，体现“六个坚持，六个树立”的设计新理念： </w:t>
      </w:r>
    </w:p>
    <w:p w14:paraId="6BF4D8AB">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（1）坚持以人为本，树立安全至上的理念；</w:t>
      </w:r>
    </w:p>
    <w:p w14:paraId="694E5601">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（2）坚持与自然相和谐，树立尊重自然、保护环境的理念；</w:t>
      </w:r>
    </w:p>
    <w:p w14:paraId="50C76D47">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（3）坚持可持续发展，树立节约资源的理念；</w:t>
      </w:r>
    </w:p>
    <w:p w14:paraId="463E82FF">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（4）坚持质量第一，树立让公众满意的理念；</w:t>
      </w:r>
    </w:p>
    <w:p w14:paraId="39366086">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（5）坚持合理、灵活运用技术标准、指标，树立精心创作的理念 ；</w:t>
      </w:r>
    </w:p>
    <w:p w14:paraId="21BA15ED">
      <w:pPr>
        <w:pStyle w:val="21"/>
        <w:numPr>
          <w:ilvl w:val="0"/>
          <w:numId w:val="5"/>
        </w:numPr>
        <w:adjustRightInd w:val="0"/>
        <w:spacing w:line="360" w:lineRule="auto"/>
        <w:ind w:firstLine="560" w:firstLineChars="200"/>
        <w:jc w:val="left"/>
        <w:rPr>
          <w:rFonts w:hint="eastAsia"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（6）坚持创新设计，树立全寿命周期成本的理念。</w:t>
      </w:r>
    </w:p>
    <w:p w14:paraId="75586C3F">
      <w:pPr>
        <w:pStyle w:val="21"/>
        <w:numPr>
          <w:ilvl w:val="0"/>
          <w:numId w:val="5"/>
        </w:numPr>
        <w:adjustRightInd w:val="0"/>
        <w:spacing w:line="360" w:lineRule="auto"/>
        <w:ind w:firstLine="560" w:firstLineChars="200"/>
        <w:jc w:val="left"/>
        <w:rPr>
          <w:rFonts w:hint="default" w:ascii="仿宋" w:hAnsi="仿宋" w:eastAsia="仿宋" w:cs="仿宋"/>
          <w:kern w:val="2"/>
          <w:sz w:val="28"/>
          <w:szCs w:val="28"/>
          <w:lang w:val="en-US" w:eastAsia="zh-CN"/>
        </w:rPr>
      </w:pPr>
      <w:r>
        <w:rPr>
          <w:rFonts w:hint="eastAsia" w:ascii="仿宋" w:hAnsi="仿宋" w:eastAsia="仿宋" w:cs="仿宋"/>
          <w:kern w:val="2"/>
          <w:sz w:val="28"/>
          <w:szCs w:val="28"/>
          <w:lang w:val="en-US" w:eastAsia="zh-CN"/>
        </w:rPr>
        <w:t>通过本次对整个改造范围内配套设施的提升改造和对周边环境的整治，使市民及游客在城陵矶周边，感受湖南百年开放之路，因循就势，感受数段历史足迹。</w:t>
      </w:r>
    </w:p>
    <w:p w14:paraId="5FE4792D">
      <w:pPr>
        <w:pStyle w:val="3"/>
        <w:numPr>
          <w:ilvl w:val="1"/>
          <w:numId w:val="0"/>
        </w:numPr>
        <w:spacing w:before="0" w:after="0" w:line="360" w:lineRule="auto"/>
        <w:rPr>
          <w:rFonts w:ascii="仿宋" w:hAnsi="仿宋" w:eastAsia="仿宋" w:cs="仿宋"/>
          <w:sz w:val="28"/>
          <w:szCs w:val="28"/>
        </w:rPr>
      </w:pP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2</w:t>
      </w:r>
      <w:r>
        <w:rPr>
          <w:rFonts w:hint="eastAsia" w:ascii="仿宋" w:hAnsi="仿宋" w:eastAsia="仿宋" w:cs="仿宋"/>
          <w:sz w:val="28"/>
          <w:szCs w:val="28"/>
        </w:rPr>
        <w:t xml:space="preserve"> 设计依据</w:t>
      </w:r>
    </w:p>
    <w:p w14:paraId="1E0E812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1、相关法律法规：</w:t>
      </w:r>
    </w:p>
    <w:p w14:paraId="664C631D">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（1）《中华人民共和国城乡规划法》；</w:t>
      </w:r>
    </w:p>
    <w:p w14:paraId="276973E6">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（2）《中华人民共和国土地管理法》；</w:t>
      </w:r>
    </w:p>
    <w:p w14:paraId="280D3BFB">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（3）《中华人民共和国环境保护法》；</w:t>
      </w:r>
    </w:p>
    <w:p w14:paraId="200F1C23">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（4）《城市、镇控制性详细规划编制审批办法》；</w:t>
      </w:r>
    </w:p>
    <w:p w14:paraId="27869ACA">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（5）《城市规划编制办法》；</w:t>
      </w:r>
    </w:p>
    <w:p w14:paraId="6F5717CE">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（6）《城市用地分类与规划建设用地标准》（GB50137-2011）；</w:t>
      </w:r>
    </w:p>
    <w:p w14:paraId="14F76D5F">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（7）《城市居住区规划设计规范》（GB50180-93）；</w:t>
      </w:r>
    </w:p>
    <w:p w14:paraId="60DCCD82">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（8）《岳阳楼洞庭湖风景名胜区总体规划》；</w:t>
      </w:r>
    </w:p>
    <w:p w14:paraId="1053F73E">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（9）《湖南城陵矶新港区城陵矶片区控制性详细规划》；</w:t>
      </w:r>
    </w:p>
    <w:p w14:paraId="2A68ED5E">
      <w:pPr>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（10） 国家现行相关法律、法规、规章。</w:t>
      </w:r>
    </w:p>
    <w:p w14:paraId="7459367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2、道路工程规范、规程：</w:t>
      </w:r>
    </w:p>
    <w:p w14:paraId="1626E47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（1）《城市道路交通工程项目规范》GB55011-2021</w:t>
      </w:r>
    </w:p>
    <w:p w14:paraId="45D35BB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（2）《城市道路工程设计规范》CJJ37-2012（2016版）；</w:t>
      </w:r>
    </w:p>
    <w:p w14:paraId="1263633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（3）《工程建设标准强制性条文城镇建设部分》建设部[2013]；</w:t>
      </w:r>
    </w:p>
    <w:p w14:paraId="3E110F5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（4）《城市道路工程技术规范》GB51286-2018；</w:t>
      </w:r>
    </w:p>
    <w:p w14:paraId="18A491A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（5）《无障碍设计规范》GB50763-2012；</w:t>
      </w:r>
    </w:p>
    <w:p w14:paraId="01277D3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（6）《城市道路路线设计规范》CJJ193-2012；</w:t>
      </w:r>
    </w:p>
    <w:p w14:paraId="45D71DC5">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（7）《城市道路路基设计规范》CJJ194-2013；</w:t>
      </w:r>
    </w:p>
    <w:p w14:paraId="723A134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（8）《城镇道路路面设计规范》CJJ169-2012；</w:t>
      </w:r>
    </w:p>
    <w:p w14:paraId="1779F9F3">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（9）《城市道路交叉口设计规程》CJJ152-2010；</w:t>
      </w:r>
    </w:p>
    <w:p w14:paraId="721019D5">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（10）《城镇道路工程施工与质量验收规范》CJJ1-2008；</w:t>
      </w:r>
    </w:p>
    <w:p w14:paraId="382BF33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（11）《城镇道路工程技术规范》GB51286-2018。</w:t>
      </w:r>
    </w:p>
    <w:p w14:paraId="58D13E05">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3、园林景观工程规范、规程：</w:t>
      </w:r>
    </w:p>
    <w:p w14:paraId="3812D13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（1）《城市绿地设计规范》GB 50420-2007（2016年版）</w:t>
      </w:r>
    </w:p>
    <w:p w14:paraId="59CA421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（2）《总图制图标准》GB/T 50103-2010</w:t>
      </w:r>
    </w:p>
    <w:p w14:paraId="069594F5">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（3）《园林绿化工程施工及验收规范》CJJ 82-2012</w:t>
      </w:r>
    </w:p>
    <w:p w14:paraId="5BC12B4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（4）《无障碍设计规范》GB 50763-2012</w:t>
      </w:r>
    </w:p>
    <w:p w14:paraId="33F1E44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（5）《市政公用工程设计文件编制深度规定》2013年版</w:t>
      </w:r>
    </w:p>
    <w:p w14:paraId="5DD73B8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（6）《风景园林制图标准》CJJ/T 67-2015</w:t>
      </w:r>
    </w:p>
    <w:p w14:paraId="3E6D1F1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w:t>
      </w:r>
      <w:r>
        <w:rPr>
          <w:rFonts w:hint="eastAsia" w:ascii="仿宋" w:hAnsi="仿宋" w:eastAsia="仿宋" w:cs="仿宋"/>
          <w:kern w:val="2"/>
          <w:sz w:val="28"/>
          <w:szCs w:val="28"/>
          <w:lang w:val="en-US" w:eastAsia="zh-CN" w:bidi="ar-SA"/>
        </w:rPr>
        <w:fldChar w:fldCharType="begin"/>
      </w:r>
      <w:r>
        <w:rPr>
          <w:rFonts w:hint="eastAsia" w:ascii="仿宋" w:hAnsi="仿宋" w:eastAsia="仿宋" w:cs="仿宋"/>
          <w:kern w:val="2"/>
          <w:sz w:val="28"/>
          <w:szCs w:val="28"/>
          <w:lang w:val="en-US" w:eastAsia="zh-CN" w:bidi="ar-SA"/>
        </w:rPr>
        <w:instrText xml:space="preserve"> HYPERLINK "http://www.baidu.com/link?url=7QSWOHto3MIB8GFsnX_NkCTVKSkdsaVLTiVnf_SltdqEBVrKQeiJL-tQsAf6sHzZ" \t "_blank" </w:instrText>
      </w:r>
      <w:r>
        <w:rPr>
          <w:rFonts w:hint="eastAsia" w:ascii="仿宋" w:hAnsi="仿宋" w:eastAsia="仿宋" w:cs="仿宋"/>
          <w:kern w:val="2"/>
          <w:sz w:val="28"/>
          <w:szCs w:val="28"/>
          <w:lang w:val="en-US" w:eastAsia="zh-CN" w:bidi="ar-SA"/>
        </w:rPr>
        <w:fldChar w:fldCharType="separate"/>
      </w:r>
      <w:r>
        <w:rPr>
          <w:rFonts w:hint="eastAsia" w:ascii="仿宋" w:hAnsi="仿宋" w:eastAsia="仿宋" w:cs="仿宋"/>
          <w:kern w:val="2"/>
          <w:sz w:val="28"/>
          <w:szCs w:val="28"/>
          <w:lang w:val="en-US" w:eastAsia="zh-CN" w:bidi="ar-SA"/>
        </w:rPr>
        <w:t>《绿化种植土壤》</w:t>
      </w:r>
      <w:r>
        <w:rPr>
          <w:rFonts w:hint="eastAsia" w:ascii="仿宋" w:hAnsi="仿宋" w:eastAsia="仿宋" w:cs="仿宋"/>
          <w:kern w:val="2"/>
          <w:sz w:val="28"/>
          <w:szCs w:val="28"/>
          <w:lang w:val="en-US" w:eastAsia="zh-CN" w:bidi="ar-SA"/>
        </w:rPr>
        <w:fldChar w:fldCharType="end"/>
      </w:r>
      <w:r>
        <w:rPr>
          <w:rFonts w:hint="eastAsia" w:ascii="仿宋" w:hAnsi="仿宋" w:eastAsia="仿宋" w:cs="仿宋"/>
          <w:kern w:val="2"/>
          <w:sz w:val="28"/>
          <w:szCs w:val="28"/>
          <w:lang w:val="en-US" w:eastAsia="zh-CN" w:bidi="ar-SA"/>
        </w:rPr>
        <w:t xml:space="preserve"> CJ/T 340-2016</w:t>
      </w:r>
    </w:p>
    <w:p w14:paraId="4D2F6CE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（8）《公园设计规范》GB 51192-2016</w:t>
      </w:r>
    </w:p>
    <w:p w14:paraId="5A2FBF9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（9）《园林绿化木本苗》CJ/T 24-2018</w:t>
      </w:r>
    </w:p>
    <w:p w14:paraId="02A70E1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（10）《园林绿化工程项目规范》GB 55014-2021</w:t>
      </w:r>
    </w:p>
    <w:p w14:paraId="535E4B1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（11）《建筑与市政工程无障碍通用规范》GB 55019-2021</w:t>
      </w:r>
    </w:p>
    <w:p w14:paraId="0AFEA27B">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（12）《混凝土结构设计规范》GB50010-2010</w:t>
      </w:r>
    </w:p>
    <w:p w14:paraId="06E395E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（13）《钢筋焊接及验收规程》JGJ18-2008</w:t>
      </w:r>
    </w:p>
    <w:p w14:paraId="2410BB1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（14）《民用建筑电气设计规范》JGJ 16-2008</w:t>
      </w:r>
    </w:p>
    <w:p w14:paraId="7060417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（15）《建筑场地园林景观设计深度及图样》(06SJ805)</w:t>
      </w:r>
    </w:p>
    <w:p w14:paraId="55579AC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（16）《砌体结构工程施工质量验收规范》GB50203-2011</w:t>
      </w:r>
    </w:p>
    <w:p w14:paraId="094E59B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（17）《砌体结构设计规范》GB50003-2011</w:t>
      </w:r>
    </w:p>
    <w:p w14:paraId="0E6B67E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4、排水工程规范、规程：</w:t>
      </w:r>
    </w:p>
    <w:p w14:paraId="3A680F0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（1）《给水排水工程管道结构设计规范》（GB50332-2002）；</w:t>
      </w:r>
    </w:p>
    <w:p w14:paraId="1D04135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（2）《室外排水设计标准》（GB50014-2021）；</w:t>
      </w:r>
    </w:p>
    <w:p w14:paraId="1135F433">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（3）《城市排水工程规划规范》 (GB50318-2017)；</w:t>
      </w:r>
    </w:p>
    <w:p w14:paraId="1C1B902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（4）《城市工程管线综合规划规范》（GB50289-2016）；</w:t>
      </w:r>
    </w:p>
    <w:p w14:paraId="79FF907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（5）《混凝土和钢筋混凝土排水管》 (GBT/11836-2023)</w:t>
      </w:r>
    </w:p>
    <w:p w14:paraId="7A4F09DF">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（6）《给水排水管道工程施工及验收规范》(GB50268-2008)</w:t>
      </w:r>
    </w:p>
    <w:p w14:paraId="1589E7A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5、电气工程规范、规程：</w:t>
      </w:r>
    </w:p>
    <w:p w14:paraId="2920272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（1）《城市道路照明设计标准》CJJ45-2015；</w:t>
      </w:r>
    </w:p>
    <w:p w14:paraId="13CD48A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（2）《城市道路照明工程施工及验收规范》CJJ89-2012；</w:t>
      </w:r>
    </w:p>
    <w:p w14:paraId="3697B58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（3）《城市工程管线综合规划规范》GB50289-2016；</w:t>
      </w:r>
    </w:p>
    <w:p w14:paraId="7CF5EAA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（4）《20KV及以下变电所设计规范》GB50053-2013；</w:t>
      </w:r>
    </w:p>
    <w:p w14:paraId="4B49F97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（5）《低压配电设计规范》GB50054-2011；</w:t>
      </w:r>
    </w:p>
    <w:p w14:paraId="594762D5">
      <w:pPr>
        <w:spacing w:line="360" w:lineRule="auto"/>
        <w:ind w:firstLine="560" w:firstLineChars="200"/>
        <w:jc w:val="both"/>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（6）《电气装置安装工程电缆线路施工及验收规范》GB50168-2006；</w:t>
      </w:r>
    </w:p>
    <w:p w14:paraId="13DBE541">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（7）《建筑物防雷设计规范》GB50057-2010；</w:t>
      </w:r>
    </w:p>
    <w:p w14:paraId="2FB1B5C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（8）《建筑物电子信息系统防雷技术规范》GB50343-2012；</w:t>
      </w:r>
    </w:p>
    <w:p w14:paraId="4C18A11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（9）相关区域的10KV电力规划和其他相关规划；</w:t>
      </w:r>
    </w:p>
    <w:p w14:paraId="4C9C8FC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（10）其他现行国家、地方及行业有关规范、规程及标准。</w:t>
      </w:r>
    </w:p>
    <w:p w14:paraId="30A60A11">
      <w:pPr>
        <w:pStyle w:val="3"/>
        <w:numPr>
          <w:ilvl w:val="1"/>
          <w:numId w:val="0"/>
        </w:numPr>
        <w:spacing w:before="0" w:after="0" w:line="360" w:lineRule="auto"/>
        <w:rPr>
          <w:rFonts w:hint="default" w:ascii="仿宋" w:hAnsi="仿宋" w:eastAsia="仿宋" w:cs="仿宋"/>
          <w:sz w:val="28"/>
          <w:szCs w:val="28"/>
          <w:lang w:val="en-US"/>
        </w:rPr>
      </w:pP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3改造方案</w:t>
      </w:r>
    </w:p>
    <w:p w14:paraId="3999951A">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1、岳州关改造</w:t>
      </w:r>
    </w:p>
    <w:p w14:paraId="3A4865F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（1）铺装设计</w:t>
      </w:r>
    </w:p>
    <w:p w14:paraId="23E8D2E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东入口铺装：本项目铺装材料采用混凝土、花岗岩、砖砌景墙、毛石混凝土挡土墙等为主要材料，与周边景观环境及功能相协调，通过材料间的搭配和变化，在整体统一的基础上不同的空间、不同的功能区又有细小的变化，这些变化代表着空间场所的变化，在有限的空间内丰富景观效果。</w:t>
      </w:r>
    </w:p>
    <w:p w14:paraId="72D65AB3">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西入口铺装：铺装材料采用透水混凝土、花岗岩、耐候钢、金属穿孔网等为主要材料，与周边景观环境及功能相协调，通过材料间的搭配和变化，在整体统一的基础上不同的空间、不同的功能区又有细小的变化，这些变化代表着空间场所的变化，在有限的空间内丰富景观效果。</w:t>
      </w:r>
    </w:p>
    <w:p w14:paraId="15B850D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（2）种植设计</w:t>
      </w:r>
    </w:p>
    <w:p w14:paraId="3D4FC23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东入口：以简约风格为主，采用黑麦草混播狗牙根草皮结合木本灌木的地被种植方法，根据不同场景，常绿与落叶植物相结合，乔、灌木相结合，打造简约通透的植物群落，使人游览其间感受步移景异。具体设计详见园林绿化工程初步设计。</w:t>
      </w:r>
    </w:p>
    <w:p w14:paraId="0B073EA1">
      <w:pPr>
        <w:spacing w:line="360" w:lineRule="auto"/>
        <w:ind w:firstLine="560" w:firstLineChars="200"/>
        <w:rPr>
          <w:rFonts w:hint="eastAsia" w:ascii="仿宋" w:hAnsi="仿宋" w:eastAsia="仿宋" w:cs="仿宋"/>
          <w:kern w:val="2"/>
          <w:sz w:val="28"/>
          <w:szCs w:val="28"/>
          <w:lang w:val="zh-CN" w:eastAsia="zh-CN" w:bidi="ar-SA"/>
        </w:rPr>
      </w:pPr>
      <w:r>
        <w:rPr>
          <w:rFonts w:hint="eastAsia" w:ascii="仿宋" w:hAnsi="仿宋" w:eastAsia="仿宋" w:cs="仿宋"/>
          <w:kern w:val="2"/>
          <w:sz w:val="28"/>
          <w:szCs w:val="28"/>
          <w:lang w:val="en-US" w:eastAsia="zh-CN" w:bidi="ar-SA"/>
        </w:rPr>
        <w:t>西入口：设计中注重植物层次以及对现有植被的保护及利用，采用狼尾草与草地相结合的近自然式种植方法，根据不同场景，打造实现的遮掩关系，使人游览其间感受曲径通幽。具体设计详见园林绿化工程初步设计。</w:t>
      </w:r>
    </w:p>
    <w:p w14:paraId="395B6A2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（3）桥梁设计</w:t>
      </w:r>
    </w:p>
    <w:p w14:paraId="63ECD3F5">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主桥设计</w:t>
      </w:r>
    </w:p>
    <w:p w14:paraId="0CCB62BC">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西入口步行桥主梁采用桁架结构，主梁制作时设置千分之三预拱度，并应做成圆滑曲线，主梁侧面采用2mm装饰板外包，装饰板颜色以业主意见为主。</w:t>
      </w:r>
    </w:p>
    <w:p w14:paraId="129AD9BF">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下部结构</w:t>
      </w:r>
    </w:p>
    <w:p w14:paraId="69AF4654">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0#桥台以拆除重建后挡土墙为基础。1#桥墩采用2根DN500的钢管柱，2#桥墩采用桩帽式桥墩，1#、2#桥墩底均设置2根6m长直径0.9m的人工挖孔桩。1#桥墩钢管柱外采用2mm装饰板外包，装饰板颜色以业主意见为主。</w:t>
      </w:r>
    </w:p>
    <w:p w14:paraId="67E86BA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铺装</w:t>
      </w:r>
    </w:p>
    <w:p w14:paraId="14B9B63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主桥桥面铺装采用钢格板与花纹钢板拼接。</w:t>
      </w:r>
    </w:p>
    <w:p w14:paraId="206572A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栏杆</w:t>
      </w:r>
    </w:p>
    <w:p w14:paraId="79BB89AE">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栏杆采用银灰色菱型铁丝网，铁丝网采用L型方钢立柱和方钢横梁固定，方钢立柱间距1.5m固定于主桁梁立杆对应焊接牢固，铁路网外设置T5户外灯光，栏杆高度超出人行道板不小于1.1m。</w:t>
      </w:r>
    </w:p>
    <w:p w14:paraId="50FA487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支座</w:t>
      </w:r>
    </w:p>
    <w:p w14:paraId="7AAD8D25">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主梁1号墩固结，桥台均采用GBZJH200x200x44橡胶支座；支座技术要求符合《公路桥梁板式橡胶支座》（JT/T 4-2019）要求。</w:t>
      </w:r>
    </w:p>
    <w:p w14:paraId="58E6859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排水</w:t>
      </w:r>
    </w:p>
    <w:p w14:paraId="041D0A46">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桥面不单独设置排水系统，采用散排形式。</w:t>
      </w:r>
    </w:p>
    <w:p w14:paraId="0240345A">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栈桥外观及装饰设计</w:t>
      </w:r>
    </w:p>
    <w:p w14:paraId="6413F880">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所有钢板进场后均要喷涂车间底漆，然后按相应要求进行防锈涂装。</w:t>
      </w:r>
    </w:p>
    <w:p w14:paraId="7CF4F331">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钢板外露面涂装具体要求为：表面清理sa2.5级后，按要求涂装。</w:t>
      </w:r>
    </w:p>
    <w:p w14:paraId="032056A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面漆的颜色实施时由业主确定。</w:t>
      </w:r>
    </w:p>
    <w:p w14:paraId="2DE99FD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（4）路面结构设计</w:t>
      </w:r>
    </w:p>
    <w:p w14:paraId="4CD9D36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路面结构设计</w:t>
      </w:r>
    </w:p>
    <w:p w14:paraId="3556F82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下江陵路延伸段新建路面结构采用“强基薄面”的设计原则，根据道路在规划路网中的等级和通行能力，具体结构层如下：</w:t>
      </w:r>
    </w:p>
    <w:p w14:paraId="46AB11B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上面层:4.0cm细粒式改性沥青混凝土AC-13（石灰岩）</w:t>
      </w:r>
    </w:p>
    <w:p w14:paraId="73C028F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粘  层:改性乳化沥青（0.5L/㎡）</w:t>
      </w:r>
    </w:p>
    <w:p w14:paraId="5E35084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下面层:6.0cm中粒式沥青混凝土AC-20（石灰岩）</w:t>
      </w:r>
    </w:p>
    <w:p w14:paraId="4E67FFC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封  层:SBS改性沥青同步碎石 1.0cm</w:t>
      </w:r>
    </w:p>
    <w:p w14:paraId="3350589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补强层:1m宽抗裂贴</w:t>
      </w:r>
    </w:p>
    <w:p w14:paraId="64EFDA8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粘  层:改性乳化沥青（0.5L/㎡）</w:t>
      </w:r>
    </w:p>
    <w:p w14:paraId="2A6822F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基  层:20cmC25水泥混凝土（切缝、灌缝）</w:t>
      </w:r>
    </w:p>
    <w:p w14:paraId="04672FB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 xml:space="preserve">垫  层:15cm级配碎石   </w:t>
      </w:r>
    </w:p>
    <w:p w14:paraId="599621D9">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硬化区域结构：</w:t>
      </w:r>
    </w:p>
    <w:p w14:paraId="00D40A6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面  层:20cmC25水泥混凝土（切缝、灌缝）</w:t>
      </w:r>
    </w:p>
    <w:p w14:paraId="01B4CE3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垫  层:15cm级配碎石</w:t>
      </w:r>
    </w:p>
    <w:p w14:paraId="40EA809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(5)交通工程设计</w:t>
      </w:r>
    </w:p>
    <w:p w14:paraId="7DCE1648">
      <w:pPr>
        <w:spacing w:line="360" w:lineRule="auto"/>
        <w:ind w:firstLine="560" w:firstLineChars="200"/>
        <w:rPr>
          <w:rFonts w:hint="eastAsia" w:ascii="仿宋" w:hAnsi="仿宋" w:eastAsia="仿宋" w:cs="仿宋"/>
          <w:kern w:val="2"/>
          <w:sz w:val="28"/>
          <w:szCs w:val="28"/>
          <w:lang w:val="en-US" w:eastAsia="zh-CN" w:bidi="ar-SA"/>
        </w:rPr>
      </w:pPr>
      <w:bookmarkStart w:id="0" w:name="_Toc417544356"/>
      <w:r>
        <w:rPr>
          <w:rFonts w:hint="eastAsia" w:ascii="仿宋" w:hAnsi="仿宋" w:eastAsia="仿宋" w:cs="仿宋"/>
          <w:kern w:val="2"/>
          <w:sz w:val="28"/>
          <w:szCs w:val="28"/>
          <w:lang w:val="en-US" w:eastAsia="zh-CN" w:bidi="ar-SA"/>
        </w:rPr>
        <w:t>交通标线</w:t>
      </w:r>
    </w:p>
    <w:p w14:paraId="1AEDD52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本项目标线类型主要有可跨越对向车道线、车行道边缘线、导向箭头等。</w:t>
      </w:r>
    </w:p>
    <w:p w14:paraId="5CA2EF9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可跨越对向车道线——为黄色单虚线，线宽15cm。设于车行道中间位置，用来分离对向行驶的交通流量。单虚线，实线长4m，虚线长6m。</w:t>
      </w:r>
    </w:p>
    <w:p w14:paraId="1A23FF8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车行道边缘线——设于车行道边缘，为白色实线，线宽15cm。</w:t>
      </w:r>
    </w:p>
    <w:p w14:paraId="60BBB2C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导向箭头——主要用于交叉路口的导向车道内引导交通，颜色为白色。根据相关规范本应采用3m导向箭头，但考虑到现实实际情况、行车安全及本地交警部门相关要求，本项目采用4.5m导向箭头。</w:t>
      </w:r>
    </w:p>
    <w:p w14:paraId="55C913C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路面标线涂料的技术要求应符合国家标准JT/T280、GN47、GN48的有关规定。标线采用热熔型标线涂料，标线厚度为2.0mm。为增加标线夜间反光性，应预混和面撒玻璃珠，面撒玻璃珠用量为0.3～0.4kg/m2。所有道路标线严格按国标的有关规定涂划。</w:t>
      </w:r>
    </w:p>
    <w:bookmarkEnd w:id="0"/>
    <w:p w14:paraId="256CE94B">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(6)排水工程</w:t>
      </w:r>
    </w:p>
    <w:p w14:paraId="24FB6743">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次为改造工程，暂不考虑排水管网的布设，若有需要，由建设单位另行委托设计，与本项目同步施工。本次仅考虑周边及停车场雨水，通过道路及停车场单坡排入新建钢筋混凝土盖板沟（停车场大门处）就近接入已建市政雨水系统。具体详见《平面设计图》。</w:t>
      </w:r>
    </w:p>
    <w:p w14:paraId="7875E3D3">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(7)绿化设计</w:t>
      </w:r>
    </w:p>
    <w:p w14:paraId="31DB10D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本次为改造工程，暂不考虑行道树的设计，若有需要，由建设单位另行委托设计，与本项目同步施工。</w:t>
      </w:r>
    </w:p>
    <w:p w14:paraId="7B7E9FF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设计考虑在停车场区域设置绿化带。本设计在停车场绿化带内种植细叶麦冬（36株/m2），香樟（胸径15cm，全冠）。对下江陵路西侧空地及北侧空地进行地被覆绿，种植金鸡菊金鸡菊（H=50-60cm，36株/m2），百慕大混播黑麦草，局部地段采用文创围墙进行遮挡美化。</w:t>
      </w:r>
    </w:p>
    <w:p w14:paraId="79860F2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(8)配套设施设计</w:t>
      </w:r>
    </w:p>
    <w:p w14:paraId="36FD8AC7">
      <w:pPr>
        <w:spacing w:line="360" w:lineRule="auto"/>
        <w:ind w:firstLine="560" w:firstLineChars="200"/>
        <w:rPr>
          <w:rFonts w:hint="default" w:ascii="仿宋" w:hAnsi="仿宋" w:eastAsia="仿宋" w:cs="仿宋"/>
          <w:kern w:val="2"/>
          <w:sz w:val="28"/>
          <w:szCs w:val="28"/>
          <w:lang w:val="en-US" w:eastAsia="zh-CN" w:bidi="ar-SA"/>
        </w:rPr>
      </w:pPr>
      <w:r>
        <w:rPr>
          <w:rFonts w:hint="default" w:ascii="仿宋" w:hAnsi="仿宋" w:eastAsia="仿宋" w:cs="仿宋"/>
          <w:kern w:val="2"/>
          <w:sz w:val="28"/>
          <w:szCs w:val="28"/>
          <w:lang w:val="en-US" w:eastAsia="zh-CN" w:bidi="ar-SA"/>
        </w:rPr>
        <w:t>独立公厕工程：新建3处风貌适配公厕，合理规划功能区域与节水型配套；选用防水电气设施规范敷设管线，通过外观设计增强与周边历史环境的适配性。</w:t>
      </w:r>
    </w:p>
    <w:p w14:paraId="455727FC">
      <w:pPr>
        <w:numPr>
          <w:ilvl w:val="0"/>
          <w:numId w:val="6"/>
        </w:num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社区服务中心及体育公园</w:t>
      </w:r>
    </w:p>
    <w:p w14:paraId="7728BF94">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新建社区服务中心和羽毛球馆，其他区域布置绿化景观及休闲设施。</w:t>
      </w:r>
    </w:p>
    <w:p w14:paraId="3C335A02">
      <w:pPr>
        <w:numPr>
          <w:ilvl w:val="0"/>
          <w:numId w:val="6"/>
        </w:num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上下江陵路</w:t>
      </w:r>
    </w:p>
    <w:p w14:paraId="69BA5A75">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拆除现状人行道，重新新建人行道，按麻石板人行道进行重建，符合周边历史风貌。将电力管线入地，埋设地下电力管线。重新新建照明路灯。下江陵路北侧空地根据实际情况布置停车位和绿化景观设施。</w:t>
      </w:r>
    </w:p>
    <w:p w14:paraId="691D6351">
      <w:pPr>
        <w:numPr>
          <w:ilvl w:val="0"/>
          <w:numId w:val="6"/>
        </w:num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桂花园路</w:t>
      </w:r>
    </w:p>
    <w:p w14:paraId="72FD1699">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拆除现状人行道，重新新建人行道，按麻石板人行道进行重建，符合周边历史风貌。将电力管线入地，埋设地下电力管线。重新新建照明路灯。桂花园路与北环线交叉口位置两块绿地根据实际情况设置绿化及休闲设施。</w:t>
      </w:r>
    </w:p>
    <w:p w14:paraId="63B33463">
      <w:pPr>
        <w:numPr>
          <w:ilvl w:val="0"/>
          <w:numId w:val="6"/>
        </w:num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城陵矶港广场</w:t>
      </w:r>
    </w:p>
    <w:p w14:paraId="60B63E78">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根据规划，将城陵矶港前坪划分为北侧广场和南侧停车场。南侧建为停车场，采用生态停车位，并将部分停车位设为充电车位。北侧广场重新新建广场铺装，并设置相应的景观设施。广场和停车场还根据需要设置排水、照明等配套基础设施。</w:t>
      </w:r>
    </w:p>
    <w:p w14:paraId="008EAD87">
      <w:pPr>
        <w:numPr>
          <w:ilvl w:val="0"/>
          <w:numId w:val="6"/>
        </w:num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居民区</w:t>
      </w:r>
    </w:p>
    <w:p w14:paraId="7B93672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改造现有道路，在拆除部分临时建筑后可新建内部通道，保证消防通道畅通。对居民区进行雨污分流改造，埋设雨污水管。新建照明监控等基础配套设施。</w:t>
      </w:r>
    </w:p>
    <w:p w14:paraId="57880FE1">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lang w:val="en-US" w:eastAsia="zh-CN"/>
        </w:rPr>
        <w:t>各专业设计</w:t>
      </w:r>
    </w:p>
    <w:p w14:paraId="5A6EE691">
      <w:pPr>
        <w:pStyle w:val="3"/>
        <w:numPr>
          <w:ilvl w:val="1"/>
          <w:numId w:val="0"/>
        </w:numPr>
        <w:spacing w:before="0" w:after="0" w:line="360" w:lineRule="auto"/>
        <w:rPr>
          <w:rFonts w:hint="default" w:ascii="仿宋" w:hAnsi="仿宋" w:eastAsia="仿宋" w:cs="仿宋"/>
          <w:sz w:val="28"/>
          <w:szCs w:val="28"/>
          <w:lang w:val="en-US"/>
        </w:rPr>
      </w:pPr>
      <w:r>
        <w:rPr>
          <w:rFonts w:hint="eastAsia" w:ascii="仿宋" w:hAnsi="仿宋" w:eastAsia="仿宋" w:cs="仿宋"/>
          <w:sz w:val="28"/>
          <w:szCs w:val="28"/>
          <w:lang w:val="en-US" w:eastAsia="zh-CN"/>
        </w:rPr>
        <w:t>5.1道路工程</w:t>
      </w:r>
    </w:p>
    <w:p w14:paraId="16D5C98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1、车行道路面改造</w:t>
      </w:r>
    </w:p>
    <w:p w14:paraId="7F3E1A0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本项目车行道路面改造主要适用于位于停车场的车行通道和居民区的道路改造，设计在拆除原路面结构后进行恢复，路面结构如下：</w:t>
      </w:r>
    </w:p>
    <w:p w14:paraId="2521BFE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上面层: 4cm厚SBS细粒式改性沥青混凝土（AC-13）（石灰岩）</w:t>
      </w:r>
    </w:p>
    <w:p w14:paraId="01A9B1B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粘  层：改性乳化沥青油量（0.5kg/m2）</w:t>
      </w:r>
    </w:p>
    <w:p w14:paraId="17FB07DB">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下面层: 6cm厚中粒式沥青混凝土（AC-20）</w:t>
      </w:r>
    </w:p>
    <w:p w14:paraId="0237EAE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粘  层：乳化沥青油量（0.5kg/m2）</w:t>
      </w:r>
    </w:p>
    <w:p w14:paraId="7BEB59C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基  层：20cm厚C30混凝土</w:t>
      </w:r>
    </w:p>
    <w:p w14:paraId="0D491631">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垫  层：15cm级配碎石</w:t>
      </w:r>
    </w:p>
    <w:p w14:paraId="19FFB6C2">
      <w:pPr>
        <w:numPr>
          <w:ilvl w:val="0"/>
          <w:numId w:val="7"/>
        </w:num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人行道改造</w:t>
      </w:r>
    </w:p>
    <w:p w14:paraId="4BC1A52B">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本项目人行道路面改造主要适用于位于上下江陵路和桂花园路的人行道改造，设计在拆除原路面结构后进行恢复，路面结构如下：</w:t>
      </w:r>
    </w:p>
    <w:p w14:paraId="38B5C51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面  层：4cm厚麻石板面层</w:t>
      </w:r>
    </w:p>
    <w:p w14:paraId="02380A80">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粘结层：3cm厚1:3水泥砂浆</w:t>
      </w:r>
    </w:p>
    <w:p w14:paraId="19BEF26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基  层：20cm厚C20混凝土</w:t>
      </w:r>
    </w:p>
    <w:p w14:paraId="0D4580C4">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道路路面的改造应与管线改造同时进行，避免重复开挖。</w:t>
      </w:r>
    </w:p>
    <w:p w14:paraId="1ECE206A">
      <w:pPr>
        <w:numPr>
          <w:ilvl w:val="0"/>
          <w:numId w:val="7"/>
        </w:num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路面材料及施工要求</w:t>
      </w:r>
    </w:p>
    <w:p w14:paraId="12094C1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1）沥青混凝土</w:t>
      </w:r>
    </w:p>
    <w:p w14:paraId="09BA00A8">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沥青混凝土中的基质沥青均为70号A级道路石油沥青。沥青原材料应严格按现行《公路工程沥青及沥青混合料试验规程》进行检验，其技术要求应符合下表。如采用进口沥青，含蜡量不得超过2%，并增加针入度指数等指标。上面层采用SBS 改性沥青，基质沥青为70号A级道路石油沥青。</w:t>
      </w:r>
    </w:p>
    <w:p w14:paraId="3FB7D3C5">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沥青面层的粗集料应洁净、干燥、表面粗糙、无风化、无杂质，具有足够的强度、耐磨耗性。粗集料应具有良好的颗粒形状，不宜采用颚式破碎机加工。路面抗滑表层粗集料应选用坚硬、耐磨耗、抗冲击力的碎石或破碎砾石，不得使用筛选砾石、矿渣及软质集料。面层粗集料应采用石灰岩。</w:t>
      </w:r>
    </w:p>
    <w:p w14:paraId="0A4402E3">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当采用的粗集料对沥青的粘附性和沥青混合料的水稳定性不符合要求时，可采用掺加部分消石灰或水泥代替石粉等措施，使沥青混合料的水稳定性检验达到要求。掺加外加剂的剂量由沥青混合料的水稳定性检验确定。</w:t>
      </w:r>
    </w:p>
    <w:p w14:paraId="6E2F7B8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沥青面层的细集料宜采用专用的细集料破碎机生产的机制砂。细集料应洁净、干燥、无风化、无杂质，并有适当的颗粒级配。细集料的洁净程度，天然砂以小于0.075mm 含量的百分数表示，石屑和机制砂以砂当量（适用于0～4.75mm）或亚甲蓝（适用于0～2.36mm 或适用于0～0.15mm）表示。</w:t>
      </w:r>
    </w:p>
    <w:p w14:paraId="2EA2EBA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2）沥青混凝土路面施工</w:t>
      </w:r>
    </w:p>
    <w:p w14:paraId="3B37E24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（1）施工前应对各种材料进行调查并试验，经选择确定的材料在施工过程中应始终保持稳定，不得随意变更。</w:t>
      </w:r>
    </w:p>
    <w:p w14:paraId="69EF9700">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沥青混合料铺筑前，应检查基层或下卧沥青层的质量，不符合要求的不得铺筑沥青面层。旧沥青路面或下卧层已被污染时，必须清洗或经铣刨处理后方可铺筑粘层、沥青混合料。寒冷季节遇大风降温，不能保证迅速压实时不得铺筑沥青混合料。</w:t>
      </w:r>
    </w:p>
    <w:p w14:paraId="2780CE77">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沥青路面工程的施工单位除保证提供工地使用的原材料满足设计要求外，还必须根据规定的材料技术要求和对应的试验方法，进行必要的材料配合比设计，并经过试拌试铺论证确定用于生产的标准配合比，为施工提供满足设计要求的沥青混合料。</w:t>
      </w:r>
    </w:p>
    <w:p w14:paraId="137D818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（4）沥青加热温度及沥青混合料施工温度应符合《公路沥青路面施工技术规范》（JTG F40－2004）表5.2.2－2、5.2.2－3 的规定，并根据沥青品种、标号、粘度、气候条件及铺筑层的厚度进行选择。</w:t>
      </w:r>
    </w:p>
    <w:p w14:paraId="50DFBB4A">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（5）沥青混合料进行配合比设计时，应通过车辙试验机对抗车辙能力进行检验。</w:t>
      </w:r>
    </w:p>
    <w:p w14:paraId="3220E126">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（6）拌和厂拌和的沥青混合料应均匀一致、无花白料、无成团结块或严重的粗细料分离现象，不符合要求时不得使用，并应及时调整。</w:t>
      </w:r>
    </w:p>
    <w:p w14:paraId="2E10A60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压实后的沥青混合料应符合压实度及平整度的要求，沥青混凝土的分层压实厚度不宜大于10cm。沥青面层施工过程中对压实度建议采用双控指标：试验室标准密度的压实度不小于98%；采用最大理论密度时的压实度为94%、下面层可适当减低1%，不建议采用试验段密度进行控制。检测方法、检测频率及评价方法执行规范规定。</w:t>
      </w:r>
    </w:p>
    <w:p w14:paraId="4FBF1611">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（8）在接缝及构造物两端的连接处必须仔细操作，保证紧密、平顺。上、下层纵缝应错开150mm（热接缝）或300～400mm（冷接缝）以上。横向接缝应错位1.0m 以上。表面层横向接缝宜采用垂直的平接缝，其它层位可采用自然碾压的斜接缝，较厚时也可作阶梯形接缝。</w:t>
      </w:r>
    </w:p>
    <w:p w14:paraId="70BE5FBE">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（9）热拌沥青混合料路面应待摊铺层完全自然冷却，混合料表面温度低于50℃后，方可开放交通。需要提早开放交通时，可洒水冷却降低混合料温度。</w:t>
      </w:r>
    </w:p>
    <w:p w14:paraId="71F71036">
      <w:pPr>
        <w:pStyle w:val="3"/>
        <w:numPr>
          <w:ilvl w:val="1"/>
          <w:numId w:val="0"/>
        </w:numPr>
        <w:spacing w:before="0" w:after="0"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5.2排水工程</w:t>
      </w:r>
    </w:p>
    <w:p w14:paraId="4E432BF7">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5.2.1 工程设计</w:t>
      </w:r>
    </w:p>
    <w:p w14:paraId="14DCD072">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1、排水现状</w:t>
      </w:r>
    </w:p>
    <w:p w14:paraId="184B88DD">
      <w:p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本工程为改造工程,设计范围内无完善排水管网。</w:t>
      </w:r>
    </w:p>
    <w:p w14:paraId="15C60B4C">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2、排水工程设计标准</w:t>
      </w:r>
    </w:p>
    <w:p w14:paraId="71F08832">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本区域排水体制为雨污分流制。</w:t>
      </w:r>
    </w:p>
    <w:p w14:paraId="5271836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排水结构设计使用年限为50年，结构安全等级二级。砌体施工质量等级为B级，混凝土结构的环境类别为二a；排水管道按7度抗震设防烈度进行设防，污水干管设防类别为乙类，其他排水管道均为丙类。</w:t>
      </w:r>
    </w:p>
    <w:p w14:paraId="46748C0F">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3、排水工程设计原则及总体思路</w:t>
      </w:r>
    </w:p>
    <w:p w14:paraId="65F1BFC8">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（1）首先保证城市排水的顺畅、安全，从全局出发，统一考虑，局部改造以优化整个城市排水系统为目的，并与城市排水总体规划一致，满足相关的国家规范、规程、标准和规定。</w:t>
      </w:r>
    </w:p>
    <w:p w14:paraId="7501C5D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（2）合理确定设计参数及规模，结合现状及城市的发展，对排水量进行科学预测与计算，合理确定排水管渠的规模。</w:t>
      </w:r>
    </w:p>
    <w:p w14:paraId="17356491">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（3）雨水尽量遵循“分散出口，就近入河”，并尽可能地减少排出口的原则，在设计暴雨频率及河道设计重现期同时发生时能重力排水。</w:t>
      </w:r>
    </w:p>
    <w:p w14:paraId="27959FC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（4）排水工程设计除应符合城市和区域总体规划外，还应与排水专业规划和其它各相关专业规划相协调一致。另外，排水工程的设计应有一定适应性，应具有较长期时效性，为地区发展留有余地。</w:t>
      </w:r>
    </w:p>
    <w:p w14:paraId="75B570D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（5）结合海绵城市建设要求，在确保城市排水防涝安全的前提下，采用渗、滞、蓄、净、用、排等措施，最大限度地实现雨水在城市区域的积存、渗透和净化，促进雨水资源的利用和生态环境保护。</w:t>
      </w:r>
    </w:p>
    <w:p w14:paraId="7AC955BC">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（6）根据片区地形特点及竖向设计，采取分散就近排放，做到高水高排，低水低排，使雨水管道以最短的线路按重力流直接排入河道。</w:t>
      </w:r>
    </w:p>
    <w:p w14:paraId="2D2C680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（7）雨水口深度为1.0m。雨水管道每隔90～120m左右预留街坊接入管，预留接入管管径一般不小于DN600。</w:t>
      </w:r>
    </w:p>
    <w:p w14:paraId="35B54AC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（8）设计要求管道基础及管道附属构筑物下的地基强度应大于等于100Kpa。</w:t>
      </w:r>
    </w:p>
    <w:p w14:paraId="2DCAD4EF">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（9）一般情况下排水管道捡查井最大间距原则上按《室外排水设计标准》（GB50014—2021）中规定控制。</w:t>
      </w:r>
    </w:p>
    <w:p w14:paraId="7C2CAC9B">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4、雨水工程</w:t>
      </w:r>
    </w:p>
    <w:p w14:paraId="2FAF488D">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（1）雨水管道设计参数如下</w:t>
      </w:r>
    </w:p>
    <w:p w14:paraId="5EBA1294">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依据《华容县县城排水（雨水）防涝综合规划（2014-2030年）》本次雨水量计算采用华容县县城暴雨强度公式：</w:t>
      </w:r>
    </w:p>
    <w:p w14:paraId="4EF767F4">
      <w:pPr>
        <w:spacing w:line="360" w:lineRule="auto"/>
        <w:jc w:val="center"/>
        <w:rPr>
          <w:rFonts w:hint="eastAsia" w:ascii="仿宋" w:hAnsi="仿宋" w:eastAsia="仿宋" w:cs="仿宋"/>
          <w:color w:val="auto"/>
          <w:w w:val="95"/>
          <w:sz w:val="28"/>
          <w:szCs w:val="28"/>
          <w:lang w:val="en-US" w:eastAsia="zh-CN"/>
        </w:rPr>
      </w:pPr>
      <w:r>
        <w:rPr>
          <w:rFonts w:hint="eastAsia" w:ascii="仿宋" w:hAnsi="仿宋" w:eastAsia="仿宋" w:cs="仿宋"/>
          <w:sz w:val="28"/>
          <w:szCs w:val="28"/>
          <w:lang w:bidi="ar"/>
        </w:rPr>
        <w:drawing>
          <wp:inline distT="0" distB="0" distL="114300" distR="114300">
            <wp:extent cx="1762125" cy="495300"/>
            <wp:effectExtent l="0" t="0" r="9525"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
                    <a:stretch>
                      <a:fillRect/>
                    </a:stretch>
                  </pic:blipFill>
                  <pic:spPr>
                    <a:xfrm>
                      <a:off x="0" y="0"/>
                      <a:ext cx="1762125" cy="495300"/>
                    </a:xfrm>
                    <a:prstGeom prst="rect">
                      <a:avLst/>
                    </a:prstGeom>
                    <a:noFill/>
                    <a:ln>
                      <a:noFill/>
                    </a:ln>
                  </pic:spPr>
                </pic:pic>
              </a:graphicData>
            </a:graphic>
          </wp:inline>
        </w:drawing>
      </w:r>
    </w:p>
    <w:p w14:paraId="706D3087">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式中： P--设计重现期（年）依据《室外排水设计标准》（GB50014-2021），该项目位于华容，本工程按“中等城市和小城市、中心城区”选取排水涵设计重现期为P=3年。</w:t>
      </w:r>
    </w:p>
    <w:p w14:paraId="1FF16FF6">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      q --暴雨强度（L/s•hm</w:t>
      </w:r>
      <w:r>
        <w:rPr>
          <w:rFonts w:hint="eastAsia" w:ascii="仿宋" w:hAnsi="仿宋" w:eastAsia="仿宋" w:cs="仿宋"/>
          <w:color w:val="auto"/>
          <w:w w:val="95"/>
          <w:sz w:val="28"/>
          <w:szCs w:val="28"/>
          <w:vertAlign w:val="superscript"/>
          <w:lang w:val="en-US" w:eastAsia="zh-CN"/>
        </w:rPr>
        <w:t>2</w:t>
      </w:r>
      <w:r>
        <w:rPr>
          <w:rFonts w:hint="eastAsia" w:ascii="仿宋" w:hAnsi="仿宋" w:eastAsia="仿宋" w:cs="仿宋"/>
          <w:color w:val="auto"/>
          <w:w w:val="95"/>
          <w:sz w:val="28"/>
          <w:szCs w:val="28"/>
          <w:lang w:val="en-US" w:eastAsia="zh-CN"/>
        </w:rPr>
        <w:t>）</w:t>
      </w:r>
    </w:p>
    <w:p w14:paraId="06B3F1C0">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 xml:space="preserve">      t --降雨历时（min）。</w:t>
      </w:r>
    </w:p>
    <w:p w14:paraId="50C35E5E">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径流量系数根据用地性质和建筑密集度的不同而变化，几种不同性质区域的</w:t>
      </w:r>
    </w:p>
    <w:p w14:paraId="141ACC35">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综合径流系数见下表：</w:t>
      </w:r>
    </w:p>
    <w:tbl>
      <w:tblPr>
        <w:tblStyle w:val="23"/>
        <w:tblW w:w="5811" w:type="dxa"/>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04"/>
        <w:gridCol w:w="3008"/>
        <w:gridCol w:w="1899"/>
      </w:tblGrid>
      <w:tr w14:paraId="69AB11E2">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12212BBD">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序号</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157385B9">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区域性质</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66B3F4AF">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综合径流系数</w:t>
            </w:r>
          </w:p>
        </w:tc>
      </w:tr>
      <w:tr w14:paraId="77F9BE15">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0B03DF63">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4E45B736">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城镇建筑密集区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067C3D0F">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0.60～0.70</w:t>
            </w:r>
          </w:p>
        </w:tc>
      </w:tr>
      <w:tr w14:paraId="7B57FBE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7A1320E1">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2EB644B7">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城镇建筑较密集区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5E120B40">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0.45～0.60</w:t>
            </w:r>
          </w:p>
        </w:tc>
      </w:tr>
      <w:tr w14:paraId="33E0AE6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noWrap w:val="0"/>
            <w:vAlign w:val="center"/>
          </w:tcPr>
          <w:p w14:paraId="095B20DD">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w:t>
            </w:r>
          </w:p>
        </w:tc>
        <w:tc>
          <w:tcPr>
            <w:tcW w:w="3008" w:type="dxa"/>
            <w:tcBorders>
              <w:top w:val="single" w:color="auto" w:sz="4" w:space="0"/>
              <w:left w:val="single" w:color="auto" w:sz="4" w:space="0"/>
              <w:bottom w:val="single" w:color="auto" w:sz="4" w:space="0"/>
              <w:right w:val="single" w:color="auto" w:sz="4" w:space="0"/>
            </w:tcBorders>
            <w:noWrap w:val="0"/>
            <w:vAlign w:val="center"/>
          </w:tcPr>
          <w:p w14:paraId="7A05AEE7">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城镇建筑稀疏区</w:t>
            </w:r>
          </w:p>
        </w:tc>
        <w:tc>
          <w:tcPr>
            <w:tcW w:w="1899" w:type="dxa"/>
            <w:tcBorders>
              <w:top w:val="single" w:color="auto" w:sz="4" w:space="0"/>
              <w:left w:val="single" w:color="auto" w:sz="4" w:space="0"/>
              <w:bottom w:val="single" w:color="auto" w:sz="4" w:space="0"/>
              <w:right w:val="single" w:color="auto" w:sz="4" w:space="0"/>
            </w:tcBorders>
            <w:noWrap w:val="0"/>
            <w:vAlign w:val="center"/>
          </w:tcPr>
          <w:p w14:paraId="20E776C1">
            <w:pPr>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0.20～0.45</w:t>
            </w:r>
          </w:p>
        </w:tc>
      </w:tr>
    </w:tbl>
    <w:p w14:paraId="14FC64D9">
      <w:p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本次设计综合径流系数取0.60进行流量计算。</w:t>
      </w:r>
    </w:p>
    <w:p w14:paraId="51FBD11A">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kern w:val="2"/>
          <w:sz w:val="28"/>
          <w:szCs w:val="28"/>
          <w:lang w:val="en-US" w:eastAsia="zh-CN" w:bidi="ar-SA"/>
        </w:rPr>
        <w:t>（3）</w:t>
      </w:r>
      <w:r>
        <w:rPr>
          <w:rFonts w:hint="eastAsia" w:ascii="仿宋" w:hAnsi="仿宋" w:eastAsia="仿宋" w:cs="仿宋"/>
          <w:color w:val="auto"/>
          <w:w w:val="95"/>
          <w:sz w:val="28"/>
          <w:szCs w:val="28"/>
          <w:lang w:val="en-US" w:eastAsia="zh-CN"/>
        </w:rPr>
        <w:t>雨水设计</w:t>
      </w:r>
    </w:p>
    <w:p w14:paraId="107DCEC8">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结合道路改造，本次设计考虑现状及新建道路的雨水收集及道路两侧地块雨水的收集和排放。由于道路两侧现状雨水管暂未设置预留管，为了方便后期地块开发，区块雨水的接入，设计考虑每隔一定距离预留雨水D600支管，具体位置施工时可根据现场实际情况进行调整，预留检查井设置在道路红线外2.0m处，在区块管道尚未接入之前砖砌暂封。</w:t>
      </w:r>
    </w:p>
    <w:p w14:paraId="4EE3E958">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城陵矶港广场雨水经收集排放至广场西侧洞庭湖内。</w:t>
      </w:r>
    </w:p>
    <w:p w14:paraId="4111277E">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居民区</w:t>
      </w:r>
      <w:r>
        <w:rPr>
          <w:rFonts w:hint="eastAsia" w:ascii="仿宋" w:hAnsi="仿宋" w:eastAsia="仿宋" w:cs="仿宋"/>
          <w:color w:val="auto"/>
          <w:w w:val="95"/>
          <w:sz w:val="28"/>
          <w:szCs w:val="28"/>
          <w:lang w:val="en-US" w:eastAsia="zh-CN"/>
        </w:rPr>
        <w:t>雨水经收集排放至江陵路已建雨水管内。</w:t>
      </w:r>
    </w:p>
    <w:p w14:paraId="7E079289">
      <w:pPr>
        <w:numPr>
          <w:ilvl w:val="0"/>
          <w:numId w:val="0"/>
        </w:numPr>
        <w:spacing w:line="360" w:lineRule="auto"/>
        <w:ind w:firstLine="532" w:firstLine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设计雨水主管布置在车行道下，雨水管管径为DN500~DN600，管材为Ⅱ级钢筋混凝土管，管道基础采用砂石基础，接口采用承插式橡胶圈接口。管道每隔40m 左右设置一座检查井，检查井采用混凝土排水检查井(详见国标图集20S515)。道路雨水口采用偏沟式双箅雨水口，雨水口与检查井的连接管采用DN300 高密度聚乙烯（HDPE）缠绕结构壁B 型管，坡度i=1%，环刚度要求S≥8kN/m2，接口采用承插式电熔接口，其质量必须符合《埋地用聚乙烯（PE）结构壁管道系统第2部分：聚乙烯缠绕结构壁管材》（GB/T19472.2-2017）的要求。雨水口施工具体做法参见国标图集16S518。</w:t>
      </w:r>
    </w:p>
    <w:p w14:paraId="02439F30">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5、污水工程</w:t>
      </w:r>
    </w:p>
    <w:p w14:paraId="5E1336DC">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（1）污水管道设计参数</w:t>
      </w:r>
    </w:p>
    <w:p w14:paraId="18C3D17E">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 xml:space="preserve">①水力计算公式: </w:t>
      </w:r>
    </w:p>
    <w:p w14:paraId="6417AF48">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Q=Av(m3/s)</w:t>
      </w:r>
    </w:p>
    <w:p w14:paraId="5B162C4D">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object>
          <v:shape id="_x0000_i1025" o:spt="75" type="#_x0000_t75" style="height:32pt;width:55.7pt;" o:ole="t" filled="f" o:preferrelative="t" stroked="f" coordsize="21600,21600">
            <v:path/>
            <v:fill on="f" focussize="0,0"/>
            <v:stroke on="f"/>
            <v:imagedata r:id="rId20" o:title=""/>
            <o:lock v:ext="edit" aspectratio="t"/>
            <w10:wrap type="none"/>
            <w10:anchorlock/>
          </v:shape>
          <o:OLEObject Type="Embed" ProgID="Equation.3" ShapeID="_x0000_i1025" DrawAspect="Content" ObjectID="_1468075725" r:id="rId19">
            <o:LockedField>false</o:LockedField>
          </o:OLEObject>
        </w:object>
      </w:r>
    </w:p>
    <w:p w14:paraId="459E2A81">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R=A/P</w:t>
      </w:r>
    </w:p>
    <w:p w14:paraId="39CD28CC">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n—粗糙系数。</w:t>
      </w:r>
    </w:p>
    <w:p w14:paraId="3386FD5C">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②管道坡度及充满度：结合设计道路地势以及污水干管高程，污水管道设计坡度的取值在合理范围内尽可能接近道路的设计坡度。</w:t>
      </w:r>
    </w:p>
    <w:p w14:paraId="079274DE">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污水管道的最大充满度管道的设计充满度参照遵守《室外排水设计标准》（GB50014-2021）的规定。具体见下表：　　　</w:t>
      </w:r>
    </w:p>
    <w:tbl>
      <w:tblPr>
        <w:tblStyle w:val="23"/>
        <w:tblW w:w="0" w:type="auto"/>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47"/>
        <w:gridCol w:w="3147"/>
      </w:tblGrid>
      <w:tr w14:paraId="1ECCDD3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thinThickSmallGap" w:color="auto" w:sz="12" w:space="0"/>
              <w:left w:val="thinThickSmallGap" w:color="auto" w:sz="12" w:space="0"/>
              <w:bottom w:val="single" w:color="auto" w:sz="6" w:space="0"/>
              <w:right w:val="single" w:color="auto" w:sz="6" w:space="0"/>
            </w:tcBorders>
            <w:noWrap w:val="0"/>
            <w:vAlign w:val="center"/>
          </w:tcPr>
          <w:p w14:paraId="0312885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管径（mm）</w:t>
            </w:r>
          </w:p>
        </w:tc>
        <w:tc>
          <w:tcPr>
            <w:tcW w:w="3147" w:type="dxa"/>
            <w:tcBorders>
              <w:top w:val="thinThickSmallGap" w:color="auto" w:sz="12" w:space="0"/>
              <w:left w:val="single" w:color="auto" w:sz="6" w:space="0"/>
              <w:bottom w:val="single" w:color="auto" w:sz="6" w:space="0"/>
              <w:right w:val="thickThinSmallGap" w:color="auto" w:sz="12" w:space="0"/>
            </w:tcBorders>
            <w:noWrap w:val="0"/>
            <w:vAlign w:val="center"/>
          </w:tcPr>
          <w:p w14:paraId="420DB4A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最大设计充满度</w:t>
            </w:r>
          </w:p>
        </w:tc>
      </w:tr>
      <w:tr w14:paraId="0EA69266">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1499326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d≤300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4EB291B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0.55</w:t>
            </w:r>
          </w:p>
        </w:tc>
      </w:tr>
      <w:tr w14:paraId="1305E30A">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450347C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d＝400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38627BE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0.65</w:t>
            </w:r>
          </w:p>
        </w:tc>
      </w:tr>
      <w:tr w14:paraId="010835FE">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noWrap w:val="0"/>
            <w:vAlign w:val="center"/>
          </w:tcPr>
          <w:p w14:paraId="0EB4087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500≤d≤900</w:t>
            </w:r>
          </w:p>
        </w:tc>
        <w:tc>
          <w:tcPr>
            <w:tcW w:w="3147" w:type="dxa"/>
            <w:tcBorders>
              <w:top w:val="single" w:color="auto" w:sz="6" w:space="0"/>
              <w:left w:val="single" w:color="auto" w:sz="6" w:space="0"/>
              <w:bottom w:val="single" w:color="auto" w:sz="6" w:space="0"/>
              <w:right w:val="thickThinSmallGap" w:color="auto" w:sz="12" w:space="0"/>
            </w:tcBorders>
            <w:noWrap w:val="0"/>
            <w:vAlign w:val="center"/>
          </w:tcPr>
          <w:p w14:paraId="230A6E3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0.70</w:t>
            </w:r>
          </w:p>
        </w:tc>
      </w:tr>
      <w:tr w14:paraId="6471A3FF">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thickThinSmallGap" w:color="auto" w:sz="12" w:space="0"/>
              <w:right w:val="single" w:color="auto" w:sz="6" w:space="0"/>
            </w:tcBorders>
            <w:noWrap w:val="0"/>
            <w:vAlign w:val="center"/>
          </w:tcPr>
          <w:p w14:paraId="6387B14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d＞1000</w:t>
            </w:r>
          </w:p>
        </w:tc>
        <w:tc>
          <w:tcPr>
            <w:tcW w:w="3147" w:type="dxa"/>
            <w:tcBorders>
              <w:top w:val="single" w:color="auto" w:sz="6" w:space="0"/>
              <w:left w:val="single" w:color="auto" w:sz="6" w:space="0"/>
              <w:bottom w:val="thickThinSmallGap" w:color="auto" w:sz="12" w:space="0"/>
              <w:right w:val="thickThinSmallGap" w:color="auto" w:sz="12" w:space="0"/>
            </w:tcBorders>
            <w:noWrap w:val="0"/>
            <w:vAlign w:val="center"/>
          </w:tcPr>
          <w:p w14:paraId="0898448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0.75</w:t>
            </w:r>
          </w:p>
        </w:tc>
      </w:tr>
    </w:tbl>
    <w:p w14:paraId="39AA91AF">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（4）污水管线布置</w:t>
      </w:r>
    </w:p>
    <w:p w14:paraId="46D1DB79">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结合道路改造，本次设计考虑现状及新建道路两侧地块污水的收集和排放。由于道路两侧现状污水管暂未设置预留管，为了方便后期地块开发，区块雨水的接入，设计考虑每隔一定距离预留污水D300支管，具体位置施工时可根据现场实际情况进行调整，预留检查井设置在道路红线外2.0m处，在区块管道尚未接入之前砖砌暂封。</w:t>
      </w:r>
    </w:p>
    <w:p w14:paraId="2B64AA60">
      <w:pPr>
        <w:numPr>
          <w:ilvl w:val="0"/>
          <w:numId w:val="0"/>
        </w:numPr>
        <w:spacing w:line="360" w:lineRule="auto"/>
        <w:ind w:firstLine="532" w:firstLineChars="200"/>
        <w:rPr>
          <w:rFonts w:hint="default"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居民区</w:t>
      </w:r>
      <w:r>
        <w:rPr>
          <w:rFonts w:hint="eastAsia" w:ascii="仿宋" w:hAnsi="仿宋" w:eastAsia="仿宋" w:cs="仿宋"/>
          <w:color w:val="auto"/>
          <w:w w:val="95"/>
          <w:sz w:val="28"/>
          <w:szCs w:val="28"/>
          <w:lang w:val="en-US" w:eastAsia="zh-CN"/>
        </w:rPr>
        <w:t>污水经收集排放至江陵路已建污水管内。其中上江陵路考虑地势较低，规划在道路西侧设置一座污水提升泵站，区域污水经提升排至桂花园路已建污水管内。</w:t>
      </w:r>
    </w:p>
    <w:p w14:paraId="55B323C1">
      <w:pPr>
        <w:pStyle w:val="21"/>
        <w:widowControl/>
        <w:spacing w:line="360" w:lineRule="auto"/>
        <w:ind w:firstLine="454" w:firstLineChars="171"/>
        <w:jc w:val="left"/>
        <w:rPr>
          <w:rFonts w:hint="default" w:ascii="仿宋" w:hAnsi="仿宋" w:eastAsia="仿宋" w:cs="仿宋"/>
          <w:color w:val="auto"/>
          <w:w w:val="95"/>
          <w:kern w:val="2"/>
          <w:sz w:val="28"/>
          <w:szCs w:val="28"/>
          <w:lang w:val="en-US" w:eastAsia="zh-CN" w:bidi="ar-SA"/>
        </w:rPr>
      </w:pPr>
      <w:r>
        <w:rPr>
          <w:rFonts w:hint="eastAsia" w:ascii="仿宋" w:hAnsi="仿宋" w:eastAsia="仿宋" w:cs="仿宋"/>
          <w:color w:val="auto"/>
          <w:w w:val="95"/>
          <w:sz w:val="28"/>
          <w:szCs w:val="28"/>
          <w:lang w:val="en-US" w:eastAsia="zh-CN"/>
        </w:rPr>
        <w:t>新建</w:t>
      </w:r>
      <w:r>
        <w:rPr>
          <w:rFonts w:hint="eastAsia" w:ascii="仿宋" w:hAnsi="仿宋" w:eastAsia="仿宋" w:cs="仿宋"/>
          <w:color w:val="auto"/>
          <w:w w:val="95"/>
          <w:kern w:val="2"/>
          <w:sz w:val="28"/>
          <w:szCs w:val="28"/>
          <w:lang w:val="en-US" w:eastAsia="zh-CN" w:bidi="ar-SA"/>
        </w:rPr>
        <w:t>污水管管径为D500，管材为高密度聚乙烯（HDPE）缠绕结构壁B型管，环刚度要求≥8kN/m2，管道接口采用承插式电熔接口，管道基础采用砂垫层基础,其质量必须符合《埋地用聚乙烯（PE）结构壁管道系统第2部分：聚乙烯缠绕结构壁管材》（GB/T19472.2-2017）的要求。管道每隔50m左右设置一座检查井，检查井采用钢筋混凝土圆形排水检查井(详见国标图集20S515)。</w:t>
      </w:r>
    </w:p>
    <w:p w14:paraId="06AC0B4D">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6、给水工程</w:t>
      </w:r>
    </w:p>
    <w:p w14:paraId="60B7A70C">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本次设计消防给水管道考虑与桂花园路现状给水管碰通。</w:t>
      </w:r>
    </w:p>
    <w:p w14:paraId="7135A198">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城陵矶港广场新建</w:t>
      </w:r>
      <w:r>
        <w:rPr>
          <w:rFonts w:hint="eastAsia" w:ascii="仿宋" w:hAnsi="仿宋" w:eastAsia="仿宋" w:cs="仿宋"/>
          <w:color w:val="auto"/>
          <w:w w:val="95"/>
          <w:kern w:val="2"/>
          <w:sz w:val="28"/>
          <w:szCs w:val="28"/>
          <w:lang w:val="en-US" w:eastAsia="zh-CN" w:bidi="ar-SA"/>
        </w:rPr>
        <w:t>给水管道考虑与桂花园路现状给水管碰通。</w:t>
      </w:r>
      <w:r>
        <w:rPr>
          <w:rFonts w:hint="eastAsia" w:ascii="仿宋" w:hAnsi="仿宋" w:eastAsia="仿宋" w:cs="仿宋"/>
          <w:color w:val="auto"/>
          <w:w w:val="95"/>
          <w:sz w:val="28"/>
          <w:szCs w:val="28"/>
          <w:lang w:val="en-US" w:eastAsia="zh-CN"/>
        </w:rPr>
        <w:t>。</w:t>
      </w:r>
    </w:p>
    <w:p w14:paraId="50B21697">
      <w:pPr>
        <w:numPr>
          <w:ilvl w:val="0"/>
          <w:numId w:val="0"/>
        </w:numPr>
        <w:spacing w:line="360" w:lineRule="auto"/>
        <w:ind w:firstLine="532" w:firstLineChars="200"/>
        <w:rPr>
          <w:rFonts w:hint="eastAsia" w:ascii="仿宋" w:hAnsi="仿宋" w:eastAsia="仿宋" w:cs="仿宋"/>
          <w:color w:val="auto"/>
          <w:w w:val="95"/>
          <w:sz w:val="28"/>
          <w:szCs w:val="28"/>
          <w:lang w:val="en-US" w:eastAsia="zh-CN"/>
        </w:rPr>
      </w:pPr>
      <w:r>
        <w:rPr>
          <w:rFonts w:hint="default" w:ascii="仿宋" w:hAnsi="仿宋" w:eastAsia="仿宋" w:cs="仿宋"/>
          <w:color w:val="auto"/>
          <w:w w:val="95"/>
          <w:sz w:val="28"/>
          <w:szCs w:val="28"/>
          <w:lang w:val="en-US" w:eastAsia="zh-CN"/>
        </w:rPr>
        <w:t>居民区</w:t>
      </w:r>
      <w:r>
        <w:rPr>
          <w:rFonts w:hint="eastAsia" w:ascii="仿宋" w:hAnsi="仿宋" w:eastAsia="仿宋" w:cs="仿宋"/>
          <w:color w:val="auto"/>
          <w:w w:val="95"/>
          <w:sz w:val="28"/>
          <w:szCs w:val="28"/>
          <w:lang w:val="en-US" w:eastAsia="zh-CN"/>
        </w:rPr>
        <w:t>上江陵路暂无给水管，新建</w:t>
      </w:r>
      <w:r>
        <w:rPr>
          <w:rFonts w:hint="eastAsia" w:ascii="仿宋" w:hAnsi="仿宋" w:eastAsia="仿宋" w:cs="仿宋"/>
          <w:color w:val="auto"/>
          <w:w w:val="95"/>
          <w:kern w:val="2"/>
          <w:sz w:val="28"/>
          <w:szCs w:val="28"/>
          <w:lang w:val="en-US" w:eastAsia="zh-CN" w:bidi="ar-SA"/>
        </w:rPr>
        <w:t>给水管道考虑与桂花园路现状给水管碰通。</w:t>
      </w:r>
      <w:r>
        <w:rPr>
          <w:rFonts w:hint="eastAsia" w:ascii="仿宋" w:hAnsi="仿宋" w:eastAsia="仿宋" w:cs="仿宋"/>
          <w:color w:val="auto"/>
          <w:w w:val="95"/>
          <w:sz w:val="28"/>
          <w:szCs w:val="28"/>
          <w:lang w:val="en-US" w:eastAsia="zh-CN"/>
        </w:rPr>
        <w:t>下江陵路周边地块考虑与下江陵现状</w:t>
      </w:r>
      <w:r>
        <w:rPr>
          <w:rFonts w:hint="eastAsia" w:ascii="仿宋" w:hAnsi="仿宋" w:eastAsia="仿宋" w:cs="仿宋"/>
          <w:color w:val="auto"/>
          <w:w w:val="95"/>
          <w:kern w:val="2"/>
          <w:sz w:val="28"/>
          <w:szCs w:val="28"/>
          <w:lang w:val="en-US" w:eastAsia="zh-CN" w:bidi="ar-SA"/>
        </w:rPr>
        <w:t>给水管道碰通</w:t>
      </w:r>
      <w:r>
        <w:rPr>
          <w:rFonts w:hint="eastAsia" w:ascii="仿宋" w:hAnsi="仿宋" w:eastAsia="仿宋" w:cs="仿宋"/>
          <w:color w:val="auto"/>
          <w:w w:val="95"/>
          <w:sz w:val="28"/>
          <w:szCs w:val="28"/>
          <w:lang w:val="en-US" w:eastAsia="zh-CN"/>
        </w:rPr>
        <w:t>。</w:t>
      </w:r>
    </w:p>
    <w:p w14:paraId="574BD4FE">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设计考虑市政消防与市政给水共管，给水管管径采用DN100~DN300。管材采用PN1.0Mpa，K9级球墨铸铁管，T型柔性接口，砂垫层基础。</w:t>
      </w:r>
    </w:p>
    <w:p w14:paraId="698722BD">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1、室外消火栓的间距不大于 120m。设计考虑布置在道路西侧非机动车道下距下凹式绿地0.75m处设置SSF100/65-1.0型地上式消防栓，与消防给水管相接。消防栓做法参见 《室外消火栓及消防水鹤安装》（13S201)。消火栓位置可根据现场实际情况略作调整。应《岳阳市消火栓管理办法》要求，消火栓同步配套智能消防设施。</w:t>
      </w:r>
    </w:p>
    <w:p w14:paraId="4C2243D7">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2、给水管道埋深按管顶覆土0.8m敷设，覆土不足0.7m时采用方包处理。弯（堵）头、三通、四通等管配件处采用混凝土支墩，土壤内摩擦角取18度，具体做法详见国标(10S505)。</w:t>
      </w:r>
    </w:p>
    <w:p w14:paraId="77BE778B">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3、给水管道上所设阀门井，采用圆形砖砌阀门井，做法可参见 《市政给水管道工程及附属设施》（07MS101-2），球墨铸铁材料井盖、座。</w:t>
      </w:r>
    </w:p>
    <w:p w14:paraId="7754A34E">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4、给水管道敷设完毕后必须试压，试压强度为工作压力的2.0倍，试压每段一般不超过500m；冲洗消毒均按国家有关规范规定进行，冲洗水排入附近沟渠；冲洗水流速不应小于1.5m/s；新安装管道在管内水质达到现行国家饮用水标准方可与现状市政管网永久性通水。</w:t>
      </w:r>
    </w:p>
    <w:p w14:paraId="44D104B8">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5、所有阀门与管道的连接均采用法兰连接,阀门采用铸钢Z45X-10软密封闸阀。</w:t>
      </w:r>
    </w:p>
    <w:p w14:paraId="04C804D6">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6、给水管道沿线应设置管道标志，在给水管管道顶部上方设置警示带。</w:t>
      </w:r>
      <w:r>
        <w:rPr>
          <w:rFonts w:hint="eastAsia" w:ascii="仿宋" w:hAnsi="仿宋" w:eastAsia="仿宋" w:cs="仿宋"/>
          <w:color w:val="auto"/>
          <w:w w:val="95"/>
          <w:sz w:val="28"/>
          <w:szCs w:val="28"/>
          <w:lang w:val="en-US" w:eastAsia="zh-CN"/>
        </w:rPr>
        <w:t>本次设计范围不考虑给水改造，由业主另行委托有资质的单位设计，并同步道路实施</w:t>
      </w:r>
    </w:p>
    <w:p w14:paraId="5E42DFE2">
      <w:pPr>
        <w:numPr>
          <w:ilvl w:val="0"/>
          <w:numId w:val="0"/>
        </w:numPr>
        <w:spacing w:line="360" w:lineRule="auto"/>
        <w:ind w:leftChars="200"/>
        <w:rPr>
          <w:rFonts w:hint="eastAsia"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5.2.3抗震与抗浮</w:t>
      </w:r>
    </w:p>
    <w:p w14:paraId="331B1584">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本次设计依据暂无地勘资料。</w:t>
      </w:r>
    </w:p>
    <w:p w14:paraId="70F26E15">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（1）抗震：拟建场地抗震设防烈度按7度考虑，本次设计根据国标《建筑与市政工程抗震通用规范》及《钢筋混凝土及砖砌排水检查井》20S515进行设计，满足7度抗震构造要求，不需进行抗震验算。</w:t>
      </w:r>
    </w:p>
    <w:p w14:paraId="39DB232E">
      <w:pPr>
        <w:pStyle w:val="21"/>
        <w:widowControl/>
        <w:spacing w:line="360" w:lineRule="auto"/>
        <w:ind w:firstLine="454" w:firstLineChars="171"/>
        <w:jc w:val="left"/>
        <w:rPr>
          <w:rFonts w:hint="eastAsia" w:ascii="仿宋" w:hAnsi="仿宋" w:eastAsia="仿宋" w:cs="仿宋"/>
          <w:color w:val="auto"/>
          <w:w w:val="95"/>
          <w:kern w:val="2"/>
          <w:sz w:val="28"/>
          <w:szCs w:val="28"/>
          <w:lang w:val="en-US" w:eastAsia="zh-CN" w:bidi="ar-SA"/>
        </w:rPr>
      </w:pPr>
      <w:r>
        <w:rPr>
          <w:rFonts w:hint="eastAsia" w:ascii="仿宋" w:hAnsi="仿宋" w:eastAsia="仿宋" w:cs="仿宋"/>
          <w:color w:val="auto"/>
          <w:w w:val="95"/>
          <w:kern w:val="2"/>
          <w:sz w:val="28"/>
          <w:szCs w:val="28"/>
          <w:lang w:val="en-US" w:eastAsia="zh-CN" w:bidi="ar-SA"/>
        </w:rPr>
        <w:t>（2）抗浮：本次设计管道部分位于地下水位以下，经计算满足抗浮要求。</w:t>
      </w:r>
    </w:p>
    <w:p w14:paraId="699E6296">
      <w:pPr>
        <w:numPr>
          <w:ilvl w:val="0"/>
          <w:numId w:val="0"/>
        </w:numPr>
        <w:spacing w:line="360" w:lineRule="auto"/>
        <w:ind w:leftChars="200"/>
        <w:rPr>
          <w:rFonts w:hint="default" w:ascii="仿宋" w:hAnsi="仿宋" w:eastAsia="仿宋" w:cs="仿宋"/>
          <w:color w:val="auto"/>
          <w:w w:val="95"/>
          <w:sz w:val="28"/>
          <w:szCs w:val="28"/>
          <w:lang w:val="en-US" w:eastAsia="zh-CN"/>
        </w:rPr>
      </w:pPr>
      <w:r>
        <w:rPr>
          <w:rFonts w:hint="eastAsia" w:ascii="仿宋" w:hAnsi="仿宋" w:eastAsia="仿宋" w:cs="仿宋"/>
          <w:color w:val="auto"/>
          <w:w w:val="95"/>
          <w:sz w:val="28"/>
          <w:szCs w:val="28"/>
          <w:lang w:val="en-US" w:eastAsia="zh-CN"/>
        </w:rPr>
        <w:t>5.2.4排水管材的选用</w:t>
      </w:r>
    </w:p>
    <w:p w14:paraId="4EBAFBA2">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（1）管材选择原则</w:t>
      </w:r>
    </w:p>
    <w:p w14:paraId="004D605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排水管渠的材料必须满足具备长期稳定性，才能保证正常的排水功能。</w:t>
      </w:r>
    </w:p>
    <w:p w14:paraId="753DD00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1．排水管渠必须具有足够的强度，以承受外部荷载和内部的水压。</w:t>
      </w:r>
    </w:p>
    <w:p w14:paraId="489A3409">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2．排水管渠必须能抵抗污水中杂质冲刷和磨琢。也应有抗腐蚀的功能，特别对有些腐蚀性的工业废水。</w:t>
      </w:r>
    </w:p>
    <w:p w14:paraId="604115B3">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3．排水管渠的内壁应平整光滑，使水流阻力尽量减小。</w:t>
      </w:r>
    </w:p>
    <w:p w14:paraId="55AB644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4．排水管渠应尽量就地取材，并考虑到预制管件及快速施工的可能，减少运输和施工费用。</w:t>
      </w:r>
      <w:bookmarkStart w:id="1" w:name="_Toc331449670"/>
      <w:bookmarkStart w:id="2" w:name="_Toc207367146"/>
      <w:bookmarkStart w:id="3" w:name="_Toc17983"/>
      <w:bookmarkStart w:id="4" w:name="_Toc152339249"/>
      <w:bookmarkStart w:id="5" w:name="_Toc152338699"/>
    </w:p>
    <w:p w14:paraId="194FA19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（2）排水管材的发展趋势</w:t>
      </w:r>
      <w:bookmarkEnd w:id="1"/>
      <w:bookmarkEnd w:id="2"/>
      <w:bookmarkEnd w:id="3"/>
      <w:bookmarkEnd w:id="4"/>
      <w:bookmarkEnd w:id="5"/>
    </w:p>
    <w:p w14:paraId="4D5E34B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很长时间来，用于市政排水的管材大多采用钢筋混凝土管、铸铁管。其特点是重量重、接口多、施工困难。管道一般采用水泥接口刚性连接。采用水泥砂浆接口的平口钢筋混凝土管存在渗漏问题。污水的渗漏造成地下的污染，严重危害环境和人民身体健康。因而开发和优先使用无渗漏，使用寿命长的排水管道已成当务之急。</w:t>
      </w:r>
    </w:p>
    <w:p w14:paraId="3497DB2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国家和地方已出台了一批限用或禁用混凝土管、钢筋混凝土管和铸铁管的政府文件。2004年4月，建设部发布了《推广应用和限制禁止使用技术公告》，明文规定推广采用城镇塑料排水管道系统，禁止使用DN&lt;500的平口、企口混凝土排水管。建设部有关文件指出：塑料排水管管材重量轻、耐腐蚀。管材环刚度可靠，接口密封性能好，可防止地下水的污染。包括高密度聚乙烯双壁波纹管、硬聚氯乙烯双壁波纹管、硬聚氯乙烯环形肋管、高密度聚乙烯缠绕结构壁管、玻璃钢夹砂管。近年来，塑料排水管的特性及其优势已开始被人们认识和接受。</w:t>
      </w:r>
      <w:bookmarkStart w:id="6" w:name="_Toc298261929"/>
      <w:bookmarkStart w:id="7" w:name="_Toc153179715"/>
      <w:bookmarkStart w:id="8" w:name="_Toc161154497"/>
      <w:bookmarkStart w:id="9" w:name="_Toc331449671"/>
      <w:bookmarkStart w:id="10" w:name="_Toc10573"/>
    </w:p>
    <w:bookmarkEnd w:id="6"/>
    <w:bookmarkEnd w:id="7"/>
    <w:bookmarkEnd w:id="8"/>
    <w:bookmarkEnd w:id="9"/>
    <w:bookmarkEnd w:id="10"/>
    <w:p w14:paraId="590E824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（3）常用排水管材比较</w:t>
      </w:r>
    </w:p>
    <w:p w14:paraId="6A0BF19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下表是几种常用管材的技术性能比较。</w:t>
      </w:r>
    </w:p>
    <w:p w14:paraId="73AA55C1">
      <w:pPr>
        <w:ind w:firstLine="562"/>
        <w:jc w:val="center"/>
        <w:rPr>
          <w:rFonts w:hint="eastAsia" w:ascii="仿宋" w:hAnsi="仿宋" w:eastAsia="仿宋" w:cs="仿宋"/>
          <w:b/>
          <w:sz w:val="28"/>
          <w:szCs w:val="28"/>
        </w:rPr>
      </w:pPr>
      <w:r>
        <w:rPr>
          <w:rFonts w:hint="eastAsia" w:ascii="仿宋" w:hAnsi="仿宋" w:eastAsia="仿宋" w:cs="仿宋"/>
          <w:b/>
          <w:iCs/>
          <w:sz w:val="28"/>
          <w:szCs w:val="28"/>
          <w:lang w:bidi="ar"/>
        </w:rPr>
        <w:t>表-8</w:t>
      </w:r>
      <w:r>
        <w:rPr>
          <w:rFonts w:hint="eastAsia" w:ascii="仿宋" w:hAnsi="仿宋" w:eastAsia="仿宋" w:cs="仿宋"/>
          <w:b/>
          <w:sz w:val="28"/>
          <w:szCs w:val="28"/>
          <w:lang w:bidi="ar"/>
        </w:rPr>
        <w:t>常用管材技术性能比较表</w:t>
      </w:r>
    </w:p>
    <w:tbl>
      <w:tblPr>
        <w:tblStyle w:val="23"/>
        <w:tblW w:w="0" w:type="auto"/>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14"/>
        <w:gridCol w:w="1844"/>
        <w:gridCol w:w="2128"/>
        <w:gridCol w:w="2128"/>
        <w:gridCol w:w="2271"/>
      </w:tblGrid>
      <w:tr w14:paraId="44F037D5">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thinThickSmallGap" w:color="auto" w:sz="12" w:space="0"/>
              <w:left w:val="thinThickSmallGap" w:color="auto" w:sz="12" w:space="0"/>
              <w:bottom w:val="single" w:color="auto" w:sz="6" w:space="0"/>
              <w:right w:val="single" w:color="auto" w:sz="6" w:space="0"/>
            </w:tcBorders>
            <w:noWrap w:val="0"/>
            <w:vAlign w:val="center"/>
          </w:tcPr>
          <w:p w14:paraId="22AB29EB">
            <w:pPr>
              <w:widowControl/>
              <w:jc w:val="center"/>
              <w:rPr>
                <w:rFonts w:hint="eastAsia" w:ascii="仿宋" w:hAnsi="仿宋" w:eastAsia="仿宋" w:cs="仿宋"/>
                <w:kern w:val="0"/>
                <w:sz w:val="28"/>
                <w:szCs w:val="28"/>
                <w:lang w:bidi="ar"/>
              </w:rPr>
            </w:pPr>
            <w:r>
              <w:rPr>
                <w:rFonts w:hint="eastAsia" w:ascii="仿宋" w:hAnsi="仿宋" w:eastAsia="仿宋" w:cs="仿宋"/>
                <w:sz w:val="28"/>
                <w:szCs w:val="28"/>
              </w:rPr>
              <mc:AlternateContent>
                <mc:Choice Requires="wps">
                  <w:drawing>
                    <wp:anchor distT="0" distB="0" distL="114300" distR="114300" simplePos="0" relativeHeight="251660288" behindDoc="0" locked="0" layoutInCell="1" allowOverlap="1">
                      <wp:simplePos x="0" y="0"/>
                      <wp:positionH relativeFrom="column">
                        <wp:posOffset>-43180</wp:posOffset>
                      </wp:positionH>
                      <wp:positionV relativeFrom="paragraph">
                        <wp:posOffset>-18415</wp:posOffset>
                      </wp:positionV>
                      <wp:extent cx="1104265" cy="854710"/>
                      <wp:effectExtent l="3175" t="3810" r="16510" b="17780"/>
                      <wp:wrapNone/>
                      <wp:docPr id="20" name="直接箭头连接符 20"/>
                      <wp:cNvGraphicFramePr/>
                      <a:graphic xmlns:a="http://schemas.openxmlformats.org/drawingml/2006/main">
                        <a:graphicData uri="http://schemas.microsoft.com/office/word/2010/wordprocessingShape">
                          <wps:wsp>
                            <wps:cNvCnPr/>
                            <wps:spPr>
                              <a:xfrm>
                                <a:off x="0" y="0"/>
                                <a:ext cx="1104406" cy="855023"/>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3.4pt;margin-top:-1.45pt;height:67.3pt;width:86.95pt;z-index:251660288;mso-width-relative:page;mso-height-relative:page;" filled="f" stroked="t" coordsize="21600,21600" o:gfxdata="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&#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SJcje1wAAAAkBAAAPAAAAAAAAAAEAIAAAACIAAABk&#10;cnMvZG93bnJldi54bWxQSwECFAAUAAAACACHTuJA8zNUcAcCAAABBAAADgAAAAAAAAABACAAAAAm&#10;AQAAZHJzL2Uyb0RvYy54bWxQSwUGAAAAAAYABgBZAQAAnwUAAAAA&#10;">
                      <v:fill on="f" focussize="0,0"/>
                      <v:stroke color="#000000" joinstyle="round"/>
                      <v:imagedata o:title=""/>
                      <o:lock v:ext="edit" aspectratio="f"/>
                    </v:shape>
                  </w:pict>
                </mc:Fallback>
              </mc:AlternateContent>
            </w:r>
            <w:r>
              <w:rPr>
                <w:rFonts w:hint="eastAsia" w:ascii="仿宋" w:hAnsi="仿宋" w:eastAsia="仿宋" w:cs="仿宋"/>
                <w:kern w:val="0"/>
                <w:sz w:val="28"/>
                <w:szCs w:val="28"/>
                <w:lang w:bidi="ar"/>
              </w:rPr>
              <w:t xml:space="preserve">          </w:t>
            </w:r>
          </w:p>
          <w:p w14:paraId="276F2A6A">
            <w:pPr>
              <w:widowControl/>
              <w:ind w:firstLine="1260" w:firstLineChars="450"/>
              <w:rPr>
                <w:rFonts w:hint="eastAsia" w:ascii="仿宋" w:hAnsi="仿宋" w:eastAsia="仿宋" w:cs="仿宋"/>
                <w:kern w:val="0"/>
                <w:sz w:val="28"/>
                <w:szCs w:val="28"/>
              </w:rPr>
            </w:pPr>
            <w:r>
              <w:rPr>
                <w:rFonts w:hint="eastAsia" w:ascii="仿宋" w:hAnsi="仿宋" w:eastAsia="仿宋" w:cs="仿宋"/>
                <w:kern w:val="0"/>
                <w:sz w:val="28"/>
                <w:szCs w:val="28"/>
                <w:lang w:bidi="ar"/>
              </w:rPr>
              <w:t xml:space="preserve"> 管材     </w:t>
            </w:r>
          </w:p>
          <w:p w14:paraId="521C366E">
            <w:pPr>
              <w:widowControl/>
              <w:rPr>
                <w:rFonts w:hint="eastAsia" w:ascii="仿宋" w:hAnsi="仿宋" w:eastAsia="仿宋" w:cs="仿宋"/>
                <w:kern w:val="0"/>
                <w:sz w:val="28"/>
                <w:szCs w:val="28"/>
              </w:rPr>
            </w:pPr>
            <w:r>
              <w:rPr>
                <w:rFonts w:hint="eastAsia" w:ascii="仿宋" w:hAnsi="仿宋" w:eastAsia="仿宋" w:cs="仿宋"/>
                <w:kern w:val="0"/>
                <w:sz w:val="28"/>
                <w:szCs w:val="28"/>
                <w:lang w:bidi="ar"/>
              </w:rPr>
              <w:t>性能</w:t>
            </w:r>
          </w:p>
        </w:tc>
        <w:tc>
          <w:tcPr>
            <w:tcW w:w="1844" w:type="dxa"/>
            <w:vMerge w:val="restart"/>
            <w:tcBorders>
              <w:top w:val="thinThickSmallGap" w:color="auto" w:sz="12" w:space="0"/>
              <w:left w:val="single" w:color="auto" w:sz="6" w:space="0"/>
              <w:bottom w:val="single" w:color="auto" w:sz="6" w:space="0"/>
              <w:right w:val="single" w:color="auto" w:sz="6" w:space="0"/>
            </w:tcBorders>
            <w:noWrap w:val="0"/>
            <w:vAlign w:val="center"/>
          </w:tcPr>
          <w:p w14:paraId="6E79A18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PCP管</w:t>
            </w:r>
          </w:p>
        </w:tc>
        <w:tc>
          <w:tcPr>
            <w:tcW w:w="2128" w:type="dxa"/>
            <w:vMerge w:val="restart"/>
            <w:tcBorders>
              <w:top w:val="thinThickSmallGap" w:color="auto" w:sz="12" w:space="0"/>
              <w:left w:val="single" w:color="auto" w:sz="6" w:space="0"/>
              <w:bottom w:val="single" w:color="auto" w:sz="6" w:space="0"/>
              <w:right w:val="single" w:color="auto" w:sz="6" w:space="0"/>
            </w:tcBorders>
            <w:noWrap w:val="0"/>
            <w:vAlign w:val="center"/>
          </w:tcPr>
          <w:p w14:paraId="298AB3C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UPVC管</w:t>
            </w:r>
          </w:p>
        </w:tc>
        <w:tc>
          <w:tcPr>
            <w:tcW w:w="2128" w:type="dxa"/>
            <w:vMerge w:val="restart"/>
            <w:tcBorders>
              <w:top w:val="thinThickSmallGap" w:color="auto" w:sz="12" w:space="0"/>
              <w:left w:val="single" w:color="auto" w:sz="6" w:space="0"/>
              <w:bottom w:val="single" w:color="auto" w:sz="6" w:space="0"/>
              <w:right w:val="single" w:color="auto" w:sz="6" w:space="0"/>
            </w:tcBorders>
            <w:noWrap w:val="0"/>
            <w:vAlign w:val="center"/>
          </w:tcPr>
          <w:p w14:paraId="21427BA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HDPE管</w:t>
            </w:r>
          </w:p>
        </w:tc>
        <w:tc>
          <w:tcPr>
            <w:tcW w:w="2271" w:type="dxa"/>
            <w:vMerge w:val="restart"/>
            <w:tcBorders>
              <w:top w:val="thinThickSmallGap" w:color="auto" w:sz="12" w:space="0"/>
              <w:left w:val="single" w:color="auto" w:sz="6" w:space="0"/>
              <w:bottom w:val="single" w:color="auto" w:sz="6" w:space="0"/>
              <w:right w:val="thickThinSmallGap" w:color="auto" w:sz="12" w:space="0"/>
            </w:tcBorders>
            <w:noWrap w:val="0"/>
            <w:vAlign w:val="center"/>
          </w:tcPr>
          <w:p w14:paraId="506E394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FRP管</w:t>
            </w:r>
          </w:p>
        </w:tc>
      </w:tr>
      <w:tr w14:paraId="6FB6BAB2">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thinThickSmallGap" w:color="auto" w:sz="12" w:space="0"/>
              <w:left w:val="thinThickSmallGap" w:color="auto" w:sz="12" w:space="0"/>
              <w:bottom w:val="single" w:color="auto" w:sz="6" w:space="0"/>
              <w:right w:val="single" w:color="auto" w:sz="6" w:space="0"/>
            </w:tcBorders>
            <w:noWrap w:val="0"/>
            <w:vAlign w:val="center"/>
          </w:tcPr>
          <w:p w14:paraId="2DA5A399">
            <w:pPr>
              <w:rPr>
                <w:rFonts w:hint="eastAsia" w:ascii="仿宋" w:hAnsi="仿宋" w:eastAsia="仿宋" w:cs="仿宋"/>
                <w:sz w:val="28"/>
                <w:szCs w:val="28"/>
              </w:rPr>
            </w:pPr>
          </w:p>
        </w:tc>
        <w:tc>
          <w:tcPr>
            <w:tcW w:w="1844" w:type="dxa"/>
            <w:vMerge w:val="continue"/>
            <w:tcBorders>
              <w:top w:val="thinThickSmallGap" w:color="auto" w:sz="12" w:space="0"/>
              <w:left w:val="single" w:color="auto" w:sz="6" w:space="0"/>
              <w:bottom w:val="single" w:color="auto" w:sz="6" w:space="0"/>
              <w:right w:val="single" w:color="auto" w:sz="6" w:space="0"/>
            </w:tcBorders>
            <w:noWrap w:val="0"/>
            <w:vAlign w:val="center"/>
          </w:tcPr>
          <w:p w14:paraId="3F618373">
            <w:pPr>
              <w:rPr>
                <w:rFonts w:hint="eastAsia" w:ascii="仿宋" w:hAnsi="仿宋" w:eastAsia="仿宋" w:cs="仿宋"/>
                <w:sz w:val="28"/>
                <w:szCs w:val="28"/>
              </w:rPr>
            </w:pPr>
          </w:p>
        </w:tc>
        <w:tc>
          <w:tcPr>
            <w:tcW w:w="2128" w:type="dxa"/>
            <w:vMerge w:val="continue"/>
            <w:tcBorders>
              <w:top w:val="thinThickSmallGap" w:color="auto" w:sz="12" w:space="0"/>
              <w:left w:val="single" w:color="auto" w:sz="6" w:space="0"/>
              <w:bottom w:val="single" w:color="auto" w:sz="6" w:space="0"/>
              <w:right w:val="single" w:color="auto" w:sz="6" w:space="0"/>
            </w:tcBorders>
            <w:noWrap w:val="0"/>
            <w:vAlign w:val="center"/>
          </w:tcPr>
          <w:p w14:paraId="7A76C25B">
            <w:pPr>
              <w:rPr>
                <w:rFonts w:hint="eastAsia" w:ascii="仿宋" w:hAnsi="仿宋" w:eastAsia="仿宋" w:cs="仿宋"/>
                <w:sz w:val="28"/>
                <w:szCs w:val="28"/>
              </w:rPr>
            </w:pPr>
          </w:p>
        </w:tc>
        <w:tc>
          <w:tcPr>
            <w:tcW w:w="2128" w:type="dxa"/>
            <w:vMerge w:val="continue"/>
            <w:tcBorders>
              <w:top w:val="thinThickSmallGap" w:color="auto" w:sz="12" w:space="0"/>
              <w:left w:val="single" w:color="auto" w:sz="6" w:space="0"/>
              <w:bottom w:val="single" w:color="auto" w:sz="6" w:space="0"/>
              <w:right w:val="single" w:color="auto" w:sz="6" w:space="0"/>
            </w:tcBorders>
            <w:noWrap w:val="0"/>
            <w:vAlign w:val="center"/>
          </w:tcPr>
          <w:p w14:paraId="011737F9">
            <w:pPr>
              <w:rPr>
                <w:rFonts w:hint="eastAsia" w:ascii="仿宋" w:hAnsi="仿宋" w:eastAsia="仿宋" w:cs="仿宋"/>
                <w:sz w:val="28"/>
                <w:szCs w:val="28"/>
              </w:rPr>
            </w:pPr>
          </w:p>
        </w:tc>
        <w:tc>
          <w:tcPr>
            <w:tcW w:w="2271" w:type="dxa"/>
            <w:vMerge w:val="continue"/>
            <w:tcBorders>
              <w:top w:val="thinThickSmallGap" w:color="auto" w:sz="12" w:space="0"/>
              <w:left w:val="single" w:color="auto" w:sz="6" w:space="0"/>
              <w:bottom w:val="single" w:color="auto" w:sz="6" w:space="0"/>
              <w:right w:val="thickThinSmallGap" w:color="auto" w:sz="12" w:space="0"/>
            </w:tcBorders>
            <w:noWrap w:val="0"/>
            <w:vAlign w:val="center"/>
          </w:tcPr>
          <w:p w14:paraId="5A2D6A3F">
            <w:pPr>
              <w:rPr>
                <w:rFonts w:hint="eastAsia" w:ascii="仿宋" w:hAnsi="仿宋" w:eastAsia="仿宋" w:cs="仿宋"/>
                <w:sz w:val="28"/>
                <w:szCs w:val="28"/>
              </w:rPr>
            </w:pPr>
          </w:p>
        </w:tc>
      </w:tr>
      <w:tr w14:paraId="13552C96">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noWrap w:val="0"/>
            <w:vAlign w:val="center"/>
          </w:tcPr>
          <w:p w14:paraId="3474DD9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水力学性能</w:t>
            </w:r>
          </w:p>
        </w:tc>
        <w:tc>
          <w:tcPr>
            <w:tcW w:w="1844" w:type="dxa"/>
            <w:vMerge w:val="restart"/>
            <w:tcBorders>
              <w:top w:val="single" w:color="auto" w:sz="6" w:space="0"/>
              <w:left w:val="single" w:color="auto" w:sz="6" w:space="0"/>
              <w:bottom w:val="single" w:color="auto" w:sz="6" w:space="0"/>
              <w:right w:val="single" w:color="auto" w:sz="6" w:space="0"/>
            </w:tcBorders>
            <w:noWrap w:val="0"/>
            <w:vAlign w:val="center"/>
          </w:tcPr>
          <w:p w14:paraId="14A2763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内壁粗糙易结垢</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58025CC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6F2C59B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c>
          <w:tcPr>
            <w:tcW w:w="2271" w:type="dxa"/>
            <w:vMerge w:val="restart"/>
            <w:tcBorders>
              <w:top w:val="single" w:color="auto" w:sz="6" w:space="0"/>
              <w:left w:val="single" w:color="auto" w:sz="6" w:space="0"/>
              <w:bottom w:val="single" w:color="auto" w:sz="6" w:space="0"/>
              <w:right w:val="thickThinSmallGap" w:color="auto" w:sz="12" w:space="0"/>
            </w:tcBorders>
            <w:noWrap w:val="0"/>
            <w:vAlign w:val="center"/>
          </w:tcPr>
          <w:p w14:paraId="68029F7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r>
      <w:tr w14:paraId="43CE10B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noWrap w:val="0"/>
            <w:vAlign w:val="center"/>
          </w:tcPr>
          <w:p w14:paraId="1F7E11A2">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noWrap w:val="0"/>
            <w:vAlign w:val="center"/>
          </w:tcPr>
          <w:p w14:paraId="78771960">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418777F3">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2DD32F5B">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noWrap w:val="0"/>
            <w:vAlign w:val="center"/>
          </w:tcPr>
          <w:p w14:paraId="08BB745E">
            <w:pPr>
              <w:rPr>
                <w:rFonts w:hint="eastAsia" w:ascii="仿宋" w:hAnsi="仿宋" w:eastAsia="仿宋" w:cs="仿宋"/>
                <w:sz w:val="28"/>
                <w:szCs w:val="28"/>
              </w:rPr>
            </w:pPr>
          </w:p>
        </w:tc>
      </w:tr>
      <w:tr w14:paraId="24ED38D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597C7CD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抗渗性能</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79F8E30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较弱</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0FA4DC0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较强</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460C492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强</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790A4D9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强</w:t>
            </w:r>
          </w:p>
        </w:tc>
      </w:tr>
      <w:tr w14:paraId="5D8367B2">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16211FA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耐腐蚀性</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2F77635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0D56688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211A7F9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4412F88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537B7BFE">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noWrap w:val="0"/>
            <w:vAlign w:val="center"/>
          </w:tcPr>
          <w:p w14:paraId="6698C0A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耐冲击性</w:t>
            </w:r>
          </w:p>
        </w:tc>
        <w:tc>
          <w:tcPr>
            <w:tcW w:w="1844" w:type="dxa"/>
            <w:vMerge w:val="restart"/>
            <w:tcBorders>
              <w:top w:val="single" w:color="auto" w:sz="6" w:space="0"/>
              <w:left w:val="single" w:color="auto" w:sz="6" w:space="0"/>
              <w:bottom w:val="single" w:color="auto" w:sz="6" w:space="0"/>
              <w:right w:val="single" w:color="auto" w:sz="6" w:space="0"/>
            </w:tcBorders>
            <w:noWrap w:val="0"/>
            <w:vAlign w:val="center"/>
          </w:tcPr>
          <w:p w14:paraId="0014752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5E5D360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在硬物冲击下破裂断裂危险</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77BB260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vMerge w:val="restart"/>
            <w:tcBorders>
              <w:top w:val="single" w:color="auto" w:sz="6" w:space="0"/>
              <w:left w:val="single" w:color="auto" w:sz="6" w:space="0"/>
              <w:bottom w:val="single" w:color="auto" w:sz="6" w:space="0"/>
              <w:right w:val="thickThinSmallGap" w:color="auto" w:sz="12" w:space="0"/>
            </w:tcBorders>
            <w:noWrap w:val="0"/>
            <w:vAlign w:val="center"/>
          </w:tcPr>
          <w:p w14:paraId="44380FE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623DA6CF">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noWrap w:val="0"/>
            <w:vAlign w:val="center"/>
          </w:tcPr>
          <w:p w14:paraId="42897B22">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noWrap w:val="0"/>
            <w:vAlign w:val="center"/>
          </w:tcPr>
          <w:p w14:paraId="38AC6560">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644BF880">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6B9D3419">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noWrap w:val="0"/>
            <w:vAlign w:val="center"/>
          </w:tcPr>
          <w:p w14:paraId="03043FAB">
            <w:pPr>
              <w:rPr>
                <w:rFonts w:hint="eastAsia" w:ascii="仿宋" w:hAnsi="仿宋" w:eastAsia="仿宋" w:cs="仿宋"/>
                <w:sz w:val="28"/>
                <w:szCs w:val="28"/>
              </w:rPr>
            </w:pPr>
          </w:p>
        </w:tc>
      </w:tr>
      <w:tr w14:paraId="10DF6AB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62590AF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柔韧性</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20FE971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差</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2F4308C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较差</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14CB40E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好，能抵御一定程度不均匀沉降</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2F9C6C5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r>
      <w:tr w14:paraId="158C9310">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0849C21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热力学性能</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38BB0C6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36FD58C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05CC0CC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01D62BC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61E7EE52">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35C1EA6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摩阻系数</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6A4E606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0.014</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681BCF2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76D38F6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6C71707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r>
      <w:tr w14:paraId="75356804">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5504A0E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水头损失</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50B60BE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较大</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5B2B3CA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5AF8360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3E97A3B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r>
      <w:tr w14:paraId="3743AF3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noWrap w:val="0"/>
            <w:vAlign w:val="center"/>
          </w:tcPr>
          <w:p w14:paraId="0EDCD24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密封性能</w:t>
            </w:r>
          </w:p>
        </w:tc>
        <w:tc>
          <w:tcPr>
            <w:tcW w:w="1844" w:type="dxa"/>
            <w:vMerge w:val="restart"/>
            <w:tcBorders>
              <w:top w:val="single" w:color="auto" w:sz="6" w:space="0"/>
              <w:left w:val="single" w:color="auto" w:sz="6" w:space="0"/>
              <w:bottom w:val="single" w:color="auto" w:sz="6" w:space="0"/>
              <w:right w:val="single" w:color="auto" w:sz="6" w:space="0"/>
            </w:tcBorders>
            <w:noWrap w:val="0"/>
            <w:vAlign w:val="center"/>
          </w:tcPr>
          <w:p w14:paraId="2C2AF42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水泥砂浆接口密封较差</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20FBF78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承插式，橡胶圈止水，密封较好</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5348EEC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热溶、电熔粘接密封好，无渗漏</w:t>
            </w:r>
          </w:p>
        </w:tc>
        <w:tc>
          <w:tcPr>
            <w:tcW w:w="2271" w:type="dxa"/>
            <w:vMerge w:val="restart"/>
            <w:tcBorders>
              <w:top w:val="single" w:color="auto" w:sz="6" w:space="0"/>
              <w:left w:val="single" w:color="auto" w:sz="6" w:space="0"/>
              <w:bottom w:val="single" w:color="auto" w:sz="6" w:space="0"/>
              <w:right w:val="thickThinSmallGap" w:color="auto" w:sz="12" w:space="0"/>
            </w:tcBorders>
            <w:noWrap w:val="0"/>
            <w:vAlign w:val="center"/>
          </w:tcPr>
          <w:p w14:paraId="713E979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套管橡胶圈止水，密封较好</w:t>
            </w:r>
          </w:p>
        </w:tc>
      </w:tr>
      <w:tr w14:paraId="40475675">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noWrap w:val="0"/>
            <w:vAlign w:val="center"/>
          </w:tcPr>
          <w:p w14:paraId="361FCF58">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noWrap w:val="0"/>
            <w:vAlign w:val="center"/>
          </w:tcPr>
          <w:p w14:paraId="150F3E15">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25C714CC">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545C6415">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noWrap w:val="0"/>
            <w:vAlign w:val="center"/>
          </w:tcPr>
          <w:p w14:paraId="2DC5409C">
            <w:pPr>
              <w:rPr>
                <w:rFonts w:hint="eastAsia" w:ascii="仿宋" w:hAnsi="仿宋" w:eastAsia="仿宋" w:cs="仿宋"/>
                <w:sz w:val="28"/>
                <w:szCs w:val="28"/>
              </w:rPr>
            </w:pPr>
          </w:p>
        </w:tc>
      </w:tr>
      <w:tr w14:paraId="44ECCA2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677A19B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重量及运输安装</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4E5696D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重，麻烦</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4E220EC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轻，方便</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16D417C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轻，方便</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5B8A7D5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较轻，较方便</w:t>
            </w:r>
          </w:p>
        </w:tc>
      </w:tr>
      <w:tr w14:paraId="618ED078">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5E1FCF2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施工难易</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3F8EC9A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较难</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5AC316D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容易</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25D38DD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容易</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497F40C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较容易</w:t>
            </w:r>
          </w:p>
        </w:tc>
      </w:tr>
      <w:tr w14:paraId="06AF621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6B581F6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基础处理要求</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628312F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较高</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094774B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72DFBFD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1508B93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r>
      <w:tr w14:paraId="3C5A321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1BC026B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管材价格</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59E8C57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最便宜</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1D1A805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便宜</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78DDBF0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略贵</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08C8187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便宜</w:t>
            </w:r>
          </w:p>
        </w:tc>
      </w:tr>
      <w:tr w14:paraId="4BBC8093">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noWrap w:val="0"/>
            <w:vAlign w:val="center"/>
          </w:tcPr>
          <w:p w14:paraId="129DF13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经济性</w:t>
            </w:r>
          </w:p>
        </w:tc>
        <w:tc>
          <w:tcPr>
            <w:tcW w:w="1844" w:type="dxa"/>
            <w:vMerge w:val="restart"/>
            <w:tcBorders>
              <w:top w:val="single" w:color="auto" w:sz="6" w:space="0"/>
              <w:left w:val="single" w:color="auto" w:sz="6" w:space="0"/>
              <w:bottom w:val="single" w:color="auto" w:sz="6" w:space="0"/>
              <w:right w:val="single" w:color="auto" w:sz="6" w:space="0"/>
            </w:tcBorders>
            <w:noWrap w:val="0"/>
            <w:vAlign w:val="center"/>
          </w:tcPr>
          <w:p w14:paraId="3216E75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综合造价低，寿命较短</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2BC35C3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综合造价低，寿命较长</w:t>
            </w:r>
          </w:p>
        </w:tc>
        <w:tc>
          <w:tcPr>
            <w:tcW w:w="2128" w:type="dxa"/>
            <w:vMerge w:val="restart"/>
            <w:tcBorders>
              <w:top w:val="single" w:color="auto" w:sz="6" w:space="0"/>
              <w:left w:val="single" w:color="auto" w:sz="6" w:space="0"/>
              <w:bottom w:val="single" w:color="auto" w:sz="6" w:space="0"/>
              <w:right w:val="single" w:color="auto" w:sz="6" w:space="0"/>
            </w:tcBorders>
            <w:noWrap w:val="0"/>
            <w:vAlign w:val="center"/>
          </w:tcPr>
          <w:p w14:paraId="554115C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综合造价低，寿命长</w:t>
            </w:r>
          </w:p>
        </w:tc>
        <w:tc>
          <w:tcPr>
            <w:tcW w:w="2271" w:type="dxa"/>
            <w:vMerge w:val="restart"/>
            <w:tcBorders>
              <w:top w:val="single" w:color="auto" w:sz="6" w:space="0"/>
              <w:left w:val="single" w:color="auto" w:sz="6" w:space="0"/>
              <w:bottom w:val="single" w:color="auto" w:sz="6" w:space="0"/>
              <w:right w:val="thickThinSmallGap" w:color="auto" w:sz="12" w:space="0"/>
            </w:tcBorders>
            <w:noWrap w:val="0"/>
            <w:vAlign w:val="center"/>
          </w:tcPr>
          <w:p w14:paraId="2F8A1F7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综合造价低，寿命长</w:t>
            </w:r>
          </w:p>
        </w:tc>
      </w:tr>
      <w:tr w14:paraId="6813816B">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noWrap w:val="0"/>
            <w:vAlign w:val="center"/>
          </w:tcPr>
          <w:p w14:paraId="6F001EF1">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noWrap w:val="0"/>
            <w:vAlign w:val="center"/>
          </w:tcPr>
          <w:p w14:paraId="4703249B">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189E2B0C">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noWrap w:val="0"/>
            <w:vAlign w:val="center"/>
          </w:tcPr>
          <w:p w14:paraId="5670A605">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noWrap w:val="0"/>
            <w:vAlign w:val="center"/>
          </w:tcPr>
          <w:p w14:paraId="3671D2D2">
            <w:pPr>
              <w:rPr>
                <w:rFonts w:hint="eastAsia" w:ascii="仿宋" w:hAnsi="仿宋" w:eastAsia="仿宋" w:cs="仿宋"/>
                <w:sz w:val="28"/>
                <w:szCs w:val="28"/>
              </w:rPr>
            </w:pPr>
          </w:p>
        </w:tc>
      </w:tr>
      <w:tr w14:paraId="3180D30E">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noWrap w:val="0"/>
            <w:vAlign w:val="center"/>
          </w:tcPr>
          <w:p w14:paraId="63837C2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运行维护</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6D2C3CB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定期维护</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583DA1C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74DC745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3371F47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r>
      <w:tr w14:paraId="03B18C5A">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noWrap w:val="0"/>
            <w:vAlign w:val="center"/>
          </w:tcPr>
          <w:p w14:paraId="6A7D372A">
            <w:pPr>
              <w:rPr>
                <w:rFonts w:hint="eastAsia" w:ascii="仿宋" w:hAnsi="仿宋" w:eastAsia="仿宋" w:cs="仿宋"/>
                <w:sz w:val="28"/>
                <w:szCs w:val="28"/>
              </w:rPr>
            </w:pPr>
          </w:p>
        </w:tc>
        <w:tc>
          <w:tcPr>
            <w:tcW w:w="1844" w:type="dxa"/>
            <w:tcBorders>
              <w:top w:val="single" w:color="auto" w:sz="6" w:space="0"/>
              <w:left w:val="single" w:color="auto" w:sz="6" w:space="0"/>
              <w:bottom w:val="single" w:color="auto" w:sz="6" w:space="0"/>
              <w:right w:val="single" w:color="auto" w:sz="6" w:space="0"/>
            </w:tcBorders>
            <w:noWrap w:val="0"/>
            <w:vAlign w:val="center"/>
          </w:tcPr>
          <w:p w14:paraId="57F8790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水泵能耗高</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60A1565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014F333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0FBCA86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r>
      <w:tr w14:paraId="6A1C547B">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noWrap w:val="0"/>
            <w:vAlign w:val="center"/>
          </w:tcPr>
          <w:p w14:paraId="3F8E90F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使用寿命</w:t>
            </w:r>
          </w:p>
        </w:tc>
        <w:tc>
          <w:tcPr>
            <w:tcW w:w="1844" w:type="dxa"/>
            <w:tcBorders>
              <w:top w:val="single" w:color="auto" w:sz="6" w:space="0"/>
              <w:left w:val="single" w:color="auto" w:sz="6" w:space="0"/>
              <w:bottom w:val="single" w:color="auto" w:sz="6" w:space="0"/>
              <w:right w:val="single" w:color="auto" w:sz="6" w:space="0"/>
            </w:tcBorders>
            <w:noWrap w:val="0"/>
            <w:vAlign w:val="center"/>
          </w:tcPr>
          <w:p w14:paraId="1670A4D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50以上</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62FE5AA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w:t>
            </w:r>
          </w:p>
        </w:tc>
        <w:tc>
          <w:tcPr>
            <w:tcW w:w="2128" w:type="dxa"/>
            <w:tcBorders>
              <w:top w:val="single" w:color="auto" w:sz="6" w:space="0"/>
              <w:left w:val="single" w:color="auto" w:sz="6" w:space="0"/>
              <w:bottom w:val="single" w:color="auto" w:sz="6" w:space="0"/>
              <w:right w:val="single" w:color="auto" w:sz="6" w:space="0"/>
            </w:tcBorders>
            <w:noWrap w:val="0"/>
            <w:vAlign w:val="center"/>
          </w:tcPr>
          <w:p w14:paraId="63D4E25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50年以上</w:t>
            </w:r>
          </w:p>
        </w:tc>
        <w:tc>
          <w:tcPr>
            <w:tcW w:w="2271" w:type="dxa"/>
            <w:tcBorders>
              <w:top w:val="single" w:color="auto" w:sz="6" w:space="0"/>
              <w:left w:val="single" w:color="auto" w:sz="6" w:space="0"/>
              <w:bottom w:val="single" w:color="auto" w:sz="6" w:space="0"/>
              <w:right w:val="thickThinSmallGap" w:color="auto" w:sz="12" w:space="0"/>
            </w:tcBorders>
            <w:noWrap w:val="0"/>
            <w:vAlign w:val="center"/>
          </w:tcPr>
          <w:p w14:paraId="291C073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50年以上</w:t>
            </w:r>
          </w:p>
        </w:tc>
      </w:tr>
      <w:tr w14:paraId="62929D98">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1814" w:type="dxa"/>
            <w:tcBorders>
              <w:top w:val="single" w:color="auto" w:sz="6" w:space="0"/>
              <w:left w:val="thinThickSmallGap" w:color="auto" w:sz="12" w:space="0"/>
              <w:bottom w:val="thickThinSmallGap" w:color="auto" w:sz="12" w:space="0"/>
              <w:right w:val="single" w:color="auto" w:sz="6" w:space="0"/>
            </w:tcBorders>
            <w:noWrap w:val="0"/>
            <w:vAlign w:val="center"/>
          </w:tcPr>
          <w:p w14:paraId="6F8AFA9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环保要求</w:t>
            </w:r>
          </w:p>
        </w:tc>
        <w:tc>
          <w:tcPr>
            <w:tcW w:w="1844" w:type="dxa"/>
            <w:tcBorders>
              <w:top w:val="single" w:color="auto" w:sz="6" w:space="0"/>
              <w:left w:val="single" w:color="auto" w:sz="6" w:space="0"/>
              <w:bottom w:val="thickThinSmallGap" w:color="auto" w:sz="12" w:space="0"/>
              <w:right w:val="single" w:color="auto" w:sz="6" w:space="0"/>
            </w:tcBorders>
            <w:noWrap w:val="0"/>
            <w:vAlign w:val="center"/>
          </w:tcPr>
          <w:p w14:paraId="49B8A38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thickThinSmallGap" w:color="auto" w:sz="12" w:space="0"/>
              <w:right w:val="single" w:color="auto" w:sz="6" w:space="0"/>
            </w:tcBorders>
            <w:noWrap w:val="0"/>
            <w:vAlign w:val="center"/>
          </w:tcPr>
          <w:p w14:paraId="73127C2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废弃管燃烧释放浓烟污染环境</w:t>
            </w:r>
          </w:p>
        </w:tc>
        <w:tc>
          <w:tcPr>
            <w:tcW w:w="2128" w:type="dxa"/>
            <w:tcBorders>
              <w:top w:val="single" w:color="auto" w:sz="6" w:space="0"/>
              <w:left w:val="single" w:color="auto" w:sz="6" w:space="0"/>
              <w:bottom w:val="thickThinSmallGap" w:color="auto" w:sz="12" w:space="0"/>
              <w:right w:val="single" w:color="auto" w:sz="6" w:space="0"/>
            </w:tcBorders>
            <w:noWrap w:val="0"/>
            <w:vAlign w:val="center"/>
          </w:tcPr>
          <w:p w14:paraId="6A9F683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无污染毒害，可回收利用</w:t>
            </w:r>
          </w:p>
        </w:tc>
        <w:tc>
          <w:tcPr>
            <w:tcW w:w="2271" w:type="dxa"/>
            <w:tcBorders>
              <w:top w:val="single" w:color="auto" w:sz="6" w:space="0"/>
              <w:left w:val="single" w:color="auto" w:sz="6" w:space="0"/>
              <w:bottom w:val="thickThinSmallGap" w:color="auto" w:sz="12" w:space="0"/>
              <w:right w:val="thickThinSmallGap" w:color="auto" w:sz="12" w:space="0"/>
            </w:tcBorders>
            <w:noWrap w:val="0"/>
            <w:vAlign w:val="center"/>
          </w:tcPr>
          <w:p w14:paraId="15F9542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无毒害，无二次污染</w:t>
            </w:r>
          </w:p>
        </w:tc>
      </w:tr>
    </w:tbl>
    <w:p w14:paraId="663328A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bookmarkStart w:id="11" w:name="_Toc25822"/>
      <w:bookmarkStart w:id="12" w:name="_Toc331449673"/>
      <w:r>
        <w:rPr>
          <w:rFonts w:hint="eastAsia" w:ascii="仿宋" w:hAnsi="仿宋" w:eastAsia="仿宋" w:cs="仿宋"/>
          <w:sz w:val="28"/>
          <w:szCs w:val="28"/>
          <w:lang w:val="en-US" w:eastAsia="zh-CN"/>
        </w:rPr>
        <w:t>（4） 管材选用</w:t>
      </w:r>
      <w:bookmarkEnd w:id="11"/>
      <w:bookmarkEnd w:id="12"/>
    </w:p>
    <w:p w14:paraId="11A1040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HDPE、PCCP和FRP管在技术性能上具有较大优势，UPVC管适中，而钢筋混凝土管在防腐性能、密闭性、基础处理、施工难易及运行维护等方面不占优势；经济上，各种管径的FRP和UPVC管价格相当，HDPE管材价格较高，PCCP和CP管材价格较低。</w:t>
      </w:r>
    </w:p>
    <w:p w14:paraId="3AD872F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综合考虑管材性能的适用性和技术经济的合理性，对本次设计污水重力流管道推荐采用HDPE高密度聚乙烯缠绕结构壁B型管；雨水管道采用钢筋混凝土管。</w:t>
      </w:r>
    </w:p>
    <w:p w14:paraId="3556094F">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5.2.6排水检查井</w:t>
      </w:r>
    </w:p>
    <w:p w14:paraId="35BFAAD0">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本次设计的排水检查井全部采用钢筋砼检查井。做法可参见《钢筋混凝土及砖砌排水检查井》（20S515）。</w:t>
      </w:r>
    </w:p>
    <w:p w14:paraId="1B6E2C56">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工程设计范围内，机动车道、非机动车道检查井井盖均采用∅700球墨铸铁井盖，选用D400型，井盖开启方向与管道中心线垂直；检查井井盖推荐选用“五防井盖”（防盗、防坠落、防移位、防响、防跳），市政道路范围内机动车道、非机动车道下井盖必须同时具备防沉降功能。井盖应符合《检查井盖》（GB/T 23858-2009）的要求，用"雨水"、"污水"注明检查井性质。</w:t>
      </w:r>
    </w:p>
    <w:p w14:paraId="6A957ABE">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检查井内安装防坠网，防坠网由尼龙绳编织而成，单根尼龙绳纵向承受拉力应大于120kg。尼龙网应每年春季更换，并定期检查，发现问题应及时更换。</w:t>
      </w:r>
    </w:p>
    <w:p w14:paraId="0F68D307">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cs="仿宋"/>
          <w:sz w:val="28"/>
          <w:szCs w:val="28"/>
          <w:lang w:val="en-US" w:eastAsia="zh-CN"/>
        </w:rPr>
      </w:pPr>
      <w:r>
        <w:rPr>
          <w:rFonts w:hint="default" w:ascii="仿宋" w:hAnsi="仿宋" w:eastAsia="仿宋" w:cs="仿宋"/>
          <w:sz w:val="28"/>
          <w:szCs w:val="28"/>
          <w:lang w:val="en-US" w:eastAsia="zh-CN"/>
        </w:rPr>
        <w:t>检查井盖安装方式可参见图集《球墨铸铁单层井盖及踏步施工》（14S501-1）。</w:t>
      </w:r>
    </w:p>
    <w:p w14:paraId="5F544CE5">
      <w:pPr>
        <w:pStyle w:val="3"/>
        <w:numPr>
          <w:ilvl w:val="1"/>
          <w:numId w:val="0"/>
        </w:numPr>
        <w:spacing w:before="0" w:after="0"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5.3电气工程</w:t>
      </w:r>
    </w:p>
    <w:p w14:paraId="701FB965">
      <w:pPr>
        <w:spacing w:line="360" w:lineRule="auto"/>
        <w:ind w:firstLine="560" w:firstLineChars="200"/>
        <w:rPr>
          <w:rFonts w:hint="default" w:ascii="仿宋" w:hAnsi="仿宋" w:eastAsia="仿宋" w:cs="仿宋"/>
          <w:kern w:val="2"/>
          <w:sz w:val="28"/>
          <w:szCs w:val="28"/>
          <w:lang w:val="en-US" w:eastAsia="zh-CN" w:bidi="ar-SA"/>
        </w:rPr>
      </w:pPr>
      <w:r>
        <w:rPr>
          <w:rFonts w:hint="default" w:ascii="仿宋" w:hAnsi="仿宋" w:eastAsia="仿宋" w:cs="仿宋"/>
          <w:kern w:val="2"/>
          <w:sz w:val="28"/>
          <w:szCs w:val="28"/>
          <w:lang w:val="en-US" w:eastAsia="zh-CN" w:bidi="ar-SA"/>
        </w:rPr>
        <w:t>本次设计内容为范围内的道路照明工程设计、通信管网土建部分、电力管网土建部分设计。本次照明工程设计的分界点为配电箱及配电箱以下低压配电部分。</w:t>
      </w:r>
    </w:p>
    <w:p w14:paraId="641C24ED">
      <w:pPr>
        <w:spacing w:line="360" w:lineRule="auto"/>
        <w:ind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5.3.1照明工程设计</w:t>
      </w:r>
    </w:p>
    <w:p w14:paraId="7D7B52DE">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1、设计标准</w:t>
      </w:r>
    </w:p>
    <w:p w14:paraId="7A4502BF">
      <w:pPr>
        <w:ind w:firstLine="560" w:firstLineChars="200"/>
        <w:rPr>
          <w:rFonts w:hint="eastAsia" w:ascii="仿宋" w:hAnsi="仿宋" w:eastAsia="仿宋" w:cs="仿宋"/>
          <w:sz w:val="28"/>
          <w:szCs w:val="28"/>
        </w:rPr>
      </w:pPr>
      <w:r>
        <w:rPr>
          <w:rFonts w:hint="eastAsia" w:ascii="仿宋" w:hAnsi="仿宋" w:eastAsia="仿宋" w:cs="仿宋"/>
          <w:sz w:val="28"/>
          <w:szCs w:val="28"/>
        </w:rPr>
        <w:t>本设计按国家规范《城市道路照明设计标准》CJJ45-2015第3.3条，规定的“机动车交通道路照明标准值”，《建筑环境通用规范》等相关规范及导则，并根据道路特点及实际情况来确定本工程照明标准如下：</w:t>
      </w:r>
    </w:p>
    <w:p w14:paraId="1C4038B2">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rPr>
        <w:t>道路照明标准</w:t>
      </w:r>
    </w:p>
    <w:tbl>
      <w:tblPr>
        <w:tblStyle w:val="23"/>
        <w:tblW w:w="85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5"/>
        <w:gridCol w:w="1275"/>
        <w:gridCol w:w="1418"/>
        <w:gridCol w:w="1417"/>
        <w:gridCol w:w="1276"/>
        <w:gridCol w:w="1421"/>
      </w:tblGrid>
      <w:tr w14:paraId="556B9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1755" w:type="dxa"/>
            <w:vMerge w:val="restart"/>
            <w:tcBorders>
              <w:top w:val="single" w:color="auto" w:sz="4" w:space="0"/>
              <w:left w:val="single" w:color="auto" w:sz="4" w:space="0"/>
              <w:bottom w:val="single" w:color="auto" w:sz="4" w:space="0"/>
              <w:right w:val="single" w:color="auto" w:sz="4" w:space="0"/>
            </w:tcBorders>
            <w:noWrap w:val="0"/>
            <w:vAlign w:val="center"/>
          </w:tcPr>
          <w:p w14:paraId="5DF81214">
            <w:pPr>
              <w:spacing w:line="360" w:lineRule="auto"/>
              <w:jc w:val="center"/>
              <w:rPr>
                <w:rFonts w:hint="eastAsia" w:ascii="仿宋" w:hAnsi="仿宋" w:eastAsia="仿宋" w:cs="仿宋"/>
                <w:sz w:val="24"/>
                <w:szCs w:val="24"/>
              </w:rPr>
            </w:pPr>
            <w:r>
              <w:rPr>
                <w:rFonts w:hint="eastAsia" w:ascii="仿宋" w:hAnsi="仿宋" w:eastAsia="仿宋" w:cs="仿宋"/>
                <w:sz w:val="24"/>
                <w:szCs w:val="24"/>
                <w:lang w:eastAsia="zh-CN"/>
              </w:rPr>
              <w:t>江陵</w:t>
            </w:r>
            <w:r>
              <w:rPr>
                <w:rFonts w:hint="eastAsia" w:ascii="仿宋" w:hAnsi="仿宋" w:eastAsia="仿宋" w:cs="仿宋"/>
                <w:sz w:val="24"/>
                <w:szCs w:val="24"/>
              </w:rPr>
              <w:t>路</w:t>
            </w:r>
          </w:p>
        </w:tc>
        <w:tc>
          <w:tcPr>
            <w:tcW w:w="1275" w:type="dxa"/>
            <w:tcBorders>
              <w:top w:val="single" w:color="auto" w:sz="4" w:space="0"/>
              <w:left w:val="single" w:color="auto" w:sz="4" w:space="0"/>
              <w:bottom w:val="single" w:color="auto" w:sz="4" w:space="0"/>
              <w:right w:val="single" w:color="auto" w:sz="4" w:space="0"/>
            </w:tcBorders>
            <w:noWrap w:val="0"/>
            <w:vAlign w:val="center"/>
          </w:tcPr>
          <w:p w14:paraId="5DAD055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道路等级</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7F81B96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平均亮度维持值(cd/m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c>
          <w:tcPr>
            <w:tcW w:w="1417" w:type="dxa"/>
            <w:tcBorders>
              <w:top w:val="single" w:color="auto" w:sz="4" w:space="0"/>
              <w:left w:val="single" w:color="auto" w:sz="4" w:space="0"/>
              <w:bottom w:val="single" w:color="auto" w:sz="4" w:space="0"/>
              <w:right w:val="single" w:color="auto" w:sz="4" w:space="0"/>
            </w:tcBorders>
            <w:noWrap w:val="0"/>
            <w:vAlign w:val="center"/>
          </w:tcPr>
          <w:p w14:paraId="16DF18D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平均照度维持值Eh,av(lx)</w:t>
            </w:r>
          </w:p>
        </w:tc>
        <w:tc>
          <w:tcPr>
            <w:tcW w:w="1276" w:type="dxa"/>
            <w:tcBorders>
              <w:top w:val="single" w:color="auto" w:sz="4" w:space="0"/>
              <w:left w:val="single" w:color="auto" w:sz="4" w:space="0"/>
              <w:bottom w:val="single" w:color="auto" w:sz="4" w:space="0"/>
              <w:right w:val="single" w:color="auto" w:sz="4" w:space="0"/>
            </w:tcBorders>
            <w:noWrap w:val="0"/>
            <w:vAlign w:val="center"/>
          </w:tcPr>
          <w:p w14:paraId="33CFDE4C">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w:t>
            </w:r>
          </w:p>
          <w:p w14:paraId="04A2F46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UE</w:t>
            </w:r>
          </w:p>
        </w:tc>
        <w:tc>
          <w:tcPr>
            <w:tcW w:w="1421" w:type="dxa"/>
            <w:tcBorders>
              <w:top w:val="single" w:color="auto" w:sz="4" w:space="0"/>
              <w:left w:val="single" w:color="auto" w:sz="4" w:space="0"/>
              <w:bottom w:val="single" w:color="auto" w:sz="4" w:space="0"/>
              <w:right w:val="single" w:color="auto" w:sz="4" w:space="0"/>
            </w:tcBorders>
            <w:noWrap w:val="0"/>
            <w:vAlign w:val="center"/>
          </w:tcPr>
          <w:p w14:paraId="726B9A4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平均功率密度值（w/m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r>
      <w:tr w14:paraId="7297F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1755" w:type="dxa"/>
            <w:vMerge w:val="continue"/>
            <w:tcBorders>
              <w:top w:val="single" w:color="auto" w:sz="4" w:space="0"/>
              <w:left w:val="single" w:color="auto" w:sz="4" w:space="0"/>
              <w:bottom w:val="single" w:color="auto" w:sz="4" w:space="0"/>
              <w:right w:val="single" w:color="auto" w:sz="4" w:space="0"/>
            </w:tcBorders>
            <w:noWrap w:val="0"/>
            <w:vAlign w:val="center"/>
          </w:tcPr>
          <w:p w14:paraId="4D648225">
            <w:pPr>
              <w:spacing w:line="220" w:lineRule="exact"/>
              <w:jc w:val="center"/>
              <w:rPr>
                <w:rFonts w:hint="eastAsia" w:ascii="仿宋" w:hAnsi="仿宋" w:eastAsia="仿宋" w:cs="仿宋"/>
                <w:sz w:val="24"/>
                <w:szCs w:val="24"/>
              </w:rPr>
            </w:pPr>
          </w:p>
        </w:tc>
        <w:tc>
          <w:tcPr>
            <w:tcW w:w="1275" w:type="dxa"/>
            <w:tcBorders>
              <w:top w:val="single" w:color="auto" w:sz="4" w:space="0"/>
              <w:left w:val="single" w:color="auto" w:sz="4" w:space="0"/>
              <w:bottom w:val="single" w:color="auto" w:sz="4" w:space="0"/>
              <w:right w:val="single" w:color="auto" w:sz="4" w:space="0"/>
            </w:tcBorders>
            <w:noWrap w:val="0"/>
            <w:vAlign w:val="top"/>
          </w:tcPr>
          <w:p w14:paraId="2513A909">
            <w:pPr>
              <w:spacing w:line="240" w:lineRule="auto"/>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支路</w:t>
            </w:r>
          </w:p>
        </w:tc>
        <w:tc>
          <w:tcPr>
            <w:tcW w:w="1418" w:type="dxa"/>
            <w:tcBorders>
              <w:top w:val="single" w:color="auto" w:sz="4" w:space="0"/>
              <w:left w:val="single" w:color="auto" w:sz="4" w:space="0"/>
              <w:bottom w:val="single" w:color="auto" w:sz="4" w:space="0"/>
              <w:right w:val="single" w:color="auto" w:sz="4" w:space="0"/>
            </w:tcBorders>
            <w:noWrap w:val="0"/>
            <w:vAlign w:val="top"/>
          </w:tcPr>
          <w:p w14:paraId="4C5F9CA3">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0.75</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00A755E1">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10</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686D1859">
            <w:pPr>
              <w:spacing w:line="240" w:lineRule="auto"/>
              <w:jc w:val="center"/>
              <w:rPr>
                <w:rFonts w:hint="eastAsia" w:ascii="仿宋" w:hAnsi="仿宋" w:eastAsia="仿宋" w:cs="仿宋"/>
                <w:sz w:val="24"/>
                <w:szCs w:val="24"/>
                <w:lang w:eastAsia="zh-CN"/>
              </w:rPr>
            </w:pPr>
            <w:r>
              <w:rPr>
                <w:rFonts w:hint="eastAsia" w:ascii="仿宋" w:hAnsi="仿宋" w:eastAsia="仿宋" w:cs="仿宋"/>
                <w:sz w:val="24"/>
                <w:szCs w:val="24"/>
              </w:rPr>
              <w:t>≥0.</w:t>
            </w:r>
            <w:r>
              <w:rPr>
                <w:rFonts w:hint="eastAsia" w:ascii="仿宋" w:hAnsi="仿宋" w:eastAsia="仿宋" w:cs="仿宋"/>
                <w:sz w:val="24"/>
                <w:szCs w:val="24"/>
                <w:lang w:val="en-US" w:eastAsia="zh-CN"/>
              </w:rPr>
              <w:t>3</w:t>
            </w:r>
          </w:p>
        </w:tc>
        <w:tc>
          <w:tcPr>
            <w:tcW w:w="1421" w:type="dxa"/>
            <w:tcBorders>
              <w:top w:val="single" w:color="auto" w:sz="4" w:space="0"/>
              <w:left w:val="single" w:color="auto" w:sz="4" w:space="0"/>
              <w:bottom w:val="single" w:color="auto" w:sz="4" w:space="0"/>
              <w:right w:val="single" w:color="auto" w:sz="4" w:space="0"/>
            </w:tcBorders>
            <w:noWrap w:val="0"/>
            <w:vAlign w:val="top"/>
          </w:tcPr>
          <w:p w14:paraId="610419A9">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0.5</w:t>
            </w:r>
          </w:p>
        </w:tc>
      </w:tr>
    </w:tbl>
    <w:p w14:paraId="4D2299C0">
      <w:pPr>
        <w:ind w:firstLine="560" w:firstLineChars="200"/>
        <w:rPr>
          <w:rFonts w:hint="eastAsia" w:ascii="仿宋" w:hAnsi="仿宋" w:eastAsia="仿宋" w:cs="仿宋"/>
          <w:sz w:val="28"/>
          <w:szCs w:val="28"/>
          <w:lang w:eastAsia="zh-CN"/>
        </w:rPr>
      </w:pPr>
    </w:p>
    <w:tbl>
      <w:tblPr>
        <w:tblStyle w:val="23"/>
        <w:tblW w:w="85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5"/>
        <w:gridCol w:w="1275"/>
        <w:gridCol w:w="1418"/>
        <w:gridCol w:w="1417"/>
        <w:gridCol w:w="1276"/>
        <w:gridCol w:w="1421"/>
      </w:tblGrid>
      <w:tr w14:paraId="28E6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1755" w:type="dxa"/>
            <w:vMerge w:val="restart"/>
            <w:tcBorders>
              <w:top w:val="single" w:color="auto" w:sz="4" w:space="0"/>
              <w:left w:val="single" w:color="auto" w:sz="4" w:space="0"/>
              <w:bottom w:val="single" w:color="auto" w:sz="4" w:space="0"/>
              <w:right w:val="single" w:color="auto" w:sz="4" w:space="0"/>
            </w:tcBorders>
            <w:noWrap w:val="0"/>
            <w:vAlign w:val="center"/>
          </w:tcPr>
          <w:p w14:paraId="44A92DBB">
            <w:pPr>
              <w:spacing w:line="360" w:lineRule="auto"/>
              <w:jc w:val="center"/>
              <w:rPr>
                <w:rFonts w:hint="eastAsia" w:ascii="仿宋" w:hAnsi="仿宋" w:eastAsia="仿宋" w:cs="仿宋"/>
                <w:sz w:val="24"/>
                <w:szCs w:val="24"/>
              </w:rPr>
            </w:pPr>
            <w:r>
              <w:rPr>
                <w:rFonts w:hint="eastAsia" w:ascii="仿宋" w:hAnsi="仿宋" w:eastAsia="仿宋" w:cs="仿宋"/>
                <w:sz w:val="21"/>
                <w:szCs w:val="21"/>
              </w:rPr>
              <w:t>桂花园路</w:t>
            </w:r>
          </w:p>
        </w:tc>
        <w:tc>
          <w:tcPr>
            <w:tcW w:w="1275" w:type="dxa"/>
            <w:tcBorders>
              <w:top w:val="single" w:color="auto" w:sz="4" w:space="0"/>
              <w:left w:val="single" w:color="auto" w:sz="4" w:space="0"/>
              <w:bottom w:val="single" w:color="auto" w:sz="4" w:space="0"/>
              <w:right w:val="single" w:color="auto" w:sz="4" w:space="0"/>
            </w:tcBorders>
            <w:noWrap w:val="0"/>
            <w:vAlign w:val="center"/>
          </w:tcPr>
          <w:p w14:paraId="0024165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道路等级</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0FF2704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平均亮度维持值(cd/m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c>
          <w:tcPr>
            <w:tcW w:w="1417" w:type="dxa"/>
            <w:tcBorders>
              <w:top w:val="single" w:color="auto" w:sz="4" w:space="0"/>
              <w:left w:val="single" w:color="auto" w:sz="4" w:space="0"/>
              <w:bottom w:val="single" w:color="auto" w:sz="4" w:space="0"/>
              <w:right w:val="single" w:color="auto" w:sz="4" w:space="0"/>
            </w:tcBorders>
            <w:noWrap w:val="0"/>
            <w:vAlign w:val="center"/>
          </w:tcPr>
          <w:p w14:paraId="0491420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平均照度维持值Eh,av(lx)</w:t>
            </w:r>
          </w:p>
        </w:tc>
        <w:tc>
          <w:tcPr>
            <w:tcW w:w="1276" w:type="dxa"/>
            <w:tcBorders>
              <w:top w:val="single" w:color="auto" w:sz="4" w:space="0"/>
              <w:left w:val="single" w:color="auto" w:sz="4" w:space="0"/>
              <w:bottom w:val="single" w:color="auto" w:sz="4" w:space="0"/>
              <w:right w:val="single" w:color="auto" w:sz="4" w:space="0"/>
            </w:tcBorders>
            <w:noWrap w:val="0"/>
            <w:vAlign w:val="center"/>
          </w:tcPr>
          <w:p w14:paraId="531AEC2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w:t>
            </w:r>
          </w:p>
          <w:p w14:paraId="7CAFDCD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UE</w:t>
            </w:r>
          </w:p>
        </w:tc>
        <w:tc>
          <w:tcPr>
            <w:tcW w:w="1421" w:type="dxa"/>
            <w:tcBorders>
              <w:top w:val="single" w:color="auto" w:sz="4" w:space="0"/>
              <w:left w:val="single" w:color="auto" w:sz="4" w:space="0"/>
              <w:bottom w:val="single" w:color="auto" w:sz="4" w:space="0"/>
              <w:right w:val="single" w:color="auto" w:sz="4" w:space="0"/>
            </w:tcBorders>
            <w:noWrap w:val="0"/>
            <w:vAlign w:val="center"/>
          </w:tcPr>
          <w:p w14:paraId="304666A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平均功率密度值（w/m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r>
      <w:tr w14:paraId="0073F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1755" w:type="dxa"/>
            <w:vMerge w:val="continue"/>
            <w:tcBorders>
              <w:top w:val="single" w:color="auto" w:sz="4" w:space="0"/>
              <w:left w:val="single" w:color="auto" w:sz="4" w:space="0"/>
              <w:bottom w:val="single" w:color="auto" w:sz="4" w:space="0"/>
              <w:right w:val="single" w:color="auto" w:sz="4" w:space="0"/>
            </w:tcBorders>
            <w:noWrap w:val="0"/>
            <w:vAlign w:val="center"/>
          </w:tcPr>
          <w:p w14:paraId="1AE9E434">
            <w:pPr>
              <w:spacing w:line="220" w:lineRule="exact"/>
              <w:jc w:val="center"/>
              <w:rPr>
                <w:rFonts w:hint="eastAsia" w:ascii="仿宋" w:hAnsi="仿宋" w:eastAsia="仿宋" w:cs="仿宋"/>
                <w:sz w:val="24"/>
                <w:szCs w:val="24"/>
              </w:rPr>
            </w:pPr>
          </w:p>
        </w:tc>
        <w:tc>
          <w:tcPr>
            <w:tcW w:w="1275" w:type="dxa"/>
            <w:tcBorders>
              <w:top w:val="single" w:color="auto" w:sz="4" w:space="0"/>
              <w:left w:val="single" w:color="auto" w:sz="4" w:space="0"/>
              <w:bottom w:val="single" w:color="auto" w:sz="4" w:space="0"/>
              <w:right w:val="single" w:color="auto" w:sz="4" w:space="0"/>
            </w:tcBorders>
            <w:noWrap w:val="0"/>
            <w:vAlign w:val="top"/>
          </w:tcPr>
          <w:p w14:paraId="728C583F">
            <w:pPr>
              <w:spacing w:line="240" w:lineRule="auto"/>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主干路</w:t>
            </w:r>
          </w:p>
        </w:tc>
        <w:tc>
          <w:tcPr>
            <w:tcW w:w="1418" w:type="dxa"/>
            <w:tcBorders>
              <w:top w:val="single" w:color="auto" w:sz="4" w:space="0"/>
              <w:left w:val="single" w:color="auto" w:sz="4" w:space="0"/>
              <w:bottom w:val="single" w:color="auto" w:sz="4" w:space="0"/>
              <w:right w:val="single" w:color="auto" w:sz="4" w:space="0"/>
            </w:tcBorders>
            <w:noWrap w:val="0"/>
            <w:vAlign w:val="top"/>
          </w:tcPr>
          <w:p w14:paraId="6A28C175">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1.5</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74839CCB">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20</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321E4F45">
            <w:pPr>
              <w:spacing w:line="240" w:lineRule="auto"/>
              <w:jc w:val="center"/>
              <w:rPr>
                <w:rFonts w:hint="eastAsia" w:ascii="仿宋" w:hAnsi="仿宋" w:eastAsia="仿宋" w:cs="仿宋"/>
                <w:sz w:val="24"/>
                <w:szCs w:val="24"/>
                <w:lang w:eastAsia="zh-CN"/>
              </w:rPr>
            </w:pPr>
            <w:r>
              <w:rPr>
                <w:rFonts w:hint="eastAsia" w:ascii="仿宋" w:hAnsi="仿宋" w:eastAsia="仿宋" w:cs="仿宋"/>
                <w:sz w:val="24"/>
                <w:szCs w:val="24"/>
              </w:rPr>
              <w:t>≥0.</w:t>
            </w:r>
            <w:r>
              <w:rPr>
                <w:rFonts w:hint="eastAsia" w:ascii="仿宋" w:hAnsi="仿宋" w:eastAsia="仿宋" w:cs="仿宋"/>
                <w:sz w:val="24"/>
                <w:szCs w:val="24"/>
                <w:lang w:val="en-US" w:eastAsia="zh-CN"/>
              </w:rPr>
              <w:t>4</w:t>
            </w:r>
          </w:p>
        </w:tc>
        <w:tc>
          <w:tcPr>
            <w:tcW w:w="1421" w:type="dxa"/>
            <w:tcBorders>
              <w:top w:val="single" w:color="auto" w:sz="4" w:space="0"/>
              <w:left w:val="single" w:color="auto" w:sz="4" w:space="0"/>
              <w:bottom w:val="single" w:color="auto" w:sz="4" w:space="0"/>
              <w:right w:val="single" w:color="auto" w:sz="4" w:space="0"/>
            </w:tcBorders>
            <w:noWrap w:val="0"/>
            <w:vAlign w:val="top"/>
          </w:tcPr>
          <w:p w14:paraId="1B8AF972">
            <w:pPr>
              <w:spacing w:line="240" w:lineRule="auto"/>
              <w:jc w:val="center"/>
              <w:rPr>
                <w:rFonts w:hint="default" w:ascii="仿宋" w:hAnsi="仿宋" w:eastAsia="仿宋" w:cs="仿宋"/>
                <w:sz w:val="24"/>
                <w:szCs w:val="24"/>
                <w:lang w:val="en-US" w:eastAsia="zh-CN"/>
              </w:rPr>
            </w:pPr>
            <w:r>
              <w:rPr>
                <w:rFonts w:hint="eastAsia" w:ascii="仿宋" w:hAnsi="仿宋" w:eastAsia="仿宋" w:cs="仿宋"/>
                <w:sz w:val="24"/>
                <w:szCs w:val="24"/>
              </w:rPr>
              <w:t>≤</w:t>
            </w:r>
            <w:r>
              <w:rPr>
                <w:rFonts w:hint="eastAsia" w:ascii="仿宋" w:hAnsi="仿宋" w:eastAsia="仿宋" w:cs="仿宋"/>
                <w:sz w:val="24"/>
                <w:szCs w:val="24"/>
                <w:lang w:val="en-US" w:eastAsia="zh-CN"/>
              </w:rPr>
              <w:t>0.7</w:t>
            </w:r>
          </w:p>
        </w:tc>
      </w:tr>
    </w:tbl>
    <w:p w14:paraId="531E4C39">
      <w:pPr>
        <w:ind w:firstLine="560" w:firstLineChars="200"/>
        <w:rPr>
          <w:rFonts w:hint="eastAsia" w:ascii="仿宋" w:hAnsi="仿宋" w:eastAsia="仿宋" w:cs="仿宋"/>
          <w:sz w:val="28"/>
          <w:szCs w:val="28"/>
          <w:lang w:eastAsia="zh-CN"/>
        </w:rPr>
      </w:pPr>
    </w:p>
    <w:p w14:paraId="6CDD88DA">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rPr>
        <w:t>交会区照明标准</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0"/>
        <w:gridCol w:w="2660"/>
        <w:gridCol w:w="1441"/>
      </w:tblGrid>
      <w:tr w14:paraId="2AA9E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550" w:type="dxa"/>
            <w:noWrap w:val="0"/>
            <w:vAlign w:val="center"/>
          </w:tcPr>
          <w:p w14:paraId="536EC00C">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交会区类型</w:t>
            </w:r>
          </w:p>
        </w:tc>
        <w:tc>
          <w:tcPr>
            <w:tcW w:w="2660" w:type="dxa"/>
            <w:noWrap w:val="0"/>
            <w:vAlign w:val="center"/>
          </w:tcPr>
          <w:p w14:paraId="4DA211D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路面平均照度Eh,av(lx),维持值</w:t>
            </w:r>
          </w:p>
        </w:tc>
        <w:tc>
          <w:tcPr>
            <w:tcW w:w="1441" w:type="dxa"/>
            <w:noWrap w:val="0"/>
            <w:vAlign w:val="center"/>
          </w:tcPr>
          <w:p w14:paraId="763B89F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照度均匀度UE</w:t>
            </w:r>
          </w:p>
        </w:tc>
      </w:tr>
      <w:tr w14:paraId="7C794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 w:hRule="atLeast"/>
          <w:jc w:val="center"/>
        </w:trPr>
        <w:tc>
          <w:tcPr>
            <w:tcW w:w="2550" w:type="dxa"/>
            <w:noWrap w:val="0"/>
            <w:vAlign w:val="center"/>
          </w:tcPr>
          <w:p w14:paraId="40E2180F">
            <w:pPr>
              <w:spacing w:line="360" w:lineRule="auto"/>
              <w:jc w:val="center"/>
              <w:rPr>
                <w:rFonts w:hint="eastAsia" w:ascii="仿宋" w:hAnsi="仿宋" w:eastAsia="仿宋" w:cs="仿宋"/>
                <w:sz w:val="24"/>
                <w:szCs w:val="24"/>
              </w:rPr>
            </w:pPr>
            <w:r>
              <w:rPr>
                <w:rFonts w:hint="eastAsia" w:ascii="仿宋" w:hAnsi="仿宋" w:eastAsia="仿宋" w:cs="仿宋"/>
                <w:sz w:val="24"/>
                <w:szCs w:val="24"/>
                <w:lang w:eastAsia="zh-CN"/>
              </w:rPr>
              <w:t>主</w:t>
            </w:r>
            <w:r>
              <w:rPr>
                <w:rFonts w:hint="eastAsia" w:ascii="仿宋" w:hAnsi="仿宋" w:eastAsia="仿宋" w:cs="仿宋"/>
                <w:sz w:val="24"/>
                <w:szCs w:val="24"/>
              </w:rPr>
              <w:t>干路与支路交会</w:t>
            </w:r>
          </w:p>
        </w:tc>
        <w:tc>
          <w:tcPr>
            <w:tcW w:w="2660" w:type="dxa"/>
            <w:vMerge w:val="restart"/>
            <w:noWrap w:val="0"/>
            <w:vAlign w:val="center"/>
          </w:tcPr>
          <w:p w14:paraId="67607C4F">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3</w:t>
            </w:r>
            <w:r>
              <w:rPr>
                <w:rFonts w:hint="eastAsia" w:ascii="仿宋" w:hAnsi="仿宋" w:eastAsia="仿宋" w:cs="仿宋"/>
                <w:sz w:val="24"/>
                <w:szCs w:val="24"/>
              </w:rPr>
              <w:t>0/</w:t>
            </w:r>
            <w:r>
              <w:rPr>
                <w:rFonts w:hint="eastAsia" w:ascii="仿宋" w:hAnsi="仿宋" w:eastAsia="仿宋" w:cs="仿宋"/>
                <w:sz w:val="24"/>
                <w:szCs w:val="24"/>
                <w:lang w:val="en-US" w:eastAsia="zh-CN"/>
              </w:rPr>
              <w:t>5</w:t>
            </w:r>
            <w:r>
              <w:rPr>
                <w:rFonts w:hint="eastAsia" w:ascii="仿宋" w:hAnsi="仿宋" w:eastAsia="仿宋" w:cs="仿宋"/>
                <w:sz w:val="24"/>
                <w:szCs w:val="24"/>
              </w:rPr>
              <w:t>0</w:t>
            </w:r>
          </w:p>
        </w:tc>
        <w:tc>
          <w:tcPr>
            <w:tcW w:w="1441" w:type="dxa"/>
            <w:vMerge w:val="restart"/>
            <w:noWrap w:val="0"/>
            <w:vAlign w:val="center"/>
          </w:tcPr>
          <w:p w14:paraId="6213983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0.4</w:t>
            </w:r>
          </w:p>
        </w:tc>
      </w:tr>
      <w:tr w14:paraId="74A36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550" w:type="dxa"/>
            <w:noWrap w:val="0"/>
            <w:vAlign w:val="center"/>
          </w:tcPr>
          <w:p w14:paraId="0567BA13">
            <w:pPr>
              <w:spacing w:line="360" w:lineRule="auto"/>
              <w:jc w:val="center"/>
              <w:rPr>
                <w:rFonts w:hint="eastAsia" w:ascii="仿宋" w:hAnsi="仿宋" w:eastAsia="仿宋" w:cs="仿宋"/>
                <w:sz w:val="24"/>
                <w:szCs w:val="24"/>
              </w:rPr>
            </w:pPr>
            <w:r>
              <w:rPr>
                <w:rFonts w:hint="eastAsia" w:ascii="仿宋" w:hAnsi="仿宋" w:eastAsia="仿宋" w:cs="仿宋"/>
                <w:sz w:val="24"/>
                <w:szCs w:val="24"/>
                <w:lang w:eastAsia="zh-CN"/>
              </w:rPr>
              <w:t>主</w:t>
            </w:r>
            <w:r>
              <w:rPr>
                <w:rFonts w:hint="eastAsia" w:ascii="仿宋" w:hAnsi="仿宋" w:eastAsia="仿宋" w:cs="仿宋"/>
                <w:sz w:val="24"/>
                <w:szCs w:val="24"/>
              </w:rPr>
              <w:t>干路与次干路交会</w:t>
            </w:r>
          </w:p>
        </w:tc>
        <w:tc>
          <w:tcPr>
            <w:tcW w:w="2660" w:type="dxa"/>
            <w:vMerge w:val="continue"/>
            <w:noWrap w:val="0"/>
            <w:vAlign w:val="center"/>
          </w:tcPr>
          <w:p w14:paraId="32B79D60">
            <w:pPr>
              <w:spacing w:line="360" w:lineRule="auto"/>
              <w:jc w:val="center"/>
              <w:rPr>
                <w:rFonts w:hint="eastAsia" w:ascii="仿宋" w:hAnsi="仿宋" w:eastAsia="仿宋" w:cs="仿宋"/>
                <w:sz w:val="24"/>
                <w:szCs w:val="24"/>
              </w:rPr>
            </w:pPr>
          </w:p>
        </w:tc>
        <w:tc>
          <w:tcPr>
            <w:tcW w:w="1441" w:type="dxa"/>
            <w:vMerge w:val="continue"/>
            <w:noWrap w:val="0"/>
            <w:vAlign w:val="center"/>
          </w:tcPr>
          <w:p w14:paraId="06641079">
            <w:pPr>
              <w:spacing w:line="360" w:lineRule="auto"/>
              <w:jc w:val="center"/>
              <w:rPr>
                <w:rFonts w:hint="eastAsia" w:ascii="仿宋" w:hAnsi="仿宋" w:eastAsia="仿宋" w:cs="仿宋"/>
                <w:sz w:val="24"/>
                <w:szCs w:val="24"/>
              </w:rPr>
            </w:pPr>
          </w:p>
        </w:tc>
      </w:tr>
      <w:tr w14:paraId="3DC70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550" w:type="dxa"/>
            <w:noWrap w:val="0"/>
            <w:vAlign w:val="center"/>
          </w:tcPr>
          <w:p w14:paraId="37965A07">
            <w:pPr>
              <w:spacing w:line="360" w:lineRule="auto"/>
              <w:jc w:val="center"/>
              <w:rPr>
                <w:rFonts w:hint="eastAsia" w:ascii="仿宋" w:hAnsi="仿宋" w:eastAsia="仿宋" w:cs="仿宋"/>
                <w:sz w:val="24"/>
                <w:szCs w:val="24"/>
              </w:rPr>
            </w:pPr>
            <w:r>
              <w:rPr>
                <w:rFonts w:hint="eastAsia" w:ascii="仿宋" w:hAnsi="仿宋" w:eastAsia="仿宋" w:cs="仿宋"/>
                <w:sz w:val="24"/>
                <w:szCs w:val="24"/>
                <w:lang w:eastAsia="zh-CN"/>
              </w:rPr>
              <w:t>主</w:t>
            </w:r>
            <w:r>
              <w:rPr>
                <w:rFonts w:hint="eastAsia" w:ascii="仿宋" w:hAnsi="仿宋" w:eastAsia="仿宋" w:cs="仿宋"/>
                <w:sz w:val="24"/>
                <w:szCs w:val="24"/>
              </w:rPr>
              <w:t>干路与主干路交会</w:t>
            </w:r>
          </w:p>
        </w:tc>
        <w:tc>
          <w:tcPr>
            <w:tcW w:w="2660" w:type="dxa"/>
            <w:noWrap w:val="0"/>
            <w:vAlign w:val="center"/>
          </w:tcPr>
          <w:p w14:paraId="1D47851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30/50</w:t>
            </w:r>
          </w:p>
        </w:tc>
        <w:tc>
          <w:tcPr>
            <w:tcW w:w="1441" w:type="dxa"/>
            <w:vMerge w:val="continue"/>
            <w:noWrap w:val="0"/>
            <w:vAlign w:val="center"/>
          </w:tcPr>
          <w:p w14:paraId="09A59644">
            <w:pPr>
              <w:spacing w:line="360" w:lineRule="auto"/>
              <w:jc w:val="center"/>
              <w:rPr>
                <w:rFonts w:hint="eastAsia" w:ascii="仿宋" w:hAnsi="仿宋" w:eastAsia="仿宋" w:cs="仿宋"/>
                <w:sz w:val="24"/>
                <w:szCs w:val="24"/>
              </w:rPr>
            </w:pPr>
          </w:p>
        </w:tc>
      </w:tr>
    </w:tbl>
    <w:p w14:paraId="5812E30A">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2、供电电源</w:t>
      </w:r>
    </w:p>
    <w:p w14:paraId="2500018A">
      <w:pPr>
        <w:spacing w:line="360" w:lineRule="auto"/>
        <w:ind w:firstLine="560" w:firstLineChars="200"/>
        <w:rPr>
          <w:rFonts w:hint="eastAsia" w:ascii="仿宋" w:hAnsi="仿宋" w:eastAsia="仿宋" w:cs="仿宋"/>
          <w:sz w:val="28"/>
          <w:szCs w:val="28"/>
          <w:lang w:eastAsia="zh-CN"/>
        </w:rPr>
      </w:pPr>
      <w:r>
        <w:rPr>
          <w:rFonts w:hint="eastAsia" w:ascii="仿宋" w:hAnsi="仿宋" w:eastAsia="仿宋" w:cs="仿宋"/>
          <w:sz w:val="28"/>
          <w:szCs w:val="28"/>
          <w:lang w:eastAsia="zh-CN"/>
        </w:rPr>
        <w:t>道路照明电源</w:t>
      </w:r>
    </w:p>
    <w:p w14:paraId="330DDE8E">
      <w:pPr>
        <w:spacing w:beforeLines="0" w:afterLines="0"/>
        <w:ind w:firstLine="560" w:firstLineChars="200"/>
        <w:jc w:val="left"/>
        <w:rPr>
          <w:rFonts w:hint="eastAsia" w:ascii="仿宋" w:hAnsi="仿宋" w:eastAsia="仿宋" w:cs="仿宋"/>
          <w:sz w:val="28"/>
          <w:szCs w:val="28"/>
          <w:lang w:eastAsia="zh-CN"/>
        </w:rPr>
      </w:pPr>
      <w:r>
        <w:rPr>
          <w:rFonts w:hint="eastAsia" w:ascii="仿宋" w:hAnsi="仿宋" w:eastAsia="仿宋" w:cs="仿宋"/>
          <w:sz w:val="28"/>
          <w:szCs w:val="28"/>
          <w:lang w:eastAsia="zh-CN"/>
        </w:rPr>
        <w:t>①本次道路于</w:t>
      </w:r>
      <w:r>
        <w:rPr>
          <w:rFonts w:hint="eastAsia" w:ascii="仿宋" w:hAnsi="仿宋" w:eastAsia="仿宋" w:cs="仿宋"/>
          <w:sz w:val="28"/>
          <w:szCs w:val="28"/>
          <w:lang w:val="en-US" w:eastAsia="zh-CN"/>
        </w:rPr>
        <w:t>(桂花园路-江陵路)交汇处</w:t>
      </w:r>
      <w:r>
        <w:rPr>
          <w:rFonts w:hint="eastAsia" w:ascii="仿宋" w:hAnsi="仿宋" w:eastAsia="仿宋" w:cs="仿宋"/>
          <w:sz w:val="28"/>
          <w:szCs w:val="28"/>
          <w:lang w:eastAsia="zh-CN"/>
        </w:rPr>
        <w:t>新建</w:t>
      </w:r>
      <w:r>
        <w:rPr>
          <w:rFonts w:hint="eastAsia" w:ascii="仿宋" w:hAnsi="仿宋" w:eastAsia="仿宋" w:cs="仿宋"/>
          <w:sz w:val="28"/>
          <w:szCs w:val="28"/>
          <w:lang w:val="en-US" w:eastAsia="zh-CN"/>
        </w:rPr>
        <w:t>1台1</w:t>
      </w:r>
      <w:r>
        <w:rPr>
          <w:rFonts w:hint="eastAsia" w:ascii="仿宋" w:hAnsi="仿宋" w:eastAsia="仿宋" w:cs="仿宋"/>
          <w:sz w:val="28"/>
          <w:szCs w:val="28"/>
          <w:lang w:eastAsia="zh-CN"/>
        </w:rPr>
        <w:t>00KVA箱变电源</w:t>
      </w:r>
      <w:r>
        <w:rPr>
          <w:rFonts w:hint="eastAsia" w:ascii="仿宋" w:hAnsi="仿宋" w:eastAsia="仿宋" w:cs="仿宋"/>
          <w:sz w:val="28"/>
          <w:szCs w:val="28"/>
        </w:rPr>
        <w:t>，箱体及其基础外立面颜色应与周边环境相协调，箱体应尽量避开高温、腐蚀严重、易燃易爆的工厂和仓库附近以及易被淹没的低洼地段等场所，箱体长边应与人行道平行，严禁占用人行道、自行车道、盲道。多箱集中是指将多个箱体集中设置在适当区域，建议市政箱体应多箱集中设置</w:t>
      </w:r>
      <w:r>
        <w:rPr>
          <w:rFonts w:hint="eastAsia" w:ascii="仿宋" w:hAnsi="仿宋" w:eastAsia="仿宋" w:cs="仿宋"/>
          <w:sz w:val="28"/>
          <w:szCs w:val="28"/>
          <w:lang w:eastAsia="zh-CN"/>
        </w:rPr>
        <w:t>。</w:t>
      </w:r>
    </w:p>
    <w:p w14:paraId="3B04F8E1">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②</w:t>
      </w:r>
      <w:r>
        <w:rPr>
          <w:rFonts w:hint="eastAsia" w:ascii="仿宋" w:hAnsi="仿宋" w:eastAsia="仿宋" w:cs="仿宋"/>
          <w:sz w:val="28"/>
          <w:szCs w:val="28"/>
        </w:rPr>
        <w:t>本工程路灯电源总体考虑，路灯供电半径</w:t>
      </w:r>
      <w:r>
        <w:rPr>
          <w:rFonts w:hint="eastAsia" w:ascii="仿宋" w:hAnsi="仿宋" w:eastAsia="仿宋" w:cs="仿宋"/>
          <w:sz w:val="28"/>
          <w:szCs w:val="28"/>
          <w:lang w:eastAsia="zh-CN"/>
        </w:rPr>
        <w:t>小于</w:t>
      </w:r>
      <w:r>
        <w:rPr>
          <w:rFonts w:hint="eastAsia" w:ascii="仿宋" w:hAnsi="仿宋" w:eastAsia="仿宋" w:cs="仿宋"/>
          <w:sz w:val="28"/>
          <w:szCs w:val="28"/>
        </w:rPr>
        <w:t>800m。线路电压降按≤</w:t>
      </w:r>
      <w:r>
        <w:rPr>
          <w:rFonts w:hint="eastAsia" w:ascii="仿宋" w:hAnsi="仿宋" w:eastAsia="仿宋" w:cs="仿宋"/>
          <w:sz w:val="28"/>
          <w:szCs w:val="28"/>
          <w:lang w:val="en-US" w:eastAsia="zh-CN"/>
        </w:rPr>
        <w:t>5</w:t>
      </w:r>
      <w:r>
        <w:rPr>
          <w:rFonts w:hint="eastAsia" w:ascii="仿宋" w:hAnsi="仿宋" w:eastAsia="仿宋" w:cs="仿宋"/>
          <w:sz w:val="28"/>
          <w:szCs w:val="28"/>
        </w:rPr>
        <w:t>%控制。路灯</w:t>
      </w:r>
      <w:r>
        <w:rPr>
          <w:rFonts w:hint="eastAsia" w:ascii="仿宋" w:hAnsi="仿宋" w:eastAsia="仿宋" w:cs="仿宋"/>
          <w:sz w:val="28"/>
          <w:szCs w:val="28"/>
          <w:lang w:eastAsia="zh-CN"/>
        </w:rPr>
        <w:t>配电箱</w:t>
      </w:r>
      <w:r>
        <w:rPr>
          <w:rFonts w:hint="eastAsia" w:ascii="仿宋" w:hAnsi="仿宋" w:eastAsia="仿宋" w:cs="仿宋"/>
          <w:sz w:val="28"/>
          <w:szCs w:val="28"/>
        </w:rPr>
        <w:t>设计留有一定裕量，以便备用给今后需要增加的亮化项目、广告灯箱用电等。</w:t>
      </w:r>
    </w:p>
    <w:p w14:paraId="04DC5E3D">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3、路灯设置</w:t>
      </w:r>
    </w:p>
    <w:p w14:paraId="4CF1C387">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rPr>
        <w:t>照明方式：本工程采用常规杆式照明方式。</w:t>
      </w:r>
    </w:p>
    <w:p w14:paraId="62074E94">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rPr>
        <w:t>照明光源和灯具</w:t>
      </w:r>
    </w:p>
    <w:p w14:paraId="0C3581A0">
      <w:pPr>
        <w:ind w:firstLine="560" w:firstLineChars="200"/>
        <w:rPr>
          <w:rFonts w:hint="eastAsia" w:ascii="仿宋" w:hAnsi="仿宋" w:eastAsia="仿宋" w:cs="仿宋"/>
          <w:sz w:val="28"/>
          <w:szCs w:val="28"/>
        </w:rPr>
      </w:pPr>
      <w:r>
        <w:rPr>
          <w:rFonts w:hint="eastAsia" w:ascii="仿宋" w:hAnsi="仿宋" w:eastAsia="仿宋" w:cs="仿宋"/>
          <w:sz w:val="28"/>
          <w:szCs w:val="28"/>
        </w:rPr>
        <w:t>设计采用高效LED光源作为本次照明设计光源，路灯灯具采用半截光型灯具。</w:t>
      </w:r>
    </w:p>
    <w:p w14:paraId="77FD68B6">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rPr>
        <w:t>道路照明：</w:t>
      </w:r>
    </w:p>
    <w:p w14:paraId="3EE2D86F">
      <w:pPr>
        <w:ind w:firstLine="560" w:firstLineChars="200"/>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lang w:val="en-US" w:eastAsia="zh-CN"/>
        </w:rPr>
        <w:t>上下江陵路</w:t>
      </w:r>
      <w:r>
        <w:rPr>
          <w:rFonts w:hint="eastAsia" w:ascii="仿宋" w:hAnsi="仿宋" w:eastAsia="仿宋" w:cs="仿宋"/>
          <w:sz w:val="28"/>
          <w:szCs w:val="28"/>
        </w:rPr>
        <w:t>沿道路</w:t>
      </w:r>
      <w:r>
        <w:rPr>
          <w:rFonts w:hint="eastAsia" w:ascii="仿宋" w:hAnsi="仿宋" w:eastAsia="仿宋" w:cs="仿宋"/>
          <w:sz w:val="28"/>
          <w:szCs w:val="28"/>
          <w:lang w:eastAsia="zh-CN"/>
        </w:rPr>
        <w:t>北侧人行道上布置</w:t>
      </w:r>
      <w:r>
        <w:rPr>
          <w:rFonts w:hint="eastAsia" w:ascii="仿宋" w:hAnsi="仿宋" w:eastAsia="仿宋" w:cs="仿宋"/>
          <w:sz w:val="28"/>
          <w:szCs w:val="28"/>
          <w:lang w:val="en-US" w:eastAsia="zh-CN"/>
        </w:rPr>
        <w:t>9</w:t>
      </w:r>
      <w:r>
        <w:rPr>
          <w:rFonts w:hint="eastAsia" w:ascii="仿宋" w:hAnsi="仿宋" w:eastAsia="仿宋" w:cs="仿宋"/>
          <w:sz w:val="28"/>
          <w:szCs w:val="28"/>
        </w:rPr>
        <w:t>m高</w:t>
      </w:r>
      <w:r>
        <w:rPr>
          <w:rFonts w:hint="eastAsia" w:ascii="仿宋" w:hAnsi="仿宋" w:eastAsia="仿宋" w:cs="仿宋"/>
          <w:sz w:val="28"/>
          <w:szCs w:val="28"/>
          <w:lang w:eastAsia="zh-CN"/>
        </w:rPr>
        <w:t>单</w:t>
      </w:r>
      <w:r>
        <w:rPr>
          <w:rFonts w:hint="eastAsia" w:ascii="仿宋" w:hAnsi="仿宋" w:eastAsia="仿宋" w:cs="仿宋"/>
          <w:sz w:val="28"/>
          <w:szCs w:val="28"/>
        </w:rPr>
        <w:t>臂路灯，光源为</w:t>
      </w:r>
      <w:r>
        <w:rPr>
          <w:rFonts w:hint="eastAsia" w:ascii="仿宋" w:hAnsi="仿宋" w:eastAsia="仿宋" w:cs="仿宋"/>
          <w:sz w:val="28"/>
          <w:szCs w:val="28"/>
          <w:lang w:val="en-US" w:eastAsia="zh-CN"/>
        </w:rPr>
        <w:t xml:space="preserve">100W </w:t>
      </w:r>
      <w:r>
        <w:rPr>
          <w:rFonts w:hint="eastAsia" w:ascii="仿宋" w:hAnsi="仿宋" w:eastAsia="仿宋" w:cs="仿宋"/>
          <w:sz w:val="28"/>
          <w:szCs w:val="28"/>
        </w:rPr>
        <w:t>LED光源。路灯杆间距为</w:t>
      </w:r>
      <w:r>
        <w:rPr>
          <w:rFonts w:hint="eastAsia" w:ascii="仿宋" w:hAnsi="仿宋" w:eastAsia="仿宋" w:cs="仿宋"/>
          <w:sz w:val="28"/>
          <w:szCs w:val="28"/>
          <w:lang w:val="en-US" w:eastAsia="zh-CN"/>
        </w:rPr>
        <w:t>30</w:t>
      </w:r>
      <w:r>
        <w:rPr>
          <w:rFonts w:hint="eastAsia" w:ascii="仿宋" w:hAnsi="仿宋" w:eastAsia="仿宋" w:cs="仿宋"/>
          <w:sz w:val="28"/>
          <w:szCs w:val="28"/>
        </w:rPr>
        <w:t>m，为半截光型灯具，悬臂长度</w:t>
      </w:r>
      <w:r>
        <w:rPr>
          <w:rFonts w:hint="eastAsia" w:ascii="仿宋" w:hAnsi="仿宋" w:eastAsia="仿宋" w:cs="仿宋"/>
          <w:sz w:val="28"/>
          <w:szCs w:val="28"/>
          <w:lang w:val="en-US" w:eastAsia="zh-CN"/>
        </w:rPr>
        <w:t>1.8</w:t>
      </w:r>
      <w:r>
        <w:rPr>
          <w:rFonts w:hint="eastAsia" w:ascii="仿宋" w:hAnsi="仿宋" w:eastAsia="仿宋" w:cs="仿宋"/>
          <w:sz w:val="28"/>
          <w:szCs w:val="28"/>
        </w:rPr>
        <w:t>m，灯具仰角为</w:t>
      </w:r>
      <w:r>
        <w:rPr>
          <w:rFonts w:hint="eastAsia" w:ascii="仿宋" w:hAnsi="仿宋" w:eastAsia="仿宋" w:cs="仿宋"/>
          <w:sz w:val="28"/>
          <w:szCs w:val="28"/>
          <w:lang w:val="en-US" w:eastAsia="zh-CN"/>
        </w:rPr>
        <w:t>12</w:t>
      </w:r>
      <w:r>
        <w:rPr>
          <w:rFonts w:hint="eastAsia" w:ascii="仿宋" w:hAnsi="仿宋" w:eastAsia="仿宋" w:cs="仿宋"/>
          <w:sz w:val="28"/>
          <w:szCs w:val="28"/>
        </w:rPr>
        <w:t>°，</w:t>
      </w:r>
      <w:r>
        <w:rPr>
          <w:rFonts w:hint="eastAsia" w:ascii="仿宋" w:hAnsi="仿宋" w:eastAsia="仿宋" w:cs="仿宋"/>
          <w:sz w:val="28"/>
          <w:szCs w:val="28"/>
          <w:lang w:eastAsia="zh-CN"/>
        </w:rPr>
        <w:t>距离路沿石</w:t>
      </w:r>
      <w:r>
        <w:rPr>
          <w:rFonts w:hint="eastAsia" w:ascii="仿宋" w:hAnsi="仿宋" w:eastAsia="仿宋" w:cs="仿宋"/>
          <w:sz w:val="28"/>
          <w:szCs w:val="28"/>
          <w:lang w:val="en-US" w:eastAsia="zh-CN"/>
        </w:rPr>
        <w:t>0.75m处</w:t>
      </w:r>
      <w:r>
        <w:rPr>
          <w:rFonts w:hint="eastAsia" w:ascii="仿宋" w:hAnsi="仿宋" w:eastAsia="仿宋" w:cs="仿宋"/>
          <w:sz w:val="28"/>
          <w:szCs w:val="28"/>
        </w:rPr>
        <w:t>。</w:t>
      </w:r>
    </w:p>
    <w:p w14:paraId="0E88E82C">
      <w:pPr>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桂花园路</w:t>
      </w:r>
      <w:r>
        <w:rPr>
          <w:rFonts w:hint="eastAsia" w:ascii="仿宋" w:hAnsi="仿宋" w:eastAsia="仿宋" w:cs="仿宋"/>
          <w:sz w:val="28"/>
          <w:szCs w:val="28"/>
        </w:rPr>
        <w:t>沿道路</w:t>
      </w:r>
      <w:r>
        <w:rPr>
          <w:rFonts w:hint="eastAsia" w:ascii="仿宋" w:hAnsi="仿宋" w:eastAsia="仿宋" w:cs="仿宋"/>
          <w:sz w:val="28"/>
          <w:szCs w:val="28"/>
          <w:lang w:eastAsia="zh-CN"/>
        </w:rPr>
        <w:t>双侧人行道上对称布置</w:t>
      </w:r>
      <w:r>
        <w:rPr>
          <w:rFonts w:hint="eastAsia" w:ascii="仿宋" w:hAnsi="仿宋" w:eastAsia="仿宋" w:cs="仿宋"/>
          <w:sz w:val="28"/>
          <w:szCs w:val="28"/>
          <w:lang w:val="en-US" w:eastAsia="zh-CN"/>
        </w:rPr>
        <w:t>12</w:t>
      </w:r>
      <w:r>
        <w:rPr>
          <w:rFonts w:hint="eastAsia" w:ascii="仿宋" w:hAnsi="仿宋" w:eastAsia="仿宋" w:cs="仿宋"/>
          <w:sz w:val="28"/>
          <w:szCs w:val="28"/>
        </w:rPr>
        <w:t>m高</w:t>
      </w:r>
      <w:r>
        <w:rPr>
          <w:rFonts w:hint="eastAsia" w:ascii="仿宋" w:hAnsi="仿宋" w:eastAsia="仿宋" w:cs="仿宋"/>
          <w:sz w:val="28"/>
          <w:szCs w:val="28"/>
          <w:lang w:eastAsia="zh-CN"/>
        </w:rPr>
        <w:t>双</w:t>
      </w:r>
      <w:r>
        <w:rPr>
          <w:rFonts w:hint="eastAsia" w:ascii="仿宋" w:hAnsi="仿宋" w:eastAsia="仿宋" w:cs="仿宋"/>
          <w:sz w:val="28"/>
          <w:szCs w:val="28"/>
        </w:rPr>
        <w:t>臂路灯，光源为</w:t>
      </w:r>
      <w:r>
        <w:rPr>
          <w:rFonts w:hint="eastAsia" w:ascii="仿宋" w:hAnsi="仿宋" w:eastAsia="仿宋" w:cs="仿宋"/>
          <w:sz w:val="28"/>
          <w:szCs w:val="28"/>
          <w:lang w:val="en-US" w:eastAsia="zh-CN"/>
        </w:rPr>
        <w:t>300W</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+60W </w:t>
      </w:r>
      <w:r>
        <w:rPr>
          <w:rFonts w:hint="eastAsia" w:ascii="仿宋" w:hAnsi="仿宋" w:eastAsia="仿宋" w:cs="仿宋"/>
          <w:sz w:val="28"/>
          <w:szCs w:val="28"/>
        </w:rPr>
        <w:t>LED光源。路灯杆间距为</w:t>
      </w:r>
      <w:r>
        <w:rPr>
          <w:rFonts w:hint="eastAsia" w:ascii="仿宋" w:hAnsi="仿宋" w:eastAsia="仿宋" w:cs="仿宋"/>
          <w:sz w:val="28"/>
          <w:szCs w:val="28"/>
          <w:lang w:val="en-US" w:eastAsia="zh-CN"/>
        </w:rPr>
        <w:t>36</w:t>
      </w:r>
      <w:r>
        <w:rPr>
          <w:rFonts w:hint="eastAsia" w:ascii="仿宋" w:hAnsi="仿宋" w:eastAsia="仿宋" w:cs="仿宋"/>
          <w:sz w:val="28"/>
          <w:szCs w:val="28"/>
        </w:rPr>
        <w:t>m，为半截光型灯具，悬臂长度</w:t>
      </w:r>
      <w:r>
        <w:rPr>
          <w:rFonts w:hint="eastAsia" w:ascii="仿宋" w:hAnsi="仿宋" w:eastAsia="仿宋" w:cs="仿宋"/>
          <w:sz w:val="28"/>
          <w:szCs w:val="28"/>
          <w:lang w:val="en-US" w:eastAsia="zh-CN"/>
        </w:rPr>
        <w:t>2.2m+1.8</w:t>
      </w:r>
      <w:r>
        <w:rPr>
          <w:rFonts w:hint="eastAsia" w:ascii="仿宋" w:hAnsi="仿宋" w:eastAsia="仿宋" w:cs="仿宋"/>
          <w:sz w:val="28"/>
          <w:szCs w:val="28"/>
        </w:rPr>
        <w:t>m，灯具仰角为</w:t>
      </w:r>
      <w:r>
        <w:rPr>
          <w:rFonts w:hint="eastAsia" w:ascii="仿宋" w:hAnsi="仿宋" w:eastAsia="仿宋" w:cs="仿宋"/>
          <w:sz w:val="28"/>
          <w:szCs w:val="28"/>
          <w:lang w:val="en-US" w:eastAsia="zh-CN"/>
        </w:rPr>
        <w:t>12</w:t>
      </w:r>
      <w:r>
        <w:rPr>
          <w:rFonts w:hint="eastAsia" w:ascii="仿宋" w:hAnsi="仿宋" w:eastAsia="仿宋" w:cs="仿宋"/>
          <w:sz w:val="28"/>
          <w:szCs w:val="28"/>
        </w:rPr>
        <w:t>°，呈双侧</w:t>
      </w:r>
      <w:r>
        <w:rPr>
          <w:rFonts w:hint="eastAsia" w:ascii="仿宋" w:hAnsi="仿宋" w:eastAsia="仿宋" w:cs="仿宋"/>
          <w:sz w:val="28"/>
          <w:szCs w:val="28"/>
          <w:lang w:eastAsia="zh-CN"/>
        </w:rPr>
        <w:t>对称</w:t>
      </w:r>
      <w:r>
        <w:rPr>
          <w:rFonts w:hint="eastAsia" w:ascii="仿宋" w:hAnsi="仿宋" w:eastAsia="仿宋" w:cs="仿宋"/>
          <w:sz w:val="28"/>
          <w:szCs w:val="28"/>
        </w:rPr>
        <w:t>布置</w:t>
      </w:r>
      <w:r>
        <w:rPr>
          <w:rFonts w:hint="eastAsia" w:ascii="仿宋" w:hAnsi="仿宋" w:eastAsia="仿宋" w:cs="仿宋"/>
          <w:sz w:val="28"/>
          <w:szCs w:val="28"/>
          <w:lang w:eastAsia="zh-CN"/>
        </w:rPr>
        <w:t>，距离路沿石</w:t>
      </w:r>
      <w:r>
        <w:rPr>
          <w:rFonts w:hint="eastAsia" w:ascii="仿宋" w:hAnsi="仿宋" w:eastAsia="仿宋" w:cs="仿宋"/>
          <w:sz w:val="28"/>
          <w:szCs w:val="28"/>
          <w:lang w:val="en-US" w:eastAsia="zh-CN"/>
        </w:rPr>
        <w:t>0.75m处</w:t>
      </w:r>
      <w:r>
        <w:rPr>
          <w:rFonts w:hint="eastAsia" w:ascii="仿宋" w:hAnsi="仿宋" w:eastAsia="仿宋" w:cs="仿宋"/>
          <w:sz w:val="28"/>
          <w:szCs w:val="28"/>
        </w:rPr>
        <w:t>。</w:t>
      </w:r>
    </w:p>
    <w:p w14:paraId="009E4E56">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rPr>
        <w:t>路灯控制方式：</w:t>
      </w:r>
    </w:p>
    <w:p w14:paraId="67EECB4C">
      <w:pPr>
        <w:ind w:firstLine="560" w:firstLineChars="200"/>
        <w:rPr>
          <w:rFonts w:hint="eastAsia" w:ascii="仿宋" w:hAnsi="仿宋" w:eastAsia="仿宋" w:cs="仿宋"/>
          <w:sz w:val="28"/>
          <w:szCs w:val="28"/>
        </w:rPr>
      </w:pPr>
      <w:r>
        <w:rPr>
          <w:rFonts w:hint="eastAsia" w:ascii="仿宋" w:hAnsi="仿宋" w:eastAsia="仿宋" w:cs="仿宋"/>
          <w:sz w:val="28"/>
          <w:szCs w:val="28"/>
        </w:rPr>
        <w:t>1）道路照明应合理确定开关灯时间。</w:t>
      </w:r>
    </w:p>
    <w:p w14:paraId="39F0C7EE">
      <w:pPr>
        <w:ind w:firstLine="560" w:firstLineChars="200"/>
        <w:rPr>
          <w:rFonts w:hint="eastAsia" w:ascii="仿宋" w:hAnsi="仿宋" w:eastAsia="仿宋" w:cs="仿宋"/>
          <w:sz w:val="28"/>
          <w:szCs w:val="28"/>
        </w:rPr>
      </w:pPr>
      <w:r>
        <w:rPr>
          <w:rFonts w:hint="eastAsia" w:ascii="仿宋" w:hAnsi="仿宋" w:eastAsia="仿宋" w:cs="仿宋"/>
          <w:sz w:val="28"/>
          <w:szCs w:val="28"/>
        </w:rPr>
        <w:t>2）路灯分全夜式、半夜式两级控制，半夜车流、人流小时关闭半夜式灯具，节约电能。经过调整后的路面平均照度不得低于</w:t>
      </w:r>
      <w:r>
        <w:rPr>
          <w:rFonts w:hint="eastAsia" w:ascii="仿宋" w:hAnsi="仿宋" w:eastAsia="仿宋" w:cs="仿宋"/>
          <w:sz w:val="28"/>
          <w:szCs w:val="28"/>
          <w:lang w:val="en-US" w:eastAsia="zh-CN"/>
        </w:rPr>
        <w:t>8</w:t>
      </w:r>
      <w:r>
        <w:rPr>
          <w:rFonts w:hint="eastAsia" w:ascii="仿宋" w:hAnsi="仿宋" w:eastAsia="仿宋" w:cs="仿宋"/>
          <w:sz w:val="28"/>
          <w:szCs w:val="28"/>
        </w:rPr>
        <w:t>lx。</w:t>
      </w:r>
    </w:p>
    <w:p w14:paraId="685DA2E0">
      <w:pPr>
        <w:ind w:firstLine="560" w:firstLineChars="200"/>
        <w:rPr>
          <w:rFonts w:hint="eastAsia" w:ascii="仿宋" w:hAnsi="仿宋" w:eastAsia="仿宋" w:cs="仿宋"/>
          <w:sz w:val="28"/>
          <w:szCs w:val="28"/>
        </w:rPr>
      </w:pPr>
      <w:r>
        <w:rPr>
          <w:rFonts w:hint="eastAsia" w:ascii="仿宋" w:hAnsi="仿宋" w:eastAsia="仿宋" w:cs="仿宋"/>
          <w:sz w:val="28"/>
          <w:szCs w:val="28"/>
        </w:rPr>
        <w:t>3) 城市道路应配套建设满足道路安全使用和节能环保要求的照明系统。</w:t>
      </w:r>
    </w:p>
    <w:p w14:paraId="0206A986">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4、照明计算</w:t>
      </w:r>
    </w:p>
    <w:p w14:paraId="162A6037">
      <w:pPr>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上下江陵路</w:t>
      </w:r>
    </w:p>
    <w:p w14:paraId="4A2B739C">
      <w:pPr>
        <w:ind w:firstLine="560" w:firstLineChars="200"/>
        <w:rPr>
          <w:rFonts w:hint="eastAsia" w:ascii="仿宋" w:hAnsi="仿宋" w:eastAsia="仿宋" w:cs="仿宋"/>
          <w:sz w:val="28"/>
          <w:szCs w:val="28"/>
        </w:rPr>
      </w:pPr>
      <w:r>
        <w:rPr>
          <w:rFonts w:hint="eastAsia" w:ascii="仿宋" w:hAnsi="仿宋" w:eastAsia="仿宋" w:cs="仿宋"/>
          <w:sz w:val="28"/>
          <w:szCs w:val="28"/>
        </w:rPr>
        <w:t>本工程所采用灯具</w:t>
      </w:r>
      <w:r>
        <w:rPr>
          <w:rFonts w:hint="eastAsia" w:ascii="仿宋" w:hAnsi="仿宋" w:eastAsia="仿宋" w:cs="仿宋"/>
          <w:sz w:val="28"/>
          <w:szCs w:val="28"/>
          <w:lang w:val="en-US" w:eastAsia="zh-CN"/>
        </w:rPr>
        <w:t xml:space="preserve">100W </w:t>
      </w:r>
      <w:r>
        <w:rPr>
          <w:rFonts w:hint="eastAsia" w:ascii="仿宋" w:hAnsi="仿宋" w:eastAsia="仿宋" w:cs="仿宋"/>
          <w:sz w:val="28"/>
          <w:szCs w:val="28"/>
        </w:rPr>
        <w:t>LED光源，光源光效不低于1</w:t>
      </w:r>
      <w:r>
        <w:rPr>
          <w:rFonts w:hint="eastAsia" w:ascii="仿宋" w:hAnsi="仿宋" w:eastAsia="仿宋" w:cs="仿宋"/>
          <w:sz w:val="28"/>
          <w:szCs w:val="28"/>
          <w:lang w:val="en-US" w:eastAsia="zh-CN"/>
        </w:rPr>
        <w:t>25L</w:t>
      </w:r>
      <w:r>
        <w:rPr>
          <w:rFonts w:hint="eastAsia" w:ascii="仿宋" w:hAnsi="仿宋" w:eastAsia="仿宋" w:cs="仿宋"/>
          <w:sz w:val="28"/>
          <w:szCs w:val="28"/>
        </w:rPr>
        <w:t>m/</w:t>
      </w:r>
      <w:r>
        <w:rPr>
          <w:rFonts w:hint="eastAsia" w:ascii="仿宋" w:hAnsi="仿宋" w:eastAsia="仿宋" w:cs="仿宋"/>
          <w:sz w:val="28"/>
          <w:szCs w:val="28"/>
          <w:lang w:val="en-US" w:eastAsia="zh-CN"/>
        </w:rPr>
        <w:t>W</w:t>
      </w:r>
      <w:r>
        <w:rPr>
          <w:rFonts w:hint="eastAsia" w:ascii="仿宋" w:hAnsi="仿宋" w:eastAsia="仿宋" w:cs="仿宋"/>
          <w:sz w:val="28"/>
          <w:szCs w:val="28"/>
        </w:rPr>
        <w:t>，利用系数取0.</w:t>
      </w:r>
      <w:r>
        <w:rPr>
          <w:rFonts w:hint="eastAsia" w:ascii="仿宋" w:hAnsi="仿宋" w:eastAsia="仿宋" w:cs="仿宋"/>
          <w:sz w:val="28"/>
          <w:szCs w:val="28"/>
          <w:lang w:val="en-US" w:eastAsia="zh-CN"/>
        </w:rPr>
        <w:t>6</w:t>
      </w:r>
      <w:r>
        <w:rPr>
          <w:rFonts w:hint="eastAsia" w:ascii="仿宋" w:hAnsi="仿宋" w:eastAsia="仿宋" w:cs="仿宋"/>
          <w:sz w:val="28"/>
          <w:szCs w:val="28"/>
        </w:rPr>
        <w:t>，维护系数取0.7，照明指标计算值如下表所示：</w:t>
      </w:r>
    </w:p>
    <w:tbl>
      <w:tblPr>
        <w:tblStyle w:val="23"/>
        <w:tblW w:w="747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416"/>
        <w:gridCol w:w="1416"/>
        <w:gridCol w:w="1116"/>
        <w:gridCol w:w="936"/>
        <w:gridCol w:w="1536"/>
        <w:gridCol w:w="936"/>
        <w:gridCol w:w="1176"/>
        <w:gridCol w:w="1296"/>
      </w:tblGrid>
      <w:tr w14:paraId="693C345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1765038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LED</w:t>
            </w:r>
          </w:p>
          <w:p w14:paraId="6A1949F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照明方案</w:t>
            </w:r>
          </w:p>
        </w:tc>
        <w:tc>
          <w:tcPr>
            <w:tcW w:w="0" w:type="auto"/>
            <w:tcBorders>
              <w:top w:val="single" w:color="auto" w:sz="8" w:space="0"/>
              <w:left w:val="single" w:color="auto" w:sz="8" w:space="0"/>
              <w:bottom w:val="single" w:color="auto" w:sz="8" w:space="0"/>
              <w:right w:val="single" w:color="auto" w:sz="8" w:space="0"/>
            </w:tcBorders>
            <w:noWrap/>
            <w:vAlign w:val="center"/>
          </w:tcPr>
          <w:p w14:paraId="295CE7D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灯杆高度H</w:t>
            </w:r>
          </w:p>
        </w:tc>
        <w:tc>
          <w:tcPr>
            <w:tcW w:w="0" w:type="auto"/>
            <w:tcBorders>
              <w:top w:val="single" w:color="auto" w:sz="8" w:space="0"/>
              <w:left w:val="single" w:color="auto" w:sz="8" w:space="0"/>
              <w:bottom w:val="single" w:color="auto" w:sz="8" w:space="0"/>
              <w:right w:val="single" w:color="auto" w:sz="8" w:space="0"/>
            </w:tcBorders>
            <w:noWrap/>
            <w:vAlign w:val="center"/>
          </w:tcPr>
          <w:p w14:paraId="47DB82B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灯间距S</w:t>
            </w:r>
          </w:p>
        </w:tc>
        <w:tc>
          <w:tcPr>
            <w:tcW w:w="0" w:type="auto"/>
            <w:tcBorders>
              <w:top w:val="single" w:color="auto" w:sz="8" w:space="0"/>
              <w:left w:val="single" w:color="auto" w:sz="8" w:space="0"/>
              <w:bottom w:val="single" w:color="auto" w:sz="8" w:space="0"/>
              <w:right w:val="single" w:color="auto" w:sz="8" w:space="0"/>
            </w:tcBorders>
            <w:noWrap/>
            <w:vAlign w:val="center"/>
          </w:tcPr>
          <w:p w14:paraId="188C882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照度值</w:t>
            </w:r>
          </w:p>
        </w:tc>
        <w:tc>
          <w:tcPr>
            <w:tcW w:w="0" w:type="auto"/>
            <w:tcBorders>
              <w:top w:val="single" w:color="auto" w:sz="8" w:space="0"/>
              <w:left w:val="single" w:color="auto" w:sz="8" w:space="0"/>
              <w:bottom w:val="single" w:color="auto" w:sz="8" w:space="0"/>
              <w:right w:val="single" w:color="auto" w:sz="8" w:space="0"/>
            </w:tcBorders>
            <w:noWrap/>
            <w:vAlign w:val="center"/>
          </w:tcPr>
          <w:p w14:paraId="0CC59E94">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w:t>
            </w:r>
          </w:p>
        </w:tc>
        <w:tc>
          <w:tcPr>
            <w:tcW w:w="0" w:type="auto"/>
            <w:tcBorders>
              <w:top w:val="single" w:color="auto" w:sz="8" w:space="0"/>
              <w:left w:val="single" w:color="auto" w:sz="8" w:space="0"/>
              <w:bottom w:val="single" w:color="auto" w:sz="8" w:space="0"/>
              <w:right w:val="single" w:color="auto" w:sz="8" w:space="0"/>
            </w:tcBorders>
            <w:noWrap/>
            <w:vAlign w:val="center"/>
          </w:tcPr>
          <w:p w14:paraId="190A78D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均匀度</w:t>
            </w:r>
          </w:p>
        </w:tc>
        <w:tc>
          <w:tcPr>
            <w:tcW w:w="0" w:type="auto"/>
            <w:tcBorders>
              <w:top w:val="single" w:color="auto" w:sz="8" w:space="0"/>
              <w:left w:val="single" w:color="auto" w:sz="8" w:space="0"/>
              <w:bottom w:val="single" w:color="auto" w:sz="8" w:space="0"/>
              <w:right w:val="single" w:color="auto" w:sz="8" w:space="0"/>
            </w:tcBorders>
            <w:noWrap/>
            <w:vAlign w:val="center"/>
          </w:tcPr>
          <w:p w14:paraId="2832984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眩光指数</w:t>
            </w:r>
          </w:p>
        </w:tc>
        <w:tc>
          <w:tcPr>
            <w:tcW w:w="0" w:type="auto"/>
            <w:tcBorders>
              <w:top w:val="single" w:color="auto" w:sz="8" w:space="0"/>
              <w:left w:val="single" w:color="auto" w:sz="8" w:space="0"/>
              <w:bottom w:val="single" w:color="auto" w:sz="8" w:space="0"/>
              <w:right w:val="single" w:color="auto" w:sz="8" w:space="0"/>
            </w:tcBorders>
            <w:noWrap/>
            <w:vAlign w:val="center"/>
          </w:tcPr>
          <w:p w14:paraId="55A2984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功率</w:t>
            </w:r>
          </w:p>
          <w:p w14:paraId="7EBC2AF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密度值</w:t>
            </w:r>
          </w:p>
        </w:tc>
      </w:tr>
      <w:tr w14:paraId="10A4FF7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576B99C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规范规定值</w:t>
            </w:r>
          </w:p>
          <w:p w14:paraId="0D4012D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eastAsia="zh-CN"/>
              </w:rPr>
              <w:t>支</w:t>
            </w:r>
            <w:r>
              <w:rPr>
                <w:rFonts w:hint="eastAsia" w:ascii="仿宋" w:hAnsi="仿宋" w:eastAsia="仿宋" w:cs="仿宋"/>
                <w:sz w:val="24"/>
                <w:szCs w:val="24"/>
              </w:rPr>
              <w:t>路）</w:t>
            </w:r>
          </w:p>
        </w:tc>
        <w:tc>
          <w:tcPr>
            <w:tcW w:w="0" w:type="auto"/>
            <w:tcBorders>
              <w:top w:val="single" w:color="auto" w:sz="8" w:space="0"/>
              <w:left w:val="single" w:color="auto" w:sz="8" w:space="0"/>
              <w:bottom w:val="single" w:color="auto" w:sz="8" w:space="0"/>
              <w:right w:val="single" w:color="auto" w:sz="8" w:space="0"/>
            </w:tcBorders>
            <w:noWrap/>
            <w:vAlign w:val="center"/>
          </w:tcPr>
          <w:p w14:paraId="6C11636C">
            <w:pPr>
              <w:spacing w:line="360" w:lineRule="auto"/>
              <w:jc w:val="center"/>
              <w:rPr>
                <w:rFonts w:hint="eastAsia" w:ascii="仿宋" w:hAnsi="仿宋" w:eastAsia="仿宋" w:cs="仿宋"/>
                <w:sz w:val="24"/>
                <w:szCs w:val="24"/>
              </w:rPr>
            </w:pPr>
            <w:r>
              <w:rPr>
                <w:rFonts w:hint="eastAsia" w:ascii="仿宋" w:hAnsi="仿宋" w:eastAsia="仿宋" w:cs="仿宋"/>
                <w:sz w:val="24"/>
                <w:szCs w:val="24"/>
              </w:rPr>
              <w:t>H≥0.6weff</w:t>
            </w:r>
          </w:p>
        </w:tc>
        <w:tc>
          <w:tcPr>
            <w:tcW w:w="0" w:type="auto"/>
            <w:tcBorders>
              <w:top w:val="single" w:color="auto" w:sz="8" w:space="0"/>
              <w:left w:val="single" w:color="auto" w:sz="8" w:space="0"/>
              <w:bottom w:val="single" w:color="auto" w:sz="8" w:space="0"/>
              <w:right w:val="single" w:color="auto" w:sz="8" w:space="0"/>
            </w:tcBorders>
            <w:noWrap/>
            <w:vAlign w:val="center"/>
          </w:tcPr>
          <w:p w14:paraId="348F0E3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S≤3.5H</w:t>
            </w:r>
          </w:p>
        </w:tc>
        <w:tc>
          <w:tcPr>
            <w:tcW w:w="0" w:type="auto"/>
            <w:tcBorders>
              <w:top w:val="single" w:color="auto" w:sz="8" w:space="0"/>
              <w:left w:val="single" w:color="auto" w:sz="8" w:space="0"/>
              <w:bottom w:val="single" w:color="auto" w:sz="8" w:space="0"/>
              <w:right w:val="single" w:color="auto" w:sz="8" w:space="0"/>
            </w:tcBorders>
            <w:noWrap/>
            <w:vAlign w:val="center"/>
          </w:tcPr>
          <w:p w14:paraId="46ADB1A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10</w:t>
            </w:r>
            <w:r>
              <w:rPr>
                <w:rFonts w:hint="eastAsia" w:ascii="仿宋" w:hAnsi="仿宋" w:eastAsia="仿宋" w:cs="仿宋"/>
                <w:sz w:val="24"/>
                <w:szCs w:val="24"/>
              </w:rPr>
              <w:t>lx</w:t>
            </w:r>
          </w:p>
        </w:tc>
        <w:tc>
          <w:tcPr>
            <w:tcW w:w="0" w:type="auto"/>
            <w:tcBorders>
              <w:top w:val="single" w:color="auto" w:sz="8" w:space="0"/>
              <w:left w:val="single" w:color="auto" w:sz="8" w:space="0"/>
              <w:bottom w:val="single" w:color="auto" w:sz="8" w:space="0"/>
              <w:right w:val="single" w:color="auto" w:sz="8" w:space="0"/>
            </w:tcBorders>
            <w:noWrap/>
            <w:vAlign w:val="center"/>
          </w:tcPr>
          <w:p w14:paraId="24C9E89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0.75</w:t>
            </w:r>
            <w:r>
              <w:rPr>
                <w:rFonts w:hint="eastAsia" w:ascii="仿宋" w:hAnsi="仿宋" w:eastAsia="仿宋" w:cs="仿宋"/>
                <w:sz w:val="24"/>
                <w:szCs w:val="24"/>
              </w:rPr>
              <w:t>cd/m2</w:t>
            </w:r>
          </w:p>
        </w:tc>
        <w:tc>
          <w:tcPr>
            <w:tcW w:w="0" w:type="auto"/>
            <w:tcBorders>
              <w:top w:val="single" w:color="auto" w:sz="8" w:space="0"/>
              <w:left w:val="single" w:color="auto" w:sz="8" w:space="0"/>
              <w:bottom w:val="single" w:color="auto" w:sz="8" w:space="0"/>
              <w:right w:val="single" w:color="auto" w:sz="8" w:space="0"/>
            </w:tcBorders>
            <w:noWrap/>
            <w:vAlign w:val="center"/>
          </w:tcPr>
          <w:p w14:paraId="0FDD3836">
            <w:pPr>
              <w:spacing w:line="360" w:lineRule="auto"/>
              <w:jc w:val="center"/>
              <w:rPr>
                <w:rFonts w:hint="eastAsia" w:ascii="仿宋" w:hAnsi="仿宋" w:eastAsia="仿宋" w:cs="仿宋"/>
                <w:sz w:val="24"/>
                <w:szCs w:val="24"/>
                <w:lang w:eastAsia="zh-CN"/>
              </w:rPr>
            </w:pPr>
            <w:r>
              <w:rPr>
                <w:rFonts w:hint="eastAsia" w:ascii="仿宋" w:hAnsi="仿宋" w:eastAsia="仿宋" w:cs="仿宋"/>
                <w:sz w:val="24"/>
                <w:szCs w:val="24"/>
              </w:rPr>
              <w:t>≥0.</w:t>
            </w:r>
            <w:r>
              <w:rPr>
                <w:rFonts w:hint="eastAsia" w:ascii="仿宋" w:hAnsi="仿宋" w:eastAsia="仿宋" w:cs="仿宋"/>
                <w:sz w:val="24"/>
                <w:szCs w:val="24"/>
                <w:lang w:val="en-US" w:eastAsia="zh-CN"/>
              </w:rPr>
              <w:t>3</w:t>
            </w:r>
          </w:p>
        </w:tc>
        <w:tc>
          <w:tcPr>
            <w:tcW w:w="0" w:type="auto"/>
            <w:tcBorders>
              <w:top w:val="single" w:color="auto" w:sz="8" w:space="0"/>
              <w:left w:val="single" w:color="auto" w:sz="8" w:space="0"/>
              <w:bottom w:val="single" w:color="auto" w:sz="8" w:space="0"/>
              <w:right w:val="single" w:color="auto" w:sz="8" w:space="0"/>
            </w:tcBorders>
            <w:noWrap/>
            <w:vAlign w:val="center"/>
          </w:tcPr>
          <w:p w14:paraId="5D72B8D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&lt;1</w:t>
            </w:r>
            <w:r>
              <w:rPr>
                <w:rFonts w:hint="eastAsia" w:ascii="仿宋" w:hAnsi="仿宋" w:eastAsia="仿宋" w:cs="仿宋"/>
                <w:sz w:val="24"/>
                <w:szCs w:val="24"/>
                <w:lang w:val="en-US" w:eastAsia="zh-CN"/>
              </w:rPr>
              <w:t>2</w:t>
            </w:r>
            <w:r>
              <w:rPr>
                <w:rFonts w:hint="eastAsia" w:ascii="仿宋" w:hAnsi="仿宋" w:eastAsia="仿宋" w:cs="仿宋"/>
                <w:sz w:val="24"/>
                <w:szCs w:val="24"/>
              </w:rPr>
              <w:t>%</w:t>
            </w:r>
          </w:p>
        </w:tc>
        <w:tc>
          <w:tcPr>
            <w:tcW w:w="0" w:type="auto"/>
            <w:tcBorders>
              <w:top w:val="single" w:color="auto" w:sz="8" w:space="0"/>
              <w:left w:val="single" w:color="auto" w:sz="8" w:space="0"/>
              <w:bottom w:val="single" w:color="auto" w:sz="8" w:space="0"/>
              <w:right w:val="single" w:color="auto" w:sz="8" w:space="0"/>
            </w:tcBorders>
            <w:noWrap/>
            <w:vAlign w:val="center"/>
          </w:tcPr>
          <w:p w14:paraId="6B9BC66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0.5</w:t>
            </w:r>
            <w:r>
              <w:rPr>
                <w:rFonts w:hint="eastAsia" w:ascii="仿宋" w:hAnsi="仿宋" w:eastAsia="仿宋" w:cs="仿宋"/>
                <w:sz w:val="24"/>
                <w:szCs w:val="24"/>
              </w:rPr>
              <w:t>w/m2</w:t>
            </w:r>
          </w:p>
        </w:tc>
      </w:tr>
      <w:tr w14:paraId="298B1D5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5EA261FB">
            <w:pPr>
              <w:spacing w:line="360" w:lineRule="auto"/>
              <w:jc w:val="center"/>
              <w:rPr>
                <w:rFonts w:hint="eastAsia" w:ascii="仿宋" w:hAnsi="仿宋" w:eastAsia="仿宋" w:cs="仿宋"/>
                <w:sz w:val="24"/>
                <w:szCs w:val="24"/>
              </w:rPr>
            </w:pPr>
          </w:p>
        </w:tc>
        <w:tc>
          <w:tcPr>
            <w:tcW w:w="0" w:type="auto"/>
            <w:tcBorders>
              <w:top w:val="single" w:color="auto" w:sz="8" w:space="0"/>
              <w:left w:val="single" w:color="auto" w:sz="8" w:space="0"/>
              <w:bottom w:val="single" w:color="auto" w:sz="8" w:space="0"/>
              <w:right w:val="single" w:color="auto" w:sz="8" w:space="0"/>
            </w:tcBorders>
            <w:noWrap/>
            <w:vAlign w:val="center"/>
          </w:tcPr>
          <w:p w14:paraId="31CBB5CC">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9</w:t>
            </w:r>
            <w:r>
              <w:rPr>
                <w:rFonts w:hint="eastAsia" w:ascii="仿宋" w:hAnsi="仿宋" w:eastAsia="仿宋" w:cs="仿宋"/>
                <w:sz w:val="24"/>
                <w:szCs w:val="24"/>
              </w:rPr>
              <w:t>m</w:t>
            </w:r>
          </w:p>
        </w:tc>
        <w:tc>
          <w:tcPr>
            <w:tcW w:w="0" w:type="auto"/>
            <w:tcBorders>
              <w:top w:val="single" w:color="auto" w:sz="8" w:space="0"/>
              <w:left w:val="single" w:color="auto" w:sz="8" w:space="0"/>
              <w:bottom w:val="single" w:color="auto" w:sz="8" w:space="0"/>
              <w:right w:val="single" w:color="auto" w:sz="8" w:space="0"/>
            </w:tcBorders>
            <w:noWrap/>
            <w:vAlign w:val="center"/>
          </w:tcPr>
          <w:p w14:paraId="53BCC671">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30</w:t>
            </w:r>
            <w:r>
              <w:rPr>
                <w:rFonts w:hint="eastAsia" w:ascii="仿宋" w:hAnsi="仿宋" w:eastAsia="仿宋" w:cs="仿宋"/>
                <w:sz w:val="24"/>
                <w:szCs w:val="24"/>
              </w:rPr>
              <w:t>m</w:t>
            </w:r>
          </w:p>
        </w:tc>
        <w:tc>
          <w:tcPr>
            <w:tcW w:w="0" w:type="auto"/>
            <w:tcBorders>
              <w:top w:val="single" w:color="auto" w:sz="8" w:space="0"/>
              <w:left w:val="single" w:color="auto" w:sz="8" w:space="0"/>
              <w:bottom w:val="single" w:color="auto" w:sz="8" w:space="0"/>
              <w:right w:val="single" w:color="auto" w:sz="8" w:space="0"/>
            </w:tcBorders>
            <w:noWrap/>
            <w:vAlign w:val="center"/>
          </w:tcPr>
          <w:p w14:paraId="1D8F712F">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13.3</w:t>
            </w:r>
            <w:r>
              <w:rPr>
                <w:rFonts w:hint="eastAsia" w:ascii="仿宋" w:hAnsi="仿宋" w:eastAsia="仿宋" w:cs="仿宋"/>
                <w:sz w:val="24"/>
                <w:szCs w:val="24"/>
              </w:rPr>
              <w:t>lx</w:t>
            </w:r>
          </w:p>
        </w:tc>
        <w:tc>
          <w:tcPr>
            <w:tcW w:w="0" w:type="auto"/>
            <w:tcBorders>
              <w:top w:val="single" w:color="auto" w:sz="8" w:space="0"/>
              <w:left w:val="single" w:color="auto" w:sz="8" w:space="0"/>
              <w:bottom w:val="single" w:color="auto" w:sz="8" w:space="0"/>
              <w:right w:val="single" w:color="auto" w:sz="8" w:space="0"/>
            </w:tcBorders>
            <w:noWrap/>
            <w:vAlign w:val="center"/>
          </w:tcPr>
          <w:p w14:paraId="79BAAE9A">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0.8</w:t>
            </w:r>
            <w:r>
              <w:rPr>
                <w:rFonts w:hint="eastAsia" w:ascii="仿宋" w:hAnsi="仿宋" w:eastAsia="仿宋" w:cs="仿宋"/>
                <w:sz w:val="24"/>
                <w:szCs w:val="24"/>
              </w:rPr>
              <w:t>cd/m2</w:t>
            </w:r>
          </w:p>
        </w:tc>
        <w:tc>
          <w:tcPr>
            <w:tcW w:w="0" w:type="auto"/>
            <w:tcBorders>
              <w:top w:val="single" w:color="auto" w:sz="8" w:space="0"/>
              <w:left w:val="single" w:color="auto" w:sz="8" w:space="0"/>
              <w:bottom w:val="single" w:color="auto" w:sz="8" w:space="0"/>
              <w:right w:val="single" w:color="auto" w:sz="8" w:space="0"/>
            </w:tcBorders>
            <w:noWrap/>
            <w:vAlign w:val="center"/>
          </w:tcPr>
          <w:p w14:paraId="09D1567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w:t>
            </w:r>
            <w:r>
              <w:rPr>
                <w:rFonts w:hint="eastAsia" w:ascii="仿宋" w:hAnsi="仿宋" w:eastAsia="仿宋" w:cs="仿宋"/>
                <w:sz w:val="24"/>
                <w:szCs w:val="24"/>
                <w:lang w:val="en-US" w:eastAsia="zh-CN"/>
              </w:rPr>
              <w:t>3</w:t>
            </w:r>
            <w:r>
              <w:rPr>
                <w:rFonts w:hint="eastAsia" w:ascii="仿宋" w:hAnsi="仿宋" w:eastAsia="仿宋" w:cs="仿宋"/>
                <w:sz w:val="24"/>
                <w:szCs w:val="24"/>
              </w:rPr>
              <w:t>3</w:t>
            </w:r>
          </w:p>
        </w:tc>
        <w:tc>
          <w:tcPr>
            <w:tcW w:w="0" w:type="auto"/>
            <w:tcBorders>
              <w:top w:val="single" w:color="auto" w:sz="8" w:space="0"/>
              <w:left w:val="single" w:color="auto" w:sz="8" w:space="0"/>
              <w:bottom w:val="single" w:color="auto" w:sz="8" w:space="0"/>
              <w:right w:val="single" w:color="auto" w:sz="8" w:space="0"/>
            </w:tcBorders>
            <w:noWrap/>
            <w:vAlign w:val="center"/>
          </w:tcPr>
          <w:p w14:paraId="293196F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9.6%</w:t>
            </w:r>
          </w:p>
        </w:tc>
        <w:tc>
          <w:tcPr>
            <w:tcW w:w="0" w:type="auto"/>
            <w:tcBorders>
              <w:top w:val="single" w:color="auto" w:sz="8" w:space="0"/>
              <w:left w:val="single" w:color="auto" w:sz="8" w:space="0"/>
              <w:bottom w:val="single" w:color="auto" w:sz="8" w:space="0"/>
              <w:right w:val="single" w:color="auto" w:sz="8" w:space="0"/>
            </w:tcBorders>
            <w:noWrap/>
            <w:vAlign w:val="center"/>
          </w:tcPr>
          <w:p w14:paraId="10C74FD7">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0.39</w:t>
            </w:r>
            <w:r>
              <w:rPr>
                <w:rFonts w:hint="eastAsia" w:ascii="仿宋" w:hAnsi="仿宋" w:eastAsia="仿宋" w:cs="仿宋"/>
                <w:sz w:val="24"/>
                <w:szCs w:val="24"/>
              </w:rPr>
              <w:t>w/m2</w:t>
            </w:r>
          </w:p>
        </w:tc>
      </w:tr>
    </w:tbl>
    <w:p w14:paraId="05A9CB3A">
      <w:pPr>
        <w:ind w:firstLine="560" w:firstLineChars="200"/>
        <w:rPr>
          <w:rFonts w:hint="eastAsia" w:ascii="仿宋" w:hAnsi="仿宋" w:eastAsia="仿宋" w:cs="仿宋"/>
          <w:sz w:val="28"/>
          <w:szCs w:val="28"/>
        </w:rPr>
      </w:pPr>
    </w:p>
    <w:p w14:paraId="03950E57">
      <w:pPr>
        <w:numPr>
          <w:ilvl w:val="0"/>
          <w:numId w:val="8"/>
        </w:num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桂花园路</w:t>
      </w:r>
    </w:p>
    <w:p w14:paraId="619F3D65">
      <w:pPr>
        <w:ind w:firstLine="560" w:firstLineChars="200"/>
        <w:rPr>
          <w:rFonts w:hint="eastAsia" w:ascii="仿宋" w:hAnsi="仿宋" w:eastAsia="仿宋" w:cs="仿宋"/>
          <w:sz w:val="28"/>
          <w:szCs w:val="28"/>
        </w:rPr>
      </w:pPr>
      <w:r>
        <w:rPr>
          <w:rFonts w:hint="eastAsia" w:ascii="仿宋" w:hAnsi="仿宋" w:eastAsia="仿宋" w:cs="仿宋"/>
          <w:sz w:val="28"/>
          <w:szCs w:val="28"/>
        </w:rPr>
        <w:t>本工程所采用灯具</w:t>
      </w:r>
      <w:r>
        <w:rPr>
          <w:rFonts w:hint="eastAsia" w:ascii="仿宋" w:hAnsi="仿宋" w:eastAsia="仿宋" w:cs="仿宋"/>
          <w:sz w:val="28"/>
          <w:szCs w:val="28"/>
          <w:lang w:val="en-US" w:eastAsia="zh-CN"/>
        </w:rPr>
        <w:t>300W</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+60W </w:t>
      </w:r>
      <w:r>
        <w:rPr>
          <w:rFonts w:hint="eastAsia" w:ascii="仿宋" w:hAnsi="仿宋" w:eastAsia="仿宋" w:cs="仿宋"/>
          <w:sz w:val="28"/>
          <w:szCs w:val="28"/>
        </w:rPr>
        <w:t>LED光源，光源光效不低于1</w:t>
      </w:r>
      <w:r>
        <w:rPr>
          <w:rFonts w:hint="eastAsia" w:ascii="仿宋" w:hAnsi="仿宋" w:eastAsia="仿宋" w:cs="仿宋"/>
          <w:sz w:val="28"/>
          <w:szCs w:val="28"/>
          <w:lang w:val="en-US" w:eastAsia="zh-CN"/>
        </w:rPr>
        <w:t>25L</w:t>
      </w:r>
      <w:r>
        <w:rPr>
          <w:rFonts w:hint="eastAsia" w:ascii="仿宋" w:hAnsi="仿宋" w:eastAsia="仿宋" w:cs="仿宋"/>
          <w:sz w:val="28"/>
          <w:szCs w:val="28"/>
        </w:rPr>
        <w:t>m/</w:t>
      </w:r>
      <w:r>
        <w:rPr>
          <w:rFonts w:hint="eastAsia" w:ascii="仿宋" w:hAnsi="仿宋" w:eastAsia="仿宋" w:cs="仿宋"/>
          <w:sz w:val="28"/>
          <w:szCs w:val="28"/>
          <w:lang w:val="en-US" w:eastAsia="zh-CN"/>
        </w:rPr>
        <w:t>W</w:t>
      </w:r>
      <w:r>
        <w:rPr>
          <w:rFonts w:hint="eastAsia" w:ascii="仿宋" w:hAnsi="仿宋" w:eastAsia="仿宋" w:cs="仿宋"/>
          <w:sz w:val="28"/>
          <w:szCs w:val="28"/>
        </w:rPr>
        <w:t>，利用系数取0.</w:t>
      </w:r>
      <w:r>
        <w:rPr>
          <w:rFonts w:hint="eastAsia" w:ascii="仿宋" w:hAnsi="仿宋" w:eastAsia="仿宋" w:cs="仿宋"/>
          <w:sz w:val="28"/>
          <w:szCs w:val="28"/>
          <w:lang w:val="en-US" w:eastAsia="zh-CN"/>
        </w:rPr>
        <w:t>6</w:t>
      </w:r>
      <w:r>
        <w:rPr>
          <w:rFonts w:hint="eastAsia" w:ascii="仿宋" w:hAnsi="仿宋" w:eastAsia="仿宋" w:cs="仿宋"/>
          <w:sz w:val="28"/>
          <w:szCs w:val="28"/>
        </w:rPr>
        <w:t>，维护系数取0.7，照明指标计算值如下表所示：</w:t>
      </w:r>
    </w:p>
    <w:tbl>
      <w:tblPr>
        <w:tblStyle w:val="23"/>
        <w:tblW w:w="747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416"/>
        <w:gridCol w:w="1416"/>
        <w:gridCol w:w="1116"/>
        <w:gridCol w:w="936"/>
        <w:gridCol w:w="1416"/>
        <w:gridCol w:w="936"/>
        <w:gridCol w:w="1176"/>
        <w:gridCol w:w="1296"/>
      </w:tblGrid>
      <w:tr w14:paraId="2C92D4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532A7D3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LED</w:t>
            </w:r>
          </w:p>
          <w:p w14:paraId="770F937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照明方案</w:t>
            </w:r>
          </w:p>
        </w:tc>
        <w:tc>
          <w:tcPr>
            <w:tcW w:w="0" w:type="auto"/>
            <w:tcBorders>
              <w:top w:val="single" w:color="auto" w:sz="8" w:space="0"/>
              <w:left w:val="single" w:color="auto" w:sz="8" w:space="0"/>
              <w:bottom w:val="single" w:color="auto" w:sz="8" w:space="0"/>
              <w:right w:val="single" w:color="auto" w:sz="8" w:space="0"/>
            </w:tcBorders>
            <w:noWrap/>
            <w:vAlign w:val="center"/>
          </w:tcPr>
          <w:p w14:paraId="519D5C9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灯杆高度H</w:t>
            </w:r>
          </w:p>
        </w:tc>
        <w:tc>
          <w:tcPr>
            <w:tcW w:w="0" w:type="auto"/>
            <w:tcBorders>
              <w:top w:val="single" w:color="auto" w:sz="8" w:space="0"/>
              <w:left w:val="single" w:color="auto" w:sz="8" w:space="0"/>
              <w:bottom w:val="single" w:color="auto" w:sz="8" w:space="0"/>
              <w:right w:val="single" w:color="auto" w:sz="8" w:space="0"/>
            </w:tcBorders>
            <w:noWrap/>
            <w:vAlign w:val="center"/>
          </w:tcPr>
          <w:p w14:paraId="24C5127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灯间距S</w:t>
            </w:r>
          </w:p>
        </w:tc>
        <w:tc>
          <w:tcPr>
            <w:tcW w:w="0" w:type="auto"/>
            <w:tcBorders>
              <w:top w:val="single" w:color="auto" w:sz="8" w:space="0"/>
              <w:left w:val="single" w:color="auto" w:sz="8" w:space="0"/>
              <w:bottom w:val="single" w:color="auto" w:sz="8" w:space="0"/>
              <w:right w:val="single" w:color="auto" w:sz="8" w:space="0"/>
            </w:tcBorders>
            <w:noWrap/>
            <w:vAlign w:val="center"/>
          </w:tcPr>
          <w:p w14:paraId="2A6008E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照度值</w:t>
            </w:r>
          </w:p>
        </w:tc>
        <w:tc>
          <w:tcPr>
            <w:tcW w:w="0" w:type="auto"/>
            <w:tcBorders>
              <w:top w:val="single" w:color="auto" w:sz="8" w:space="0"/>
              <w:left w:val="single" w:color="auto" w:sz="8" w:space="0"/>
              <w:bottom w:val="single" w:color="auto" w:sz="8" w:space="0"/>
              <w:right w:val="single" w:color="auto" w:sz="8" w:space="0"/>
            </w:tcBorders>
            <w:noWrap/>
            <w:vAlign w:val="center"/>
          </w:tcPr>
          <w:p w14:paraId="0AFDAC3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w:t>
            </w:r>
          </w:p>
        </w:tc>
        <w:tc>
          <w:tcPr>
            <w:tcW w:w="0" w:type="auto"/>
            <w:tcBorders>
              <w:top w:val="single" w:color="auto" w:sz="8" w:space="0"/>
              <w:left w:val="single" w:color="auto" w:sz="8" w:space="0"/>
              <w:bottom w:val="single" w:color="auto" w:sz="8" w:space="0"/>
              <w:right w:val="single" w:color="auto" w:sz="8" w:space="0"/>
            </w:tcBorders>
            <w:noWrap/>
            <w:vAlign w:val="center"/>
          </w:tcPr>
          <w:p w14:paraId="78BD3D00">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均匀度</w:t>
            </w:r>
          </w:p>
        </w:tc>
        <w:tc>
          <w:tcPr>
            <w:tcW w:w="0" w:type="auto"/>
            <w:tcBorders>
              <w:top w:val="single" w:color="auto" w:sz="8" w:space="0"/>
              <w:left w:val="single" w:color="auto" w:sz="8" w:space="0"/>
              <w:bottom w:val="single" w:color="auto" w:sz="8" w:space="0"/>
              <w:right w:val="single" w:color="auto" w:sz="8" w:space="0"/>
            </w:tcBorders>
            <w:noWrap/>
            <w:vAlign w:val="center"/>
          </w:tcPr>
          <w:p w14:paraId="09443D9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眩光指数</w:t>
            </w:r>
          </w:p>
        </w:tc>
        <w:tc>
          <w:tcPr>
            <w:tcW w:w="0" w:type="auto"/>
            <w:tcBorders>
              <w:top w:val="single" w:color="auto" w:sz="8" w:space="0"/>
              <w:left w:val="single" w:color="auto" w:sz="8" w:space="0"/>
              <w:bottom w:val="single" w:color="auto" w:sz="8" w:space="0"/>
              <w:right w:val="single" w:color="auto" w:sz="8" w:space="0"/>
            </w:tcBorders>
            <w:noWrap/>
            <w:vAlign w:val="center"/>
          </w:tcPr>
          <w:p w14:paraId="674D63A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功率</w:t>
            </w:r>
          </w:p>
          <w:p w14:paraId="62C2D2E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密度值</w:t>
            </w:r>
          </w:p>
        </w:tc>
      </w:tr>
      <w:tr w14:paraId="00BBC89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1009AF0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规范规定值</w:t>
            </w:r>
          </w:p>
          <w:p w14:paraId="0CF7CF9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eastAsia="zh-CN"/>
              </w:rPr>
              <w:t>主干</w:t>
            </w:r>
            <w:r>
              <w:rPr>
                <w:rFonts w:hint="eastAsia" w:ascii="仿宋" w:hAnsi="仿宋" w:eastAsia="仿宋" w:cs="仿宋"/>
                <w:sz w:val="24"/>
                <w:szCs w:val="24"/>
              </w:rPr>
              <w:t>路）</w:t>
            </w:r>
          </w:p>
        </w:tc>
        <w:tc>
          <w:tcPr>
            <w:tcW w:w="0" w:type="auto"/>
            <w:tcBorders>
              <w:top w:val="single" w:color="auto" w:sz="8" w:space="0"/>
              <w:left w:val="single" w:color="auto" w:sz="8" w:space="0"/>
              <w:bottom w:val="single" w:color="auto" w:sz="8" w:space="0"/>
              <w:right w:val="single" w:color="auto" w:sz="8" w:space="0"/>
            </w:tcBorders>
            <w:noWrap/>
            <w:vAlign w:val="center"/>
          </w:tcPr>
          <w:p w14:paraId="2687467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H≥0.6weff</w:t>
            </w:r>
          </w:p>
        </w:tc>
        <w:tc>
          <w:tcPr>
            <w:tcW w:w="0" w:type="auto"/>
            <w:tcBorders>
              <w:top w:val="single" w:color="auto" w:sz="8" w:space="0"/>
              <w:left w:val="single" w:color="auto" w:sz="8" w:space="0"/>
              <w:bottom w:val="single" w:color="auto" w:sz="8" w:space="0"/>
              <w:right w:val="single" w:color="auto" w:sz="8" w:space="0"/>
            </w:tcBorders>
            <w:noWrap/>
            <w:vAlign w:val="center"/>
          </w:tcPr>
          <w:p w14:paraId="1DE3C49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S≤3.5H</w:t>
            </w:r>
          </w:p>
        </w:tc>
        <w:tc>
          <w:tcPr>
            <w:tcW w:w="0" w:type="auto"/>
            <w:tcBorders>
              <w:top w:val="single" w:color="auto" w:sz="8" w:space="0"/>
              <w:left w:val="single" w:color="auto" w:sz="8" w:space="0"/>
              <w:bottom w:val="single" w:color="auto" w:sz="8" w:space="0"/>
              <w:right w:val="single" w:color="auto" w:sz="8" w:space="0"/>
            </w:tcBorders>
            <w:noWrap/>
            <w:vAlign w:val="center"/>
          </w:tcPr>
          <w:p w14:paraId="62A57F8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20</w:t>
            </w:r>
            <w:r>
              <w:rPr>
                <w:rFonts w:hint="eastAsia" w:ascii="仿宋" w:hAnsi="仿宋" w:eastAsia="仿宋" w:cs="仿宋"/>
                <w:sz w:val="24"/>
                <w:szCs w:val="24"/>
              </w:rPr>
              <w:t>lx</w:t>
            </w:r>
          </w:p>
        </w:tc>
        <w:tc>
          <w:tcPr>
            <w:tcW w:w="0" w:type="auto"/>
            <w:tcBorders>
              <w:top w:val="single" w:color="auto" w:sz="8" w:space="0"/>
              <w:left w:val="single" w:color="auto" w:sz="8" w:space="0"/>
              <w:bottom w:val="single" w:color="auto" w:sz="8" w:space="0"/>
              <w:right w:val="single" w:color="auto" w:sz="8" w:space="0"/>
            </w:tcBorders>
            <w:noWrap/>
            <w:vAlign w:val="center"/>
          </w:tcPr>
          <w:p w14:paraId="2E98D60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1.5</w:t>
            </w:r>
            <w:r>
              <w:rPr>
                <w:rFonts w:hint="eastAsia" w:ascii="仿宋" w:hAnsi="仿宋" w:eastAsia="仿宋" w:cs="仿宋"/>
                <w:sz w:val="24"/>
                <w:szCs w:val="24"/>
              </w:rPr>
              <w:t>cd/m2</w:t>
            </w:r>
          </w:p>
        </w:tc>
        <w:tc>
          <w:tcPr>
            <w:tcW w:w="0" w:type="auto"/>
            <w:tcBorders>
              <w:top w:val="single" w:color="auto" w:sz="8" w:space="0"/>
              <w:left w:val="single" w:color="auto" w:sz="8" w:space="0"/>
              <w:bottom w:val="single" w:color="auto" w:sz="8" w:space="0"/>
              <w:right w:val="single" w:color="auto" w:sz="8" w:space="0"/>
            </w:tcBorders>
            <w:noWrap/>
            <w:vAlign w:val="center"/>
          </w:tcPr>
          <w:p w14:paraId="3FC18038">
            <w:pPr>
              <w:spacing w:line="360" w:lineRule="auto"/>
              <w:jc w:val="center"/>
              <w:rPr>
                <w:rFonts w:hint="eastAsia" w:ascii="仿宋" w:hAnsi="仿宋" w:eastAsia="仿宋" w:cs="仿宋"/>
                <w:sz w:val="24"/>
                <w:szCs w:val="24"/>
                <w:lang w:eastAsia="zh-CN"/>
              </w:rPr>
            </w:pPr>
            <w:r>
              <w:rPr>
                <w:rFonts w:hint="eastAsia" w:ascii="仿宋" w:hAnsi="仿宋" w:eastAsia="仿宋" w:cs="仿宋"/>
                <w:sz w:val="24"/>
                <w:szCs w:val="24"/>
              </w:rPr>
              <w:t>≥0.</w:t>
            </w:r>
            <w:r>
              <w:rPr>
                <w:rFonts w:hint="eastAsia" w:ascii="仿宋" w:hAnsi="仿宋" w:eastAsia="仿宋" w:cs="仿宋"/>
                <w:sz w:val="24"/>
                <w:szCs w:val="24"/>
                <w:lang w:val="en-US" w:eastAsia="zh-CN"/>
              </w:rPr>
              <w:t>4</w:t>
            </w:r>
          </w:p>
        </w:tc>
        <w:tc>
          <w:tcPr>
            <w:tcW w:w="0" w:type="auto"/>
            <w:tcBorders>
              <w:top w:val="single" w:color="auto" w:sz="8" w:space="0"/>
              <w:left w:val="single" w:color="auto" w:sz="8" w:space="0"/>
              <w:bottom w:val="single" w:color="auto" w:sz="8" w:space="0"/>
              <w:right w:val="single" w:color="auto" w:sz="8" w:space="0"/>
            </w:tcBorders>
            <w:noWrap/>
            <w:vAlign w:val="center"/>
          </w:tcPr>
          <w:p w14:paraId="5D4A209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&lt;1</w:t>
            </w:r>
            <w:r>
              <w:rPr>
                <w:rFonts w:hint="eastAsia" w:ascii="仿宋" w:hAnsi="仿宋" w:eastAsia="仿宋" w:cs="仿宋"/>
                <w:sz w:val="24"/>
                <w:szCs w:val="24"/>
                <w:lang w:val="en-US" w:eastAsia="zh-CN"/>
              </w:rPr>
              <w:t>2</w:t>
            </w:r>
            <w:r>
              <w:rPr>
                <w:rFonts w:hint="eastAsia" w:ascii="仿宋" w:hAnsi="仿宋" w:eastAsia="仿宋" w:cs="仿宋"/>
                <w:sz w:val="24"/>
                <w:szCs w:val="24"/>
              </w:rPr>
              <w:t>%</w:t>
            </w:r>
          </w:p>
        </w:tc>
        <w:tc>
          <w:tcPr>
            <w:tcW w:w="0" w:type="auto"/>
            <w:tcBorders>
              <w:top w:val="single" w:color="auto" w:sz="8" w:space="0"/>
              <w:left w:val="single" w:color="auto" w:sz="8" w:space="0"/>
              <w:bottom w:val="single" w:color="auto" w:sz="8" w:space="0"/>
              <w:right w:val="single" w:color="auto" w:sz="8" w:space="0"/>
            </w:tcBorders>
            <w:noWrap/>
            <w:vAlign w:val="center"/>
          </w:tcPr>
          <w:p w14:paraId="400284F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w:t>
            </w:r>
            <w:r>
              <w:rPr>
                <w:rFonts w:hint="eastAsia" w:ascii="仿宋" w:hAnsi="仿宋" w:eastAsia="仿宋" w:cs="仿宋"/>
                <w:sz w:val="24"/>
                <w:szCs w:val="24"/>
                <w:lang w:val="en-US" w:eastAsia="zh-CN"/>
              </w:rPr>
              <w:t>0.7</w:t>
            </w:r>
            <w:r>
              <w:rPr>
                <w:rFonts w:hint="eastAsia" w:ascii="仿宋" w:hAnsi="仿宋" w:eastAsia="仿宋" w:cs="仿宋"/>
                <w:sz w:val="24"/>
                <w:szCs w:val="24"/>
              </w:rPr>
              <w:t>w/m2</w:t>
            </w:r>
          </w:p>
        </w:tc>
      </w:tr>
      <w:tr w14:paraId="4487869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7585DCFC">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35</w:t>
            </w:r>
            <w:r>
              <w:rPr>
                <w:rFonts w:hint="eastAsia" w:ascii="仿宋" w:hAnsi="仿宋" w:eastAsia="仿宋" w:cs="仿宋"/>
                <w:sz w:val="24"/>
                <w:szCs w:val="24"/>
              </w:rPr>
              <w:t>m路幅</w:t>
            </w:r>
          </w:p>
        </w:tc>
        <w:tc>
          <w:tcPr>
            <w:tcW w:w="0" w:type="auto"/>
            <w:tcBorders>
              <w:top w:val="single" w:color="auto" w:sz="8" w:space="0"/>
              <w:left w:val="single" w:color="auto" w:sz="8" w:space="0"/>
              <w:bottom w:val="single" w:color="auto" w:sz="8" w:space="0"/>
              <w:right w:val="single" w:color="auto" w:sz="8" w:space="0"/>
            </w:tcBorders>
            <w:noWrap/>
            <w:vAlign w:val="center"/>
          </w:tcPr>
          <w:p w14:paraId="04815F67">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12</w:t>
            </w:r>
            <w:r>
              <w:rPr>
                <w:rFonts w:hint="eastAsia" w:ascii="仿宋" w:hAnsi="仿宋" w:eastAsia="仿宋" w:cs="仿宋"/>
                <w:sz w:val="24"/>
                <w:szCs w:val="24"/>
              </w:rPr>
              <w:t>m</w:t>
            </w:r>
          </w:p>
        </w:tc>
        <w:tc>
          <w:tcPr>
            <w:tcW w:w="0" w:type="auto"/>
            <w:tcBorders>
              <w:top w:val="single" w:color="auto" w:sz="8" w:space="0"/>
              <w:left w:val="single" w:color="auto" w:sz="8" w:space="0"/>
              <w:bottom w:val="single" w:color="auto" w:sz="8" w:space="0"/>
              <w:right w:val="single" w:color="auto" w:sz="8" w:space="0"/>
            </w:tcBorders>
            <w:noWrap/>
            <w:vAlign w:val="center"/>
          </w:tcPr>
          <w:p w14:paraId="0511D14C">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36</w:t>
            </w:r>
            <w:r>
              <w:rPr>
                <w:rFonts w:hint="eastAsia" w:ascii="仿宋" w:hAnsi="仿宋" w:eastAsia="仿宋" w:cs="仿宋"/>
                <w:sz w:val="24"/>
                <w:szCs w:val="24"/>
              </w:rPr>
              <w:t>m</w:t>
            </w:r>
          </w:p>
        </w:tc>
        <w:tc>
          <w:tcPr>
            <w:tcW w:w="0" w:type="auto"/>
            <w:tcBorders>
              <w:top w:val="single" w:color="auto" w:sz="8" w:space="0"/>
              <w:left w:val="single" w:color="auto" w:sz="8" w:space="0"/>
              <w:bottom w:val="single" w:color="auto" w:sz="8" w:space="0"/>
              <w:right w:val="single" w:color="auto" w:sz="8" w:space="0"/>
            </w:tcBorders>
            <w:noWrap/>
            <w:vAlign w:val="center"/>
          </w:tcPr>
          <w:p w14:paraId="46DC812E">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33.3</w:t>
            </w:r>
            <w:r>
              <w:rPr>
                <w:rFonts w:hint="eastAsia" w:ascii="仿宋" w:hAnsi="仿宋" w:eastAsia="仿宋" w:cs="仿宋"/>
                <w:sz w:val="24"/>
                <w:szCs w:val="24"/>
              </w:rPr>
              <w:t>lx</w:t>
            </w:r>
          </w:p>
        </w:tc>
        <w:tc>
          <w:tcPr>
            <w:tcW w:w="0" w:type="auto"/>
            <w:tcBorders>
              <w:top w:val="single" w:color="auto" w:sz="8" w:space="0"/>
              <w:left w:val="single" w:color="auto" w:sz="8" w:space="0"/>
              <w:bottom w:val="single" w:color="auto" w:sz="8" w:space="0"/>
              <w:right w:val="single" w:color="auto" w:sz="8" w:space="0"/>
            </w:tcBorders>
            <w:noWrap/>
            <w:vAlign w:val="center"/>
          </w:tcPr>
          <w:p w14:paraId="6102F907">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1.9</w:t>
            </w:r>
            <w:r>
              <w:rPr>
                <w:rFonts w:hint="eastAsia" w:ascii="仿宋" w:hAnsi="仿宋" w:eastAsia="仿宋" w:cs="仿宋"/>
                <w:sz w:val="24"/>
                <w:szCs w:val="24"/>
              </w:rPr>
              <w:t>cd/m2</w:t>
            </w:r>
          </w:p>
        </w:tc>
        <w:tc>
          <w:tcPr>
            <w:tcW w:w="0" w:type="auto"/>
            <w:tcBorders>
              <w:top w:val="single" w:color="auto" w:sz="8" w:space="0"/>
              <w:left w:val="single" w:color="auto" w:sz="8" w:space="0"/>
              <w:bottom w:val="single" w:color="auto" w:sz="8" w:space="0"/>
              <w:right w:val="single" w:color="auto" w:sz="8" w:space="0"/>
            </w:tcBorders>
            <w:noWrap/>
            <w:vAlign w:val="center"/>
          </w:tcPr>
          <w:p w14:paraId="1F82EFA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=0.43</w:t>
            </w:r>
          </w:p>
        </w:tc>
        <w:tc>
          <w:tcPr>
            <w:tcW w:w="0" w:type="auto"/>
            <w:tcBorders>
              <w:top w:val="single" w:color="auto" w:sz="8" w:space="0"/>
              <w:left w:val="single" w:color="auto" w:sz="8" w:space="0"/>
              <w:bottom w:val="single" w:color="auto" w:sz="8" w:space="0"/>
              <w:right w:val="single" w:color="auto" w:sz="8" w:space="0"/>
            </w:tcBorders>
            <w:noWrap/>
            <w:vAlign w:val="center"/>
          </w:tcPr>
          <w:p w14:paraId="2EE586B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9.6%</w:t>
            </w:r>
          </w:p>
        </w:tc>
        <w:tc>
          <w:tcPr>
            <w:tcW w:w="0" w:type="auto"/>
            <w:tcBorders>
              <w:top w:val="single" w:color="auto" w:sz="8" w:space="0"/>
              <w:left w:val="single" w:color="auto" w:sz="8" w:space="0"/>
              <w:bottom w:val="single" w:color="auto" w:sz="8" w:space="0"/>
              <w:right w:val="single" w:color="auto" w:sz="8" w:space="0"/>
            </w:tcBorders>
            <w:noWrap/>
            <w:vAlign w:val="center"/>
          </w:tcPr>
          <w:p w14:paraId="4ED7DE7F">
            <w:pPr>
              <w:spacing w:line="360" w:lineRule="auto"/>
              <w:jc w:val="center"/>
              <w:rPr>
                <w:rFonts w:hint="eastAsia" w:ascii="仿宋" w:hAnsi="仿宋" w:eastAsia="仿宋" w:cs="仿宋"/>
                <w:sz w:val="24"/>
                <w:szCs w:val="24"/>
              </w:rPr>
            </w:pPr>
            <w:r>
              <w:rPr>
                <w:rFonts w:hint="eastAsia" w:ascii="仿宋" w:hAnsi="仿宋" w:eastAsia="仿宋" w:cs="仿宋"/>
                <w:sz w:val="24"/>
                <w:szCs w:val="24"/>
                <w:lang w:val="en-US" w:eastAsia="zh-CN"/>
              </w:rPr>
              <w:t>0.69</w:t>
            </w:r>
            <w:r>
              <w:rPr>
                <w:rFonts w:hint="eastAsia" w:ascii="仿宋" w:hAnsi="仿宋" w:eastAsia="仿宋" w:cs="仿宋"/>
                <w:sz w:val="24"/>
                <w:szCs w:val="24"/>
              </w:rPr>
              <w:t>w/m2</w:t>
            </w:r>
          </w:p>
        </w:tc>
      </w:tr>
    </w:tbl>
    <w:p w14:paraId="5DCBACCE">
      <w:pPr>
        <w:ind w:firstLine="560" w:firstLineChars="200"/>
        <w:rPr>
          <w:rFonts w:hint="eastAsia" w:ascii="仿宋" w:hAnsi="仿宋" w:eastAsia="仿宋" w:cs="仿宋"/>
          <w:sz w:val="28"/>
          <w:szCs w:val="28"/>
        </w:rPr>
      </w:pPr>
      <w:r>
        <w:rPr>
          <w:rFonts w:hint="eastAsia" w:ascii="仿宋" w:hAnsi="仿宋" w:eastAsia="仿宋" w:cs="仿宋"/>
          <w:sz w:val="28"/>
          <w:szCs w:val="28"/>
        </w:rPr>
        <w:t>说明：本次设计所选灯具优良，相关技术参数能满足照度及均匀度要求，并且符合规范和导则要求。</w:t>
      </w:r>
    </w:p>
    <w:p w14:paraId="667A0456">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4、管线铺设</w:t>
      </w:r>
    </w:p>
    <w:p w14:paraId="6154DC87">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1）YJV（铜芯）-0.6/1kV-5*25型电力电缆电缆。照明干线在过路和分支处设电缆检查井,检查井盖采用球墨铸铁防盗井盖。沿人行道、绿化带敷设时，电缆穿CPVC110*4</w:t>
      </w:r>
      <w:r>
        <w:rPr>
          <w:rFonts w:hint="eastAsia" w:ascii="仿宋" w:hAnsi="仿宋" w:eastAsia="仿宋" w:cs="仿宋"/>
          <w:sz w:val="28"/>
          <w:szCs w:val="28"/>
        </w:rPr>
        <w:t>电缆套管</w:t>
      </w:r>
      <w:r>
        <w:rPr>
          <w:rFonts w:hint="eastAsia" w:ascii="仿宋" w:hAnsi="仿宋" w:eastAsia="仿宋" w:cs="仿宋"/>
          <w:sz w:val="28"/>
          <w:szCs w:val="28"/>
          <w:lang w:eastAsia="zh-CN"/>
        </w:rPr>
        <w:t>敷设</w:t>
      </w:r>
      <w:r>
        <w:rPr>
          <w:rFonts w:hint="eastAsia" w:ascii="仿宋" w:hAnsi="仿宋" w:eastAsia="仿宋" w:cs="仿宋"/>
          <w:sz w:val="28"/>
          <w:szCs w:val="28"/>
        </w:rPr>
        <w:t>，管壁厚度不低于</w:t>
      </w:r>
      <w:r>
        <w:rPr>
          <w:rFonts w:hint="eastAsia" w:ascii="仿宋" w:hAnsi="仿宋" w:eastAsia="仿宋" w:cs="仿宋"/>
          <w:sz w:val="28"/>
          <w:szCs w:val="28"/>
          <w:lang w:val="en-US" w:eastAsia="zh-CN"/>
        </w:rPr>
        <w:t>2.5</w:t>
      </w:r>
      <w:r>
        <w:rPr>
          <w:rFonts w:hint="eastAsia" w:ascii="仿宋" w:hAnsi="仿宋" w:eastAsia="仿宋" w:cs="仿宋"/>
          <w:sz w:val="28"/>
          <w:szCs w:val="28"/>
        </w:rPr>
        <w:t>mm，埋深为管顶距路面0.5m,；过道路交叉口及穿越机动车道时，电缆穿</w:t>
      </w:r>
      <w:r>
        <w:rPr>
          <w:rFonts w:hint="eastAsia" w:ascii="仿宋" w:hAnsi="仿宋" w:eastAsia="仿宋" w:cs="仿宋"/>
          <w:sz w:val="28"/>
          <w:szCs w:val="28"/>
          <w:lang w:val="en-US" w:eastAsia="zh-CN"/>
        </w:rPr>
        <w:t>CPVC110*4</w:t>
      </w:r>
      <w:r>
        <w:rPr>
          <w:rFonts w:hint="eastAsia" w:ascii="仿宋" w:hAnsi="仿宋" w:eastAsia="仿宋" w:cs="仿宋"/>
          <w:sz w:val="28"/>
          <w:szCs w:val="28"/>
        </w:rPr>
        <w:t>电缆套管外加混凝土包封，管壁厚度不低于4mm，埋深为管顶距路面0.7m。管线埋管时均采用管枕进行固定后再进行混凝土包封，确保其管线不受破坏。</w:t>
      </w:r>
    </w:p>
    <w:p w14:paraId="2B9A6172">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rPr>
        <w:t>配电线路各相回路交错接引灯具，三相负荷应尽量平衡。由接线井引至灯杆检修门的供电导线为</w:t>
      </w:r>
      <w:r>
        <w:rPr>
          <w:rFonts w:hint="eastAsia" w:ascii="仿宋" w:hAnsi="仿宋" w:eastAsia="仿宋" w:cs="仿宋"/>
          <w:sz w:val="28"/>
          <w:szCs w:val="28"/>
          <w:lang w:val="en-US" w:eastAsia="zh-CN"/>
        </w:rPr>
        <w:t>BVR3*2.5</w:t>
      </w:r>
      <w:r>
        <w:rPr>
          <w:rFonts w:hint="eastAsia" w:ascii="仿宋" w:hAnsi="仿宋" w:eastAsia="仿宋" w:cs="仿宋"/>
          <w:sz w:val="28"/>
          <w:szCs w:val="28"/>
        </w:rPr>
        <w:t>mm2，</w:t>
      </w:r>
      <w:r>
        <w:rPr>
          <w:rFonts w:hint="eastAsia" w:ascii="仿宋" w:hAnsi="仿宋" w:eastAsia="仿宋" w:cs="仿宋"/>
          <w:sz w:val="28"/>
          <w:szCs w:val="28"/>
          <w:lang w:eastAsia="zh-CN"/>
        </w:rPr>
        <w:t>路灯单独设置</w:t>
      </w:r>
      <w:r>
        <w:rPr>
          <w:rFonts w:hint="eastAsia" w:ascii="仿宋" w:hAnsi="仿宋" w:eastAsia="仿宋" w:cs="仿宋"/>
          <w:sz w:val="28"/>
          <w:szCs w:val="28"/>
          <w:lang w:val="en-US" w:eastAsia="zh-CN"/>
        </w:rPr>
        <w:t xml:space="preserve">6A </w:t>
      </w:r>
      <w:r>
        <w:rPr>
          <w:rFonts w:hint="eastAsia" w:ascii="仿宋" w:hAnsi="仿宋" w:eastAsia="仿宋" w:cs="仿宋"/>
          <w:sz w:val="28"/>
          <w:szCs w:val="28"/>
        </w:rPr>
        <w:t>30mA带漏电保护的</w:t>
      </w:r>
      <w:r>
        <w:rPr>
          <w:rFonts w:hint="eastAsia" w:ascii="仿宋" w:hAnsi="仿宋" w:eastAsia="仿宋" w:cs="仿宋"/>
          <w:sz w:val="28"/>
          <w:szCs w:val="28"/>
          <w:lang w:eastAsia="zh-CN"/>
        </w:rPr>
        <w:t>空气开关</w:t>
      </w:r>
      <w:r>
        <w:rPr>
          <w:rFonts w:hint="eastAsia" w:ascii="仿宋" w:hAnsi="仿宋" w:eastAsia="仿宋" w:cs="仿宋"/>
          <w:sz w:val="28"/>
          <w:szCs w:val="28"/>
        </w:rPr>
        <w:t>设置在灯杆底部接线盒或接线井内，应做好防水处理。</w:t>
      </w:r>
    </w:p>
    <w:p w14:paraId="002DE726">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rPr>
        <w:t>所有路灯位置、主管分支位置及线路交叉位置均设置接线井。路灯接线井按一灯一井设置，其接线井为</w:t>
      </w:r>
      <w:r>
        <w:rPr>
          <w:rFonts w:hint="eastAsia" w:ascii="仿宋" w:hAnsi="仿宋" w:eastAsia="仿宋" w:cs="仿宋"/>
          <w:sz w:val="28"/>
          <w:szCs w:val="28"/>
          <w:lang w:val="en-US" w:eastAsia="zh-CN"/>
        </w:rPr>
        <w:t>4</w:t>
      </w:r>
      <w:r>
        <w:rPr>
          <w:rFonts w:hint="eastAsia" w:ascii="仿宋" w:hAnsi="仿宋" w:eastAsia="仿宋" w:cs="仿宋"/>
          <w:sz w:val="28"/>
          <w:szCs w:val="28"/>
        </w:rPr>
        <w:t xml:space="preserve">00 x </w:t>
      </w:r>
      <w:r>
        <w:rPr>
          <w:rFonts w:hint="eastAsia" w:ascii="仿宋" w:hAnsi="仿宋" w:eastAsia="仿宋" w:cs="仿宋"/>
          <w:sz w:val="28"/>
          <w:szCs w:val="28"/>
          <w:lang w:val="en-US" w:eastAsia="zh-CN"/>
        </w:rPr>
        <w:t>6</w:t>
      </w:r>
      <w:r>
        <w:rPr>
          <w:rFonts w:hint="eastAsia" w:ascii="仿宋" w:hAnsi="仿宋" w:eastAsia="仿宋" w:cs="仿宋"/>
          <w:sz w:val="28"/>
          <w:szCs w:val="28"/>
        </w:rPr>
        <w:t>00mm。接线井应设置防盗设施，防止路灯管线被偷盗。人行道范围内地井盖设施不宜设置在盲道、缘石坡等无障碍设施范围内，对影响盲道设施的井盖应采用隐形井盖上覆盲道板形式敷设，且井盖应以球墨铸铁作为基本构件材质。</w:t>
      </w:r>
    </w:p>
    <w:p w14:paraId="26D41E7B">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rPr>
        <w:t>无障碍通道上有井盖、箅子时，井盖、箅子孔洞的宽度或直径不应大于13mm，条状孔洞应垂直于通行方向。</w:t>
      </w:r>
    </w:p>
    <w:p w14:paraId="59363CB6">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rPr>
        <w:t>电缆保护管内壁应光滑无毛刺，且应满足机械强度和耐久性要求。地埋保护管应满足埋管大样图埋深下的抗压和耐环境腐蚀性的要求。排管应置于整平夺实土层且有足以保持连续平直的垫块上，纵向排水坡度不宜小于0.2%。管路纵向连接处的弯曲度应符合牵引电缆时不致损伤的要求。管孔端口应采取防止损伤电缆的处理措施。其他应应满足《电力工程电缆设计标准》GB50217-2018第5章相关要求。</w:t>
      </w:r>
    </w:p>
    <w:p w14:paraId="2732A219">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rPr>
        <w:t>本工程全路段均预埋交控设备、指路牌及公交站等设施用管线，除交叉路口外其管线与路灯管线同沟敷设。其分支管供电均引自邻近路灯井。</w:t>
      </w:r>
    </w:p>
    <w:p w14:paraId="6262A01E">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5、防雷接地</w:t>
      </w:r>
    </w:p>
    <w:p w14:paraId="5ACE9649">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rPr>
        <w:t>防雷：常规路灯利用路灯金属杆作防雷接闪器。</w:t>
      </w:r>
    </w:p>
    <w:p w14:paraId="51787ABC">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rPr>
        <w:t>安全接地：道路照明配电系统的接地型式采用TN-S接地系统，防雷接地与保护接地共用接地系统，接地干线从路灯电源点引出，金属灯杆及构件、灯具外壳、配电及控制箱（屏）、公交站及雨棚或金属构件等设备的外露可导电部分均应与接地干线可靠连接，接地干线与路灯基础接地极可靠连接，路灯每隔300米设置集中接地极，接地电阻≤4Ω。如实测电阻值不能满足要求，应补打人工接地极。TN-S系统应满足《城市道路照明工程施工及验收规程》CJJ89-2012第 7.2.3和7.2.6的要求。</w:t>
      </w:r>
    </w:p>
    <w:p w14:paraId="32D8CC19">
      <w:pPr>
        <w:ind w:firstLine="560" w:firstLineChars="200"/>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rPr>
        <w:t>路灯箱变、路灯地柜及设有信息设备的杆体设备仓或控制箱均应设置电涌保护器（SPD）。</w:t>
      </w:r>
    </w:p>
    <w:p w14:paraId="26A94CF6">
      <w:pPr>
        <w:spacing w:line="360" w:lineRule="auto"/>
        <w:ind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6、其他</w:t>
      </w:r>
    </w:p>
    <w:p w14:paraId="3310C104">
      <w:pPr>
        <w:ind w:firstLine="560" w:firstLineChars="200"/>
        <w:rPr>
          <w:rFonts w:hint="eastAsia" w:ascii="仿宋" w:hAnsi="仿宋" w:eastAsia="仿宋" w:cs="仿宋"/>
          <w:sz w:val="28"/>
          <w:szCs w:val="28"/>
        </w:rPr>
      </w:pPr>
      <w:r>
        <w:rPr>
          <w:rFonts w:hint="eastAsia" w:ascii="仿宋" w:hAnsi="仿宋" w:eastAsia="仿宋" w:cs="仿宋"/>
          <w:sz w:val="28"/>
          <w:szCs w:val="28"/>
        </w:rPr>
        <w:t>凡与施工有关而又未说明之处，参见国家、地方标准图集施工，或与设计院协商解决。</w:t>
      </w:r>
    </w:p>
    <w:p w14:paraId="6658772F">
      <w:pPr>
        <w:spacing w:line="360" w:lineRule="auto"/>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5.3.2强弱电管道工程设计</w:t>
      </w:r>
    </w:p>
    <w:p w14:paraId="34FF8877">
      <w:pPr>
        <w:spacing w:line="360" w:lineRule="auto"/>
        <w:ind w:firstLine="562" w:firstLineChars="200"/>
        <w:rPr>
          <w:rFonts w:hint="eastAsia" w:ascii="仿宋" w:hAnsi="仿宋" w:eastAsia="仿宋" w:cs="仿宋"/>
          <w:b/>
          <w:bCs/>
          <w:sz w:val="28"/>
          <w:szCs w:val="28"/>
          <w:lang w:eastAsia="zh-CN"/>
        </w:rPr>
      </w:pPr>
      <w:r>
        <w:rPr>
          <w:rFonts w:hint="eastAsia" w:ascii="仿宋" w:hAnsi="仿宋" w:eastAsia="仿宋" w:cs="仿宋"/>
          <w:b/>
          <w:bCs/>
          <w:sz w:val="28"/>
          <w:szCs w:val="28"/>
          <w:lang w:val="en-US" w:eastAsia="zh-CN"/>
        </w:rPr>
        <w:t>1.</w:t>
      </w:r>
      <w:r>
        <w:rPr>
          <w:rFonts w:hint="eastAsia" w:ascii="仿宋" w:hAnsi="仿宋" w:eastAsia="仿宋" w:cs="仿宋"/>
          <w:b/>
          <w:bCs/>
          <w:sz w:val="28"/>
          <w:szCs w:val="28"/>
          <w:lang w:eastAsia="zh-CN"/>
        </w:rPr>
        <w:t>通信管网</w:t>
      </w:r>
    </w:p>
    <w:p w14:paraId="6EA6839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1、根据规划，</w:t>
      </w:r>
      <w:r>
        <w:rPr>
          <w:rFonts w:hint="eastAsia" w:ascii="仿宋" w:hAnsi="仿宋" w:eastAsia="仿宋" w:cs="仿宋"/>
          <w:sz w:val="28"/>
          <w:szCs w:val="28"/>
          <w:lang w:val="en-US" w:eastAsia="zh-CN"/>
        </w:rPr>
        <w:t>上下江陵路</w:t>
      </w:r>
      <w:r>
        <w:rPr>
          <w:rFonts w:hint="eastAsia" w:ascii="仿宋" w:hAnsi="仿宋" w:eastAsia="仿宋" w:cs="仿宋"/>
          <w:sz w:val="28"/>
          <w:szCs w:val="28"/>
        </w:rPr>
        <w:t>结合道路专业提供的条件和要求，在道路</w:t>
      </w:r>
      <w:r>
        <w:rPr>
          <w:rFonts w:hint="eastAsia" w:ascii="仿宋" w:hAnsi="仿宋" w:eastAsia="仿宋" w:cs="仿宋"/>
          <w:sz w:val="28"/>
          <w:szCs w:val="28"/>
          <w:lang w:eastAsia="zh-CN"/>
        </w:rPr>
        <w:t>北</w:t>
      </w:r>
      <w:r>
        <w:rPr>
          <w:rFonts w:hint="eastAsia" w:ascii="仿宋" w:hAnsi="仿宋" w:eastAsia="仿宋" w:cs="仿宋"/>
          <w:sz w:val="28"/>
          <w:szCs w:val="28"/>
        </w:rPr>
        <w:t>侧人行道下预埋</w:t>
      </w: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3</w:t>
      </w:r>
      <w:r>
        <w:rPr>
          <w:rFonts w:hint="eastAsia" w:ascii="仿宋" w:hAnsi="仿宋" w:eastAsia="仿宋" w:cs="仿宋"/>
          <w:sz w:val="28"/>
          <w:szCs w:val="28"/>
        </w:rPr>
        <w:t>型</w:t>
      </w:r>
      <w:r>
        <w:rPr>
          <w:rFonts w:hint="eastAsia" w:ascii="仿宋" w:hAnsi="仿宋" w:eastAsia="仿宋" w:cs="仿宋"/>
          <w:sz w:val="28"/>
          <w:szCs w:val="28"/>
          <w:lang w:val="en-US" w:eastAsia="zh-CN"/>
        </w:rPr>
        <w:t>C</w:t>
      </w:r>
      <w:r>
        <w:rPr>
          <w:rFonts w:hint="eastAsia" w:ascii="仿宋" w:hAnsi="仿宋" w:eastAsia="仿宋" w:cs="仿宋"/>
          <w:sz w:val="28"/>
          <w:szCs w:val="28"/>
        </w:rPr>
        <w:t>PVCΦ110*</w:t>
      </w: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0</w:t>
      </w:r>
      <w:r>
        <w:rPr>
          <w:rFonts w:hint="eastAsia" w:ascii="仿宋" w:hAnsi="仿宋" w:eastAsia="仿宋" w:cs="仿宋"/>
          <w:sz w:val="28"/>
          <w:szCs w:val="28"/>
        </w:rPr>
        <w:t>mm排管</w:t>
      </w:r>
      <w:r>
        <w:rPr>
          <w:rFonts w:hint="eastAsia" w:ascii="仿宋" w:hAnsi="仿宋" w:eastAsia="仿宋" w:cs="仿宋"/>
          <w:sz w:val="28"/>
          <w:szCs w:val="28"/>
          <w:lang w:val="en-US" w:eastAsia="zh-CN"/>
        </w:rPr>
        <w:t>（市政光纤引入(48芯光纤)）</w:t>
      </w:r>
      <w:r>
        <w:rPr>
          <w:rFonts w:hint="eastAsia" w:ascii="仿宋" w:hAnsi="仿宋" w:eastAsia="仿宋" w:cs="仿宋"/>
          <w:sz w:val="28"/>
          <w:szCs w:val="28"/>
        </w:rPr>
        <w:t>。在车行道下（即交叉口或横路处）预埋</w:t>
      </w: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3</w:t>
      </w:r>
      <w:r>
        <w:rPr>
          <w:rFonts w:hint="eastAsia" w:ascii="仿宋" w:hAnsi="仿宋" w:eastAsia="仿宋" w:cs="仿宋"/>
          <w:sz w:val="28"/>
          <w:szCs w:val="28"/>
        </w:rPr>
        <w:t>型</w:t>
      </w:r>
      <w:r>
        <w:rPr>
          <w:rFonts w:hint="eastAsia" w:ascii="仿宋" w:hAnsi="仿宋" w:eastAsia="仿宋" w:cs="仿宋"/>
          <w:sz w:val="28"/>
          <w:szCs w:val="28"/>
          <w:lang w:val="en-US" w:eastAsia="zh-CN"/>
        </w:rPr>
        <w:t>C</w:t>
      </w:r>
      <w:r>
        <w:rPr>
          <w:rFonts w:hint="eastAsia" w:ascii="仿宋" w:hAnsi="仿宋" w:eastAsia="仿宋" w:cs="仿宋"/>
          <w:sz w:val="28"/>
          <w:szCs w:val="28"/>
        </w:rPr>
        <w:t>PVC Φ110*</w:t>
      </w: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0</w:t>
      </w:r>
      <w:r>
        <w:rPr>
          <w:rFonts w:hint="eastAsia" w:ascii="仿宋" w:hAnsi="仿宋" w:eastAsia="仿宋" w:cs="仿宋"/>
          <w:sz w:val="28"/>
          <w:szCs w:val="28"/>
        </w:rPr>
        <w:t>mm通信排管，采用C20混凝土包封。</w:t>
      </w:r>
      <w:r>
        <w:rPr>
          <w:rFonts w:hint="eastAsia" w:ascii="仿宋" w:hAnsi="仿宋" w:eastAsia="仿宋" w:cs="仿宋"/>
          <w:sz w:val="28"/>
          <w:szCs w:val="28"/>
          <w:lang w:val="en-US" w:eastAsia="zh-CN"/>
        </w:rPr>
        <w:t>桂花园路</w:t>
      </w:r>
      <w:r>
        <w:rPr>
          <w:rFonts w:hint="eastAsia" w:ascii="仿宋" w:hAnsi="仿宋" w:eastAsia="仿宋" w:cs="仿宋"/>
          <w:sz w:val="28"/>
          <w:szCs w:val="28"/>
        </w:rPr>
        <w:t>根据规划，结合道路专业提供的条件和要求，在道路</w:t>
      </w:r>
      <w:r>
        <w:rPr>
          <w:rFonts w:hint="eastAsia" w:ascii="仿宋" w:hAnsi="仿宋" w:eastAsia="仿宋" w:cs="仿宋"/>
          <w:sz w:val="28"/>
          <w:szCs w:val="28"/>
          <w:lang w:eastAsia="zh-CN"/>
        </w:rPr>
        <w:t>东</w:t>
      </w:r>
      <w:r>
        <w:rPr>
          <w:rFonts w:hint="eastAsia" w:ascii="仿宋" w:hAnsi="仿宋" w:eastAsia="仿宋" w:cs="仿宋"/>
          <w:sz w:val="28"/>
          <w:szCs w:val="28"/>
        </w:rPr>
        <w:t>侧人行道下预埋</w:t>
      </w: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3</w:t>
      </w:r>
      <w:r>
        <w:rPr>
          <w:rFonts w:hint="eastAsia" w:ascii="仿宋" w:hAnsi="仿宋" w:eastAsia="仿宋" w:cs="仿宋"/>
          <w:sz w:val="28"/>
          <w:szCs w:val="28"/>
        </w:rPr>
        <w:t>型</w:t>
      </w:r>
      <w:r>
        <w:rPr>
          <w:rFonts w:hint="eastAsia" w:ascii="仿宋" w:hAnsi="仿宋" w:eastAsia="仿宋" w:cs="仿宋"/>
          <w:sz w:val="28"/>
          <w:szCs w:val="28"/>
          <w:lang w:val="en-US" w:eastAsia="zh-CN"/>
        </w:rPr>
        <w:t>C</w:t>
      </w:r>
      <w:r>
        <w:rPr>
          <w:rFonts w:hint="eastAsia" w:ascii="仿宋" w:hAnsi="仿宋" w:eastAsia="仿宋" w:cs="仿宋"/>
          <w:sz w:val="28"/>
          <w:szCs w:val="28"/>
        </w:rPr>
        <w:t>PVCΦ110*</w:t>
      </w: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0</w:t>
      </w:r>
      <w:r>
        <w:rPr>
          <w:rFonts w:hint="eastAsia" w:ascii="仿宋" w:hAnsi="仿宋" w:eastAsia="仿宋" w:cs="仿宋"/>
          <w:sz w:val="28"/>
          <w:szCs w:val="28"/>
        </w:rPr>
        <w:t>mm排管</w:t>
      </w:r>
      <w:r>
        <w:rPr>
          <w:rFonts w:hint="eastAsia" w:ascii="仿宋" w:hAnsi="仿宋" w:eastAsia="仿宋" w:cs="仿宋"/>
          <w:sz w:val="28"/>
          <w:szCs w:val="28"/>
          <w:lang w:val="en-US" w:eastAsia="zh-CN"/>
        </w:rPr>
        <w:t>（市政光纤引入(48芯光纤)）</w:t>
      </w:r>
      <w:r>
        <w:rPr>
          <w:rFonts w:hint="eastAsia" w:ascii="仿宋" w:hAnsi="仿宋" w:eastAsia="仿宋" w:cs="仿宋"/>
          <w:sz w:val="28"/>
          <w:szCs w:val="28"/>
        </w:rPr>
        <w:t>。在车行道下（即交叉口或横路处）预埋</w:t>
      </w: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3</w:t>
      </w:r>
      <w:r>
        <w:rPr>
          <w:rFonts w:hint="eastAsia" w:ascii="仿宋" w:hAnsi="仿宋" w:eastAsia="仿宋" w:cs="仿宋"/>
          <w:sz w:val="28"/>
          <w:szCs w:val="28"/>
        </w:rPr>
        <w:t>型</w:t>
      </w:r>
      <w:r>
        <w:rPr>
          <w:rFonts w:hint="eastAsia" w:ascii="仿宋" w:hAnsi="仿宋" w:eastAsia="仿宋" w:cs="仿宋"/>
          <w:sz w:val="28"/>
          <w:szCs w:val="28"/>
          <w:lang w:val="en-US" w:eastAsia="zh-CN"/>
        </w:rPr>
        <w:t>C</w:t>
      </w:r>
      <w:r>
        <w:rPr>
          <w:rFonts w:hint="eastAsia" w:ascii="仿宋" w:hAnsi="仿宋" w:eastAsia="仿宋" w:cs="仿宋"/>
          <w:sz w:val="28"/>
          <w:szCs w:val="28"/>
        </w:rPr>
        <w:t>PVC Φ110*</w:t>
      </w:r>
      <w:r>
        <w:rPr>
          <w:rFonts w:hint="eastAsia" w:ascii="仿宋" w:hAnsi="仿宋" w:eastAsia="仿宋" w:cs="仿宋"/>
          <w:sz w:val="28"/>
          <w:szCs w:val="28"/>
          <w:lang w:val="en-US" w:eastAsia="zh-CN"/>
        </w:rPr>
        <w:t>4</w:t>
      </w:r>
      <w:r>
        <w:rPr>
          <w:rFonts w:hint="eastAsia" w:ascii="仿宋" w:hAnsi="仿宋" w:eastAsia="仿宋" w:cs="仿宋"/>
          <w:sz w:val="28"/>
          <w:szCs w:val="28"/>
        </w:rPr>
        <w:t>.</w:t>
      </w:r>
      <w:r>
        <w:rPr>
          <w:rFonts w:hint="eastAsia" w:ascii="仿宋" w:hAnsi="仿宋" w:eastAsia="仿宋" w:cs="仿宋"/>
          <w:sz w:val="28"/>
          <w:szCs w:val="28"/>
          <w:lang w:val="en-US" w:eastAsia="zh-CN"/>
        </w:rPr>
        <w:t>0</w:t>
      </w:r>
      <w:r>
        <w:rPr>
          <w:rFonts w:hint="eastAsia" w:ascii="仿宋" w:hAnsi="仿宋" w:eastAsia="仿宋" w:cs="仿宋"/>
          <w:sz w:val="28"/>
          <w:szCs w:val="28"/>
        </w:rPr>
        <w:t>mm通信排管，采用C20混凝土包封。</w:t>
      </w:r>
    </w:p>
    <w:p w14:paraId="29570A9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2、人行道下通信排管管埋深不小于0.7m，车行道下通信排管埋深不小于0.</w:t>
      </w:r>
      <w:r>
        <w:rPr>
          <w:rFonts w:hint="eastAsia" w:ascii="仿宋" w:hAnsi="仿宋" w:eastAsia="仿宋" w:cs="仿宋"/>
          <w:sz w:val="28"/>
          <w:szCs w:val="28"/>
          <w:lang w:val="en-US" w:eastAsia="zh-CN"/>
        </w:rPr>
        <w:t>7</w:t>
      </w:r>
      <w:r>
        <w:rPr>
          <w:rFonts w:hint="eastAsia" w:ascii="仿宋" w:hAnsi="仿宋" w:eastAsia="仿宋" w:cs="仿宋"/>
          <w:sz w:val="28"/>
          <w:szCs w:val="28"/>
        </w:rPr>
        <w:t>m，电缆保护管底部垫层要求厚度不小于</w:t>
      </w:r>
      <w:r>
        <w:rPr>
          <w:rFonts w:hint="eastAsia" w:ascii="仿宋" w:hAnsi="仿宋" w:eastAsia="仿宋" w:cs="仿宋"/>
          <w:sz w:val="28"/>
          <w:szCs w:val="28"/>
          <w:lang w:val="en-US" w:eastAsia="zh-CN"/>
        </w:rPr>
        <w:t>1</w:t>
      </w:r>
      <w:r>
        <w:rPr>
          <w:rFonts w:hint="eastAsia" w:ascii="仿宋" w:hAnsi="仿宋" w:eastAsia="仿宋" w:cs="仿宋"/>
          <w:sz w:val="28"/>
          <w:szCs w:val="28"/>
        </w:rPr>
        <w:t>00mm。每隔80m</w:t>
      </w:r>
      <w:r>
        <w:rPr>
          <w:rFonts w:hint="eastAsia" w:ascii="仿宋" w:hAnsi="仿宋" w:eastAsia="仿宋" w:cs="仿宋"/>
          <w:sz w:val="28"/>
          <w:szCs w:val="28"/>
          <w:lang w:val="en-US" w:eastAsia="zh-CN"/>
        </w:rPr>
        <w:t>-100m</w:t>
      </w:r>
      <w:r>
        <w:rPr>
          <w:rFonts w:hint="eastAsia" w:ascii="仿宋" w:hAnsi="仿宋" w:eastAsia="仿宋" w:cs="仿宋"/>
          <w:sz w:val="28"/>
          <w:szCs w:val="28"/>
        </w:rPr>
        <w:t>设置一个通信</w:t>
      </w:r>
      <w:r>
        <w:rPr>
          <w:rFonts w:hint="eastAsia" w:ascii="仿宋" w:hAnsi="仿宋" w:eastAsia="仿宋" w:cs="仿宋"/>
          <w:sz w:val="28"/>
          <w:szCs w:val="28"/>
          <w:lang w:eastAsia="zh-CN"/>
        </w:rPr>
        <w:t>手</w:t>
      </w:r>
      <w:r>
        <w:rPr>
          <w:rFonts w:hint="eastAsia" w:ascii="仿宋" w:hAnsi="仿宋" w:eastAsia="仿宋" w:cs="仿宋"/>
          <w:sz w:val="28"/>
          <w:szCs w:val="28"/>
        </w:rPr>
        <w:t>孔井，每隔160米左右预留一组过街管道</w:t>
      </w:r>
      <w:r>
        <w:rPr>
          <w:rFonts w:hint="eastAsia" w:ascii="仿宋" w:hAnsi="仿宋" w:eastAsia="仿宋" w:cs="仿宋"/>
          <w:sz w:val="28"/>
          <w:szCs w:val="28"/>
          <w:lang w:val="en-US" w:eastAsia="zh-CN"/>
        </w:rPr>
        <w:t>2</w:t>
      </w:r>
      <w:r>
        <w:rPr>
          <w:rFonts w:hint="eastAsia" w:ascii="仿宋" w:hAnsi="仿宋" w:eastAsia="仿宋" w:cs="仿宋"/>
          <w:sz w:val="28"/>
          <w:szCs w:val="28"/>
        </w:rPr>
        <w:t>*</w:t>
      </w:r>
      <w:r>
        <w:rPr>
          <w:rFonts w:hint="eastAsia" w:ascii="仿宋" w:hAnsi="仿宋" w:eastAsia="仿宋" w:cs="仿宋"/>
          <w:sz w:val="28"/>
          <w:szCs w:val="28"/>
          <w:lang w:val="en-US" w:eastAsia="zh-CN"/>
        </w:rPr>
        <w:t>3</w:t>
      </w:r>
      <w:r>
        <w:rPr>
          <w:rFonts w:hint="eastAsia" w:ascii="仿宋" w:hAnsi="仿宋" w:eastAsia="仿宋" w:cs="仿宋"/>
          <w:sz w:val="28"/>
          <w:szCs w:val="28"/>
        </w:rPr>
        <w:t>型及通</w:t>
      </w:r>
      <w:r>
        <w:rPr>
          <w:rFonts w:hint="eastAsia" w:ascii="仿宋" w:hAnsi="仿宋" w:eastAsia="仿宋" w:cs="仿宋"/>
          <w:sz w:val="28"/>
          <w:szCs w:val="28"/>
          <w:lang w:eastAsia="zh-CN"/>
        </w:rPr>
        <w:t>信手</w:t>
      </w:r>
      <w:r>
        <w:rPr>
          <w:rFonts w:hint="eastAsia" w:ascii="仿宋" w:hAnsi="仿宋" w:eastAsia="仿宋" w:cs="仿宋"/>
          <w:sz w:val="28"/>
          <w:szCs w:val="28"/>
        </w:rPr>
        <w:t>孔井(过街管道尽量结合道路的实际开挖情况处理)。具体布置详见平面图。</w:t>
      </w:r>
    </w:p>
    <w:p w14:paraId="1C7EFBE9">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3、进入</w:t>
      </w:r>
      <w:r>
        <w:rPr>
          <w:rFonts w:hint="eastAsia" w:ascii="仿宋" w:hAnsi="仿宋" w:eastAsia="仿宋" w:cs="仿宋"/>
          <w:sz w:val="28"/>
          <w:szCs w:val="28"/>
          <w:lang w:eastAsia="zh-CN"/>
        </w:rPr>
        <w:t>手</w:t>
      </w:r>
      <w:r>
        <w:rPr>
          <w:rFonts w:hint="eastAsia" w:ascii="仿宋" w:hAnsi="仿宋" w:eastAsia="仿宋" w:cs="仿宋"/>
          <w:sz w:val="28"/>
          <w:szCs w:val="28"/>
        </w:rPr>
        <w:t>孔处的管道基础顶部距</w:t>
      </w:r>
      <w:r>
        <w:rPr>
          <w:rFonts w:hint="eastAsia" w:ascii="仿宋" w:hAnsi="仿宋" w:eastAsia="仿宋" w:cs="仿宋"/>
          <w:sz w:val="28"/>
          <w:szCs w:val="28"/>
          <w:lang w:eastAsia="zh-CN"/>
        </w:rPr>
        <w:t>手</w:t>
      </w:r>
      <w:r>
        <w:rPr>
          <w:rFonts w:hint="eastAsia" w:ascii="仿宋" w:hAnsi="仿宋" w:eastAsia="仿宋" w:cs="仿宋"/>
          <w:sz w:val="28"/>
          <w:szCs w:val="28"/>
        </w:rPr>
        <w:t>孔基础顶部不小于0.4m，管道顶部距</w:t>
      </w:r>
      <w:r>
        <w:rPr>
          <w:rFonts w:hint="eastAsia" w:ascii="仿宋" w:hAnsi="仿宋" w:eastAsia="仿宋" w:cs="仿宋"/>
          <w:sz w:val="28"/>
          <w:szCs w:val="28"/>
          <w:lang w:eastAsia="zh-CN"/>
        </w:rPr>
        <w:t>手</w:t>
      </w:r>
      <w:r>
        <w:rPr>
          <w:rFonts w:hint="eastAsia" w:ascii="仿宋" w:hAnsi="仿宋" w:eastAsia="仿宋" w:cs="仿宋"/>
          <w:sz w:val="28"/>
          <w:szCs w:val="28"/>
        </w:rPr>
        <w:t>孔上覆板底部不小于0.3m。</w:t>
      </w:r>
    </w:p>
    <w:p w14:paraId="7474F16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4</w:t>
      </w:r>
      <w:r>
        <w:rPr>
          <w:rFonts w:hint="eastAsia" w:ascii="仿宋" w:hAnsi="仿宋" w:eastAsia="仿宋" w:cs="仿宋"/>
          <w:sz w:val="28"/>
          <w:szCs w:val="28"/>
        </w:rPr>
        <w:t>、为防沟内积水，电缆沟底排水坡度不小于0.5%，并且在电缆井底部用</w:t>
      </w:r>
      <w:r>
        <w:rPr>
          <w:rFonts w:hint="eastAsia" w:ascii="仿宋" w:hAnsi="仿宋" w:eastAsia="仿宋" w:cs="仿宋"/>
          <w:sz w:val="28"/>
          <w:szCs w:val="28"/>
          <w:lang w:val="en-US" w:eastAsia="zh-CN"/>
        </w:rPr>
        <w:t>U</w:t>
      </w:r>
      <w:r>
        <w:rPr>
          <w:rFonts w:hint="eastAsia" w:ascii="仿宋" w:hAnsi="仿宋" w:eastAsia="仿宋" w:cs="仿宋"/>
          <w:sz w:val="28"/>
          <w:szCs w:val="28"/>
        </w:rPr>
        <w:t>PVCφ</w:t>
      </w:r>
      <w:r>
        <w:rPr>
          <w:rFonts w:hint="eastAsia" w:ascii="仿宋" w:hAnsi="仿宋" w:eastAsia="仿宋" w:cs="仿宋"/>
          <w:sz w:val="28"/>
          <w:szCs w:val="28"/>
          <w:lang w:val="en-US" w:eastAsia="zh-CN"/>
        </w:rPr>
        <w:t>11</w:t>
      </w:r>
      <w:r>
        <w:rPr>
          <w:rFonts w:hint="eastAsia" w:ascii="仿宋" w:hAnsi="仿宋" w:eastAsia="仿宋" w:cs="仿宋"/>
          <w:sz w:val="28"/>
          <w:szCs w:val="28"/>
        </w:rPr>
        <w:t>0排水管接至管沟或雨水井中。</w:t>
      </w:r>
    </w:p>
    <w:p w14:paraId="785A85E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5</w:t>
      </w:r>
      <w:r>
        <w:rPr>
          <w:rFonts w:hint="eastAsia" w:ascii="仿宋" w:hAnsi="仿宋" w:eastAsia="仿宋" w:cs="仿宋"/>
          <w:sz w:val="28"/>
          <w:szCs w:val="28"/>
        </w:rPr>
        <w:t>、附表：</w:t>
      </w:r>
    </w:p>
    <w:p w14:paraId="592CA680">
      <w:pPr>
        <w:spacing w:line="360" w:lineRule="auto"/>
        <w:ind w:firstLine="560" w:firstLineChars="200"/>
        <w:jc w:val="center"/>
        <w:rPr>
          <w:rFonts w:hint="eastAsia" w:ascii="仿宋" w:hAnsi="仿宋" w:eastAsia="仿宋" w:cs="仿宋"/>
          <w:sz w:val="28"/>
          <w:szCs w:val="28"/>
        </w:rPr>
      </w:pPr>
      <w:r>
        <w:rPr>
          <w:rFonts w:hint="eastAsia" w:ascii="仿宋" w:hAnsi="仿宋" w:eastAsia="仿宋" w:cs="仿宋"/>
          <w:sz w:val="28"/>
          <w:szCs w:val="28"/>
        </w:rPr>
        <w:t>通信管道和其他地下管线及建筑物间的最小净度表</w:t>
      </w:r>
    </w:p>
    <w:tbl>
      <w:tblPr>
        <w:tblStyle w:val="23"/>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065"/>
        <w:gridCol w:w="3129"/>
        <w:gridCol w:w="2303"/>
        <w:gridCol w:w="2301"/>
      </w:tblGrid>
      <w:tr w14:paraId="292C6A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20705E2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其他地下管线及建筑物名称</w:t>
            </w:r>
          </w:p>
        </w:tc>
        <w:tc>
          <w:tcPr>
            <w:tcW w:w="2303" w:type="dxa"/>
            <w:noWrap w:val="0"/>
            <w:vAlign w:val="center"/>
          </w:tcPr>
          <w:p w14:paraId="29907DD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平行净距（m）</w:t>
            </w:r>
          </w:p>
        </w:tc>
        <w:tc>
          <w:tcPr>
            <w:tcW w:w="2301" w:type="dxa"/>
            <w:noWrap w:val="0"/>
            <w:vAlign w:val="center"/>
          </w:tcPr>
          <w:p w14:paraId="1328E54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交叉净距（m）</w:t>
            </w:r>
          </w:p>
        </w:tc>
      </w:tr>
      <w:tr w14:paraId="15113DB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3" w:hRule="atLeast"/>
        </w:trPr>
        <w:tc>
          <w:tcPr>
            <w:tcW w:w="2065" w:type="dxa"/>
            <w:vMerge w:val="restart"/>
            <w:noWrap w:val="0"/>
            <w:vAlign w:val="center"/>
          </w:tcPr>
          <w:p w14:paraId="430A472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给水管</w:t>
            </w:r>
          </w:p>
        </w:tc>
        <w:tc>
          <w:tcPr>
            <w:tcW w:w="3129" w:type="dxa"/>
            <w:noWrap w:val="0"/>
            <w:vAlign w:val="center"/>
          </w:tcPr>
          <w:p w14:paraId="6706FE2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300mm以下</w:t>
            </w:r>
          </w:p>
        </w:tc>
        <w:tc>
          <w:tcPr>
            <w:tcW w:w="2303" w:type="dxa"/>
            <w:noWrap w:val="0"/>
            <w:vAlign w:val="center"/>
          </w:tcPr>
          <w:p w14:paraId="04F352C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Merge w:val="restart"/>
            <w:noWrap w:val="0"/>
            <w:vAlign w:val="center"/>
          </w:tcPr>
          <w:p w14:paraId="1DECC2B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0.15</w:t>
            </w:r>
          </w:p>
        </w:tc>
      </w:tr>
      <w:tr w14:paraId="28131B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2" w:hRule="atLeast"/>
        </w:trPr>
        <w:tc>
          <w:tcPr>
            <w:tcW w:w="2065" w:type="dxa"/>
            <w:vMerge w:val="continue"/>
            <w:noWrap w:val="0"/>
            <w:vAlign w:val="center"/>
          </w:tcPr>
          <w:p w14:paraId="0A43FDB9">
            <w:pPr>
              <w:spacing w:line="360" w:lineRule="auto"/>
              <w:jc w:val="center"/>
              <w:rPr>
                <w:rFonts w:hint="eastAsia" w:ascii="仿宋" w:hAnsi="仿宋" w:eastAsia="仿宋" w:cs="仿宋"/>
                <w:sz w:val="28"/>
                <w:szCs w:val="28"/>
              </w:rPr>
            </w:pPr>
          </w:p>
        </w:tc>
        <w:tc>
          <w:tcPr>
            <w:tcW w:w="3129" w:type="dxa"/>
            <w:noWrap w:val="0"/>
            <w:vAlign w:val="center"/>
          </w:tcPr>
          <w:p w14:paraId="4B7E6A7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300-500mm</w:t>
            </w:r>
          </w:p>
        </w:tc>
        <w:tc>
          <w:tcPr>
            <w:tcW w:w="2303" w:type="dxa"/>
            <w:noWrap w:val="0"/>
            <w:vAlign w:val="center"/>
          </w:tcPr>
          <w:p w14:paraId="324E9EE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Merge w:val="continue"/>
            <w:noWrap w:val="0"/>
            <w:vAlign w:val="center"/>
          </w:tcPr>
          <w:p w14:paraId="1462E39A">
            <w:pPr>
              <w:spacing w:line="360" w:lineRule="auto"/>
              <w:jc w:val="center"/>
              <w:rPr>
                <w:rFonts w:hint="eastAsia" w:ascii="仿宋" w:hAnsi="仿宋" w:eastAsia="仿宋" w:cs="仿宋"/>
                <w:sz w:val="28"/>
                <w:szCs w:val="28"/>
              </w:rPr>
            </w:pPr>
          </w:p>
        </w:tc>
      </w:tr>
      <w:tr w14:paraId="7B1F54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2" w:hRule="atLeast"/>
        </w:trPr>
        <w:tc>
          <w:tcPr>
            <w:tcW w:w="2065" w:type="dxa"/>
            <w:vMerge w:val="continue"/>
            <w:noWrap w:val="0"/>
            <w:vAlign w:val="center"/>
          </w:tcPr>
          <w:p w14:paraId="4EE60AAC">
            <w:pPr>
              <w:spacing w:line="360" w:lineRule="auto"/>
              <w:jc w:val="center"/>
              <w:rPr>
                <w:rFonts w:hint="eastAsia" w:ascii="仿宋" w:hAnsi="仿宋" w:eastAsia="仿宋" w:cs="仿宋"/>
                <w:sz w:val="28"/>
                <w:szCs w:val="28"/>
              </w:rPr>
            </w:pPr>
          </w:p>
        </w:tc>
        <w:tc>
          <w:tcPr>
            <w:tcW w:w="3129" w:type="dxa"/>
            <w:noWrap w:val="0"/>
            <w:vAlign w:val="center"/>
          </w:tcPr>
          <w:p w14:paraId="4D83C1C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500mm以上</w:t>
            </w:r>
          </w:p>
        </w:tc>
        <w:tc>
          <w:tcPr>
            <w:tcW w:w="2303" w:type="dxa"/>
            <w:noWrap w:val="0"/>
            <w:vAlign w:val="center"/>
          </w:tcPr>
          <w:p w14:paraId="15765AA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c>
          <w:tcPr>
            <w:tcW w:w="2301" w:type="dxa"/>
            <w:vMerge w:val="continue"/>
            <w:noWrap w:val="0"/>
            <w:vAlign w:val="center"/>
          </w:tcPr>
          <w:p w14:paraId="2CEF1392">
            <w:pPr>
              <w:spacing w:line="360" w:lineRule="auto"/>
              <w:jc w:val="center"/>
              <w:rPr>
                <w:rFonts w:hint="eastAsia" w:ascii="仿宋" w:hAnsi="仿宋" w:eastAsia="仿宋" w:cs="仿宋"/>
                <w:sz w:val="28"/>
                <w:szCs w:val="28"/>
              </w:rPr>
            </w:pPr>
          </w:p>
        </w:tc>
      </w:tr>
      <w:tr w14:paraId="163E09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280DAA7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污水、排水管</w:t>
            </w:r>
          </w:p>
        </w:tc>
        <w:tc>
          <w:tcPr>
            <w:tcW w:w="2303" w:type="dxa"/>
            <w:noWrap w:val="0"/>
            <w:vAlign w:val="center"/>
          </w:tcPr>
          <w:p w14:paraId="4487DEE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noWrap w:val="0"/>
            <w:vAlign w:val="center"/>
          </w:tcPr>
          <w:p w14:paraId="613C334A">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0.15</w:t>
            </w:r>
          </w:p>
        </w:tc>
      </w:tr>
      <w:tr w14:paraId="7701C3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21AF316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热力管</w:t>
            </w:r>
          </w:p>
        </w:tc>
        <w:tc>
          <w:tcPr>
            <w:tcW w:w="2303" w:type="dxa"/>
            <w:noWrap w:val="0"/>
            <w:vAlign w:val="center"/>
          </w:tcPr>
          <w:p w14:paraId="3B3506F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noWrap w:val="0"/>
            <w:vAlign w:val="center"/>
          </w:tcPr>
          <w:p w14:paraId="35A6516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5AC21A9A">
        <w:tblPrEx>
          <w:tblCellMar>
            <w:top w:w="0" w:type="dxa"/>
            <w:left w:w="108" w:type="dxa"/>
            <w:bottom w:w="0" w:type="dxa"/>
            <w:right w:w="108" w:type="dxa"/>
          </w:tblCellMar>
        </w:tblPrEx>
        <w:tc>
          <w:tcPr>
            <w:tcW w:w="2065" w:type="dxa"/>
            <w:vMerge w:val="restart"/>
            <w:noWrap w:val="0"/>
            <w:vAlign w:val="center"/>
          </w:tcPr>
          <w:p w14:paraId="6C8E968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燃气管</w:t>
            </w:r>
          </w:p>
        </w:tc>
        <w:tc>
          <w:tcPr>
            <w:tcW w:w="3129" w:type="dxa"/>
            <w:noWrap w:val="0"/>
            <w:vAlign w:val="center"/>
          </w:tcPr>
          <w:p w14:paraId="27D3D4AE">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压力≤300kPa</w:t>
            </w:r>
          </w:p>
        </w:tc>
        <w:tc>
          <w:tcPr>
            <w:tcW w:w="2303" w:type="dxa"/>
            <w:noWrap w:val="0"/>
            <w:vAlign w:val="center"/>
          </w:tcPr>
          <w:p w14:paraId="34A6E49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Merge w:val="restart"/>
            <w:noWrap w:val="0"/>
            <w:vAlign w:val="center"/>
          </w:tcPr>
          <w:p w14:paraId="2EB36D5A">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0.3</w:t>
            </w:r>
          </w:p>
        </w:tc>
      </w:tr>
      <w:tr w14:paraId="5EBCF1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noWrap w:val="0"/>
            <w:vAlign w:val="center"/>
          </w:tcPr>
          <w:p w14:paraId="3712F7F0">
            <w:pPr>
              <w:spacing w:line="360" w:lineRule="auto"/>
              <w:jc w:val="center"/>
              <w:rPr>
                <w:rFonts w:hint="eastAsia" w:ascii="仿宋" w:hAnsi="仿宋" w:eastAsia="仿宋" w:cs="仿宋"/>
                <w:sz w:val="28"/>
                <w:szCs w:val="28"/>
              </w:rPr>
            </w:pPr>
          </w:p>
        </w:tc>
        <w:tc>
          <w:tcPr>
            <w:tcW w:w="3129" w:type="dxa"/>
            <w:noWrap w:val="0"/>
            <w:vAlign w:val="center"/>
          </w:tcPr>
          <w:p w14:paraId="4B55224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300kPa&lt;压力≤800kPa</w:t>
            </w:r>
          </w:p>
          <w:p w14:paraId="0B47452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（3kg/cm2&lt;压力≤8kg/cm2）</w:t>
            </w:r>
          </w:p>
        </w:tc>
        <w:tc>
          <w:tcPr>
            <w:tcW w:w="2303" w:type="dxa"/>
            <w:noWrap w:val="0"/>
            <w:vAlign w:val="center"/>
          </w:tcPr>
          <w:p w14:paraId="173C508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vMerge w:val="continue"/>
            <w:noWrap w:val="0"/>
            <w:vAlign w:val="center"/>
          </w:tcPr>
          <w:p w14:paraId="7BB0EA48">
            <w:pPr>
              <w:spacing w:line="360" w:lineRule="auto"/>
              <w:jc w:val="center"/>
              <w:rPr>
                <w:rFonts w:hint="eastAsia" w:ascii="仿宋" w:hAnsi="仿宋" w:eastAsia="仿宋" w:cs="仿宋"/>
                <w:sz w:val="28"/>
                <w:szCs w:val="28"/>
              </w:rPr>
            </w:pPr>
          </w:p>
        </w:tc>
      </w:tr>
      <w:tr w14:paraId="271777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restart"/>
            <w:noWrap w:val="0"/>
            <w:vAlign w:val="center"/>
          </w:tcPr>
          <w:p w14:paraId="4C87C27A">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电力电缆</w:t>
            </w:r>
          </w:p>
        </w:tc>
        <w:tc>
          <w:tcPr>
            <w:tcW w:w="3129" w:type="dxa"/>
            <w:noWrap w:val="0"/>
            <w:vAlign w:val="center"/>
          </w:tcPr>
          <w:p w14:paraId="0883966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35kV以下</w:t>
            </w:r>
          </w:p>
        </w:tc>
        <w:tc>
          <w:tcPr>
            <w:tcW w:w="2303" w:type="dxa"/>
            <w:noWrap w:val="0"/>
            <w:vAlign w:val="center"/>
          </w:tcPr>
          <w:p w14:paraId="4E0026D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Merge w:val="restart"/>
            <w:noWrap w:val="0"/>
            <w:vAlign w:val="center"/>
          </w:tcPr>
          <w:p w14:paraId="26853B7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r>
      <w:tr w14:paraId="25EA532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noWrap w:val="0"/>
            <w:vAlign w:val="center"/>
          </w:tcPr>
          <w:p w14:paraId="2232A81C">
            <w:pPr>
              <w:spacing w:line="360" w:lineRule="auto"/>
              <w:jc w:val="center"/>
              <w:rPr>
                <w:rFonts w:hint="eastAsia" w:ascii="仿宋" w:hAnsi="仿宋" w:eastAsia="仿宋" w:cs="仿宋"/>
                <w:sz w:val="28"/>
                <w:szCs w:val="28"/>
              </w:rPr>
            </w:pPr>
          </w:p>
        </w:tc>
        <w:tc>
          <w:tcPr>
            <w:tcW w:w="3129" w:type="dxa"/>
            <w:noWrap w:val="0"/>
            <w:vAlign w:val="center"/>
          </w:tcPr>
          <w:p w14:paraId="5C15148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35kV及以上</w:t>
            </w:r>
          </w:p>
        </w:tc>
        <w:tc>
          <w:tcPr>
            <w:tcW w:w="2303" w:type="dxa"/>
            <w:noWrap w:val="0"/>
            <w:vAlign w:val="center"/>
          </w:tcPr>
          <w:p w14:paraId="5810A6D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vMerge w:val="continue"/>
            <w:noWrap w:val="0"/>
            <w:vAlign w:val="center"/>
          </w:tcPr>
          <w:p w14:paraId="7891FC66">
            <w:pPr>
              <w:spacing w:line="360" w:lineRule="auto"/>
              <w:jc w:val="center"/>
              <w:rPr>
                <w:rFonts w:hint="eastAsia" w:ascii="仿宋" w:hAnsi="仿宋" w:eastAsia="仿宋" w:cs="仿宋"/>
                <w:sz w:val="28"/>
                <w:szCs w:val="28"/>
              </w:rPr>
            </w:pPr>
          </w:p>
        </w:tc>
      </w:tr>
      <w:tr w14:paraId="686DE9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noWrap w:val="0"/>
            <w:vAlign w:val="center"/>
          </w:tcPr>
          <w:p w14:paraId="4C085FF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高压铁塔基础边</w:t>
            </w:r>
          </w:p>
        </w:tc>
        <w:tc>
          <w:tcPr>
            <w:tcW w:w="3129" w:type="dxa"/>
            <w:noWrap w:val="0"/>
            <w:vAlign w:val="center"/>
          </w:tcPr>
          <w:p w14:paraId="0BA26DE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&gt;35kV</w:t>
            </w:r>
          </w:p>
        </w:tc>
        <w:tc>
          <w:tcPr>
            <w:tcW w:w="2303" w:type="dxa"/>
            <w:noWrap w:val="0"/>
            <w:vAlign w:val="center"/>
          </w:tcPr>
          <w:p w14:paraId="1F2E7DB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2.50</w:t>
            </w:r>
          </w:p>
        </w:tc>
        <w:tc>
          <w:tcPr>
            <w:tcW w:w="2301" w:type="dxa"/>
            <w:noWrap w:val="0"/>
            <w:vAlign w:val="center"/>
          </w:tcPr>
          <w:p w14:paraId="6C6882A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09AEA7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409795EE">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通信电缆(或通信通道)</w:t>
            </w:r>
          </w:p>
        </w:tc>
        <w:tc>
          <w:tcPr>
            <w:tcW w:w="2303" w:type="dxa"/>
            <w:noWrap w:val="0"/>
            <w:vAlign w:val="center"/>
          </w:tcPr>
          <w:p w14:paraId="089B598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noWrap w:val="0"/>
            <w:vAlign w:val="center"/>
          </w:tcPr>
          <w:p w14:paraId="582BD5D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0B813D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3172062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通信电杆、照明杆</w:t>
            </w:r>
          </w:p>
        </w:tc>
        <w:tc>
          <w:tcPr>
            <w:tcW w:w="2303" w:type="dxa"/>
            <w:noWrap w:val="0"/>
            <w:vAlign w:val="center"/>
          </w:tcPr>
          <w:p w14:paraId="6BC32CC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noWrap w:val="0"/>
            <w:vAlign w:val="center"/>
          </w:tcPr>
          <w:p w14:paraId="7A64077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1EAEDD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restart"/>
            <w:noWrap w:val="0"/>
            <w:vAlign w:val="center"/>
          </w:tcPr>
          <w:p w14:paraId="69B5FF2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绿化</w:t>
            </w:r>
          </w:p>
        </w:tc>
        <w:tc>
          <w:tcPr>
            <w:tcW w:w="3129" w:type="dxa"/>
            <w:noWrap w:val="0"/>
            <w:vAlign w:val="center"/>
          </w:tcPr>
          <w:p w14:paraId="3AB5441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乔木</w:t>
            </w:r>
          </w:p>
        </w:tc>
        <w:tc>
          <w:tcPr>
            <w:tcW w:w="2303" w:type="dxa"/>
            <w:noWrap w:val="0"/>
            <w:vAlign w:val="center"/>
          </w:tcPr>
          <w:p w14:paraId="0D78CF7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c>
          <w:tcPr>
            <w:tcW w:w="2301" w:type="dxa"/>
            <w:noWrap w:val="0"/>
            <w:vAlign w:val="center"/>
          </w:tcPr>
          <w:p w14:paraId="1381F7E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0B4BA73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noWrap w:val="0"/>
            <w:vAlign w:val="center"/>
          </w:tcPr>
          <w:p w14:paraId="3427119A">
            <w:pPr>
              <w:spacing w:line="360" w:lineRule="auto"/>
              <w:jc w:val="center"/>
              <w:rPr>
                <w:rFonts w:hint="eastAsia" w:ascii="仿宋" w:hAnsi="仿宋" w:eastAsia="仿宋" w:cs="仿宋"/>
                <w:sz w:val="28"/>
                <w:szCs w:val="28"/>
              </w:rPr>
            </w:pPr>
          </w:p>
        </w:tc>
        <w:tc>
          <w:tcPr>
            <w:tcW w:w="3129" w:type="dxa"/>
            <w:noWrap w:val="0"/>
            <w:vAlign w:val="center"/>
          </w:tcPr>
          <w:p w14:paraId="4AAA2B9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灌木</w:t>
            </w:r>
          </w:p>
        </w:tc>
        <w:tc>
          <w:tcPr>
            <w:tcW w:w="2303" w:type="dxa"/>
            <w:noWrap w:val="0"/>
            <w:vAlign w:val="center"/>
          </w:tcPr>
          <w:p w14:paraId="594F707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noWrap w:val="0"/>
            <w:vAlign w:val="center"/>
          </w:tcPr>
          <w:p w14:paraId="4989F5F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4659CC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0CD9D40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道路边石边缘</w:t>
            </w:r>
          </w:p>
        </w:tc>
        <w:tc>
          <w:tcPr>
            <w:tcW w:w="2303" w:type="dxa"/>
            <w:noWrap w:val="0"/>
            <w:vAlign w:val="center"/>
          </w:tcPr>
          <w:p w14:paraId="4989E6D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noWrap w:val="0"/>
            <w:vAlign w:val="center"/>
          </w:tcPr>
          <w:p w14:paraId="14B47F8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5BF087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6F7B170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铁路钢轨（或坡脚）</w:t>
            </w:r>
          </w:p>
        </w:tc>
        <w:tc>
          <w:tcPr>
            <w:tcW w:w="2303" w:type="dxa"/>
            <w:noWrap w:val="0"/>
            <w:vAlign w:val="center"/>
          </w:tcPr>
          <w:p w14:paraId="38D055B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noWrap w:val="0"/>
            <w:vAlign w:val="center"/>
          </w:tcPr>
          <w:p w14:paraId="720F8E9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01798B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46B57EA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沟渠（基础底）</w:t>
            </w:r>
          </w:p>
        </w:tc>
        <w:tc>
          <w:tcPr>
            <w:tcW w:w="2303" w:type="dxa"/>
            <w:noWrap w:val="0"/>
            <w:vAlign w:val="center"/>
          </w:tcPr>
          <w:p w14:paraId="3EBD8DD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noWrap w:val="0"/>
            <w:vAlign w:val="center"/>
          </w:tcPr>
          <w:p w14:paraId="322FA87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r>
      <w:tr w14:paraId="3EDE9B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1110BB2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涵洞（基础底）</w:t>
            </w:r>
          </w:p>
        </w:tc>
        <w:tc>
          <w:tcPr>
            <w:tcW w:w="2303" w:type="dxa"/>
            <w:noWrap w:val="0"/>
            <w:vAlign w:val="center"/>
          </w:tcPr>
          <w:p w14:paraId="56C6057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noWrap w:val="0"/>
            <w:vAlign w:val="center"/>
          </w:tcPr>
          <w:p w14:paraId="48B56A5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5A8E5A4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450F92F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电车轨底</w:t>
            </w:r>
          </w:p>
        </w:tc>
        <w:tc>
          <w:tcPr>
            <w:tcW w:w="2303" w:type="dxa"/>
            <w:noWrap w:val="0"/>
            <w:vAlign w:val="center"/>
          </w:tcPr>
          <w:p w14:paraId="3080830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noWrap w:val="0"/>
            <w:vAlign w:val="center"/>
          </w:tcPr>
          <w:p w14:paraId="053EBB4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r>
      <w:tr w14:paraId="474A743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noWrap w:val="0"/>
            <w:vAlign w:val="center"/>
          </w:tcPr>
          <w:p w14:paraId="74ABD82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铁路轨底</w:t>
            </w:r>
          </w:p>
        </w:tc>
        <w:tc>
          <w:tcPr>
            <w:tcW w:w="2303" w:type="dxa"/>
            <w:noWrap w:val="0"/>
            <w:vAlign w:val="center"/>
          </w:tcPr>
          <w:p w14:paraId="413A936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noWrap w:val="0"/>
            <w:vAlign w:val="center"/>
          </w:tcPr>
          <w:p w14:paraId="547EBF0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r>
    </w:tbl>
    <w:p w14:paraId="068BBE1F">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注： </w:t>
      </w:r>
    </w:p>
    <w:p w14:paraId="4323EB09">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① 主干排水管后敷设时，其施工沟边与管道间的平行净距不宜小于1.5m。</w:t>
      </w:r>
    </w:p>
    <w:p w14:paraId="1435426A">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 ② 当管道在排水管下部穿越时，交叉净距不宜小于0.4m，通信管道应作包封处理。包封长度自排水管道两侧各长2m。 </w:t>
      </w:r>
    </w:p>
    <w:p w14:paraId="769C7704">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③ 在交越处2m范围内，煤气管不应做接合装置和附属设备，如上述情况不能避免时，通信管道应作包封处理。 </w:t>
      </w:r>
    </w:p>
    <w:p w14:paraId="14797805">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④ 如电力电缆加保护管时，交叉净距可减至0.15m。</w:t>
      </w:r>
    </w:p>
    <w:p w14:paraId="3B2A89BC">
      <w:pPr>
        <w:spacing w:line="360" w:lineRule="auto"/>
        <w:ind w:firstLine="562" w:firstLineChars="200"/>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2.电力管网</w:t>
      </w:r>
    </w:p>
    <w:p w14:paraId="1A4332F2">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1、根据规划，</w:t>
      </w:r>
      <w:r>
        <w:rPr>
          <w:rFonts w:hint="eastAsia" w:ascii="仿宋" w:hAnsi="仿宋" w:eastAsia="仿宋" w:cs="仿宋"/>
          <w:color w:val="auto"/>
          <w:sz w:val="28"/>
          <w:szCs w:val="28"/>
          <w:highlight w:val="none"/>
          <w:shd w:val="clear" w:color="auto" w:fill="auto"/>
          <w:lang w:val="en-US" w:eastAsia="zh-CN"/>
        </w:rPr>
        <w:t>上下江陵路</w:t>
      </w:r>
      <w:r>
        <w:rPr>
          <w:rFonts w:hint="eastAsia" w:ascii="仿宋" w:hAnsi="仿宋" w:eastAsia="仿宋" w:cs="仿宋"/>
          <w:color w:val="auto"/>
          <w:sz w:val="28"/>
          <w:szCs w:val="28"/>
          <w:highlight w:val="none"/>
          <w:shd w:val="clear" w:color="auto" w:fill="auto"/>
        </w:rPr>
        <w:t>结合道路专业提供的条件和要求在道路</w:t>
      </w:r>
      <w:r>
        <w:rPr>
          <w:rFonts w:hint="eastAsia" w:ascii="仿宋" w:hAnsi="仿宋" w:eastAsia="仿宋" w:cs="仿宋"/>
          <w:color w:val="auto"/>
          <w:sz w:val="28"/>
          <w:szCs w:val="28"/>
          <w:highlight w:val="none"/>
          <w:shd w:val="clear" w:color="auto" w:fill="auto"/>
          <w:lang w:eastAsia="zh-CN"/>
        </w:rPr>
        <w:t>南</w:t>
      </w:r>
      <w:r>
        <w:rPr>
          <w:rFonts w:hint="eastAsia" w:ascii="仿宋" w:hAnsi="仿宋" w:eastAsia="仿宋" w:cs="仿宋"/>
          <w:color w:val="auto"/>
          <w:sz w:val="28"/>
          <w:szCs w:val="28"/>
          <w:highlight w:val="none"/>
          <w:shd w:val="clear" w:color="auto" w:fill="auto"/>
        </w:rPr>
        <w:t>侧</w:t>
      </w:r>
      <w:r>
        <w:rPr>
          <w:rFonts w:hint="eastAsia" w:ascii="仿宋" w:hAnsi="仿宋" w:eastAsia="仿宋" w:cs="仿宋"/>
          <w:color w:val="auto"/>
          <w:sz w:val="28"/>
          <w:szCs w:val="28"/>
          <w:highlight w:val="none"/>
          <w:shd w:val="clear" w:color="auto" w:fill="auto"/>
          <w:lang w:eastAsia="zh-CN"/>
        </w:rPr>
        <w:t>人行道</w:t>
      </w:r>
      <w:r>
        <w:rPr>
          <w:rFonts w:hint="eastAsia" w:ascii="仿宋" w:hAnsi="仿宋" w:eastAsia="仿宋" w:cs="仿宋"/>
          <w:color w:val="auto"/>
          <w:sz w:val="28"/>
          <w:szCs w:val="28"/>
          <w:highlight w:val="none"/>
          <w:shd w:val="clear" w:color="auto" w:fill="auto"/>
        </w:rPr>
        <w:t>下的预埋电力</w:t>
      </w:r>
      <w:r>
        <w:rPr>
          <w:rFonts w:hint="eastAsia" w:ascii="仿宋" w:hAnsi="仿宋" w:eastAsia="仿宋" w:cs="仿宋"/>
          <w:color w:val="auto"/>
          <w:sz w:val="28"/>
          <w:szCs w:val="28"/>
          <w:highlight w:val="none"/>
          <w:shd w:val="clear" w:color="auto" w:fill="auto"/>
          <w:lang w:val="en-US" w:eastAsia="zh-CN"/>
        </w:rPr>
        <w:t>2</w:t>
      </w:r>
      <w:r>
        <w:rPr>
          <w:rFonts w:hint="eastAsia" w:ascii="仿宋" w:hAnsi="仿宋" w:eastAsia="仿宋" w:cs="仿宋"/>
          <w:color w:val="auto"/>
          <w:sz w:val="28"/>
          <w:szCs w:val="28"/>
          <w:highlight w:val="none"/>
          <w:shd w:val="clear" w:color="auto" w:fill="auto"/>
        </w:rPr>
        <w:t>*</w:t>
      </w: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型CPVCΦ</w:t>
      </w:r>
      <w:r>
        <w:rPr>
          <w:rFonts w:hint="eastAsia" w:ascii="仿宋" w:hAnsi="仿宋" w:eastAsia="仿宋" w:cs="仿宋"/>
          <w:color w:val="auto"/>
          <w:sz w:val="28"/>
          <w:szCs w:val="28"/>
          <w:highlight w:val="none"/>
          <w:shd w:val="clear" w:color="auto" w:fill="auto"/>
          <w:lang w:val="en-US" w:eastAsia="zh-CN"/>
        </w:rPr>
        <w:t>167*5</w:t>
      </w:r>
      <w:r>
        <w:rPr>
          <w:rFonts w:hint="eastAsia" w:ascii="仿宋" w:hAnsi="仿宋" w:eastAsia="仿宋" w:cs="仿宋"/>
          <w:color w:val="auto"/>
          <w:sz w:val="28"/>
          <w:szCs w:val="28"/>
          <w:highlight w:val="none"/>
          <w:shd w:val="clear" w:color="auto" w:fill="auto"/>
        </w:rPr>
        <w:t>mm排管</w:t>
      </w:r>
      <w:r>
        <w:rPr>
          <w:rFonts w:hint="eastAsia" w:ascii="仿宋" w:hAnsi="仿宋" w:eastAsia="仿宋" w:cs="仿宋"/>
          <w:color w:val="auto"/>
          <w:sz w:val="28"/>
          <w:szCs w:val="28"/>
          <w:highlight w:val="none"/>
          <w:shd w:val="clear" w:color="auto" w:fill="auto"/>
          <w:lang w:val="en-US" w:eastAsia="zh-CN"/>
        </w:rPr>
        <w:t>（10KV高压入地电缆-YJV22-10KV-1*240*6根）</w:t>
      </w:r>
      <w:r>
        <w:rPr>
          <w:rFonts w:hint="eastAsia" w:ascii="仿宋" w:hAnsi="仿宋" w:eastAsia="仿宋" w:cs="仿宋"/>
          <w:color w:val="auto"/>
          <w:sz w:val="28"/>
          <w:szCs w:val="28"/>
          <w:highlight w:val="none"/>
          <w:shd w:val="clear" w:color="auto" w:fill="auto"/>
        </w:rPr>
        <w:t>，在车行道下（即交叉口或横路处）预埋</w:t>
      </w:r>
      <w:r>
        <w:rPr>
          <w:rFonts w:hint="eastAsia" w:ascii="仿宋" w:hAnsi="仿宋" w:eastAsia="仿宋" w:cs="仿宋"/>
          <w:color w:val="auto"/>
          <w:sz w:val="28"/>
          <w:szCs w:val="28"/>
          <w:highlight w:val="none"/>
          <w:shd w:val="clear" w:color="auto" w:fill="auto"/>
          <w:lang w:val="en-US" w:eastAsia="zh-CN"/>
        </w:rPr>
        <w:t>2</w:t>
      </w:r>
      <w:r>
        <w:rPr>
          <w:rFonts w:hint="eastAsia" w:ascii="仿宋" w:hAnsi="仿宋" w:eastAsia="仿宋" w:cs="仿宋"/>
          <w:color w:val="auto"/>
          <w:sz w:val="28"/>
          <w:szCs w:val="28"/>
          <w:highlight w:val="none"/>
          <w:shd w:val="clear" w:color="auto" w:fill="auto"/>
        </w:rPr>
        <w:t>*</w:t>
      </w: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型CPVCΦ</w:t>
      </w:r>
      <w:r>
        <w:rPr>
          <w:rFonts w:hint="eastAsia" w:ascii="仿宋" w:hAnsi="仿宋" w:eastAsia="仿宋" w:cs="仿宋"/>
          <w:color w:val="auto"/>
          <w:sz w:val="28"/>
          <w:szCs w:val="28"/>
          <w:highlight w:val="none"/>
          <w:shd w:val="clear" w:color="auto" w:fill="auto"/>
          <w:lang w:val="en-US" w:eastAsia="zh-CN"/>
        </w:rPr>
        <w:t>167*5</w:t>
      </w:r>
      <w:r>
        <w:rPr>
          <w:rFonts w:hint="eastAsia" w:ascii="仿宋" w:hAnsi="仿宋" w:eastAsia="仿宋" w:cs="仿宋"/>
          <w:color w:val="auto"/>
          <w:sz w:val="28"/>
          <w:szCs w:val="28"/>
          <w:highlight w:val="none"/>
          <w:shd w:val="clear" w:color="auto" w:fill="auto"/>
        </w:rPr>
        <w:t>mm，并采用C20混凝土包封。</w:t>
      </w:r>
      <w:r>
        <w:rPr>
          <w:rFonts w:hint="eastAsia" w:ascii="仿宋" w:hAnsi="仿宋" w:eastAsia="仿宋" w:cs="仿宋"/>
          <w:color w:val="auto"/>
          <w:sz w:val="28"/>
          <w:szCs w:val="28"/>
          <w:highlight w:val="none"/>
          <w:shd w:val="clear" w:color="auto" w:fill="auto"/>
          <w:lang w:val="en-US" w:eastAsia="zh-CN"/>
        </w:rPr>
        <w:t>桂花园路</w:t>
      </w:r>
      <w:r>
        <w:rPr>
          <w:rFonts w:hint="eastAsia" w:ascii="仿宋" w:hAnsi="仿宋" w:eastAsia="仿宋" w:cs="仿宋"/>
          <w:color w:val="auto"/>
          <w:sz w:val="28"/>
          <w:szCs w:val="28"/>
          <w:highlight w:val="none"/>
          <w:shd w:val="clear" w:color="auto" w:fill="auto"/>
        </w:rPr>
        <w:t>结合道路专业提供的条件和要求在道路</w:t>
      </w:r>
      <w:r>
        <w:rPr>
          <w:rFonts w:hint="eastAsia" w:ascii="仿宋" w:hAnsi="仿宋" w:eastAsia="仿宋" w:cs="仿宋"/>
          <w:color w:val="auto"/>
          <w:sz w:val="28"/>
          <w:szCs w:val="28"/>
          <w:highlight w:val="none"/>
          <w:shd w:val="clear" w:color="auto" w:fill="auto"/>
          <w:lang w:eastAsia="zh-CN"/>
        </w:rPr>
        <w:t>西</w:t>
      </w:r>
      <w:r>
        <w:rPr>
          <w:rFonts w:hint="eastAsia" w:ascii="仿宋" w:hAnsi="仿宋" w:eastAsia="仿宋" w:cs="仿宋"/>
          <w:color w:val="auto"/>
          <w:sz w:val="28"/>
          <w:szCs w:val="28"/>
          <w:highlight w:val="none"/>
          <w:shd w:val="clear" w:color="auto" w:fill="auto"/>
        </w:rPr>
        <w:t>侧</w:t>
      </w:r>
      <w:r>
        <w:rPr>
          <w:rFonts w:hint="eastAsia" w:ascii="仿宋" w:hAnsi="仿宋" w:eastAsia="仿宋" w:cs="仿宋"/>
          <w:color w:val="auto"/>
          <w:sz w:val="28"/>
          <w:szCs w:val="28"/>
          <w:highlight w:val="none"/>
          <w:shd w:val="clear" w:color="auto" w:fill="auto"/>
          <w:lang w:eastAsia="zh-CN"/>
        </w:rPr>
        <w:t>人行道</w:t>
      </w:r>
      <w:r>
        <w:rPr>
          <w:rFonts w:hint="eastAsia" w:ascii="仿宋" w:hAnsi="仿宋" w:eastAsia="仿宋" w:cs="仿宋"/>
          <w:color w:val="auto"/>
          <w:sz w:val="28"/>
          <w:szCs w:val="28"/>
          <w:highlight w:val="none"/>
          <w:shd w:val="clear" w:color="auto" w:fill="auto"/>
        </w:rPr>
        <w:t>下的预埋电力</w:t>
      </w:r>
      <w:r>
        <w:rPr>
          <w:rFonts w:hint="eastAsia" w:ascii="仿宋" w:hAnsi="仿宋" w:eastAsia="仿宋" w:cs="仿宋"/>
          <w:color w:val="auto"/>
          <w:sz w:val="28"/>
          <w:szCs w:val="28"/>
          <w:highlight w:val="none"/>
          <w:shd w:val="clear" w:color="auto" w:fill="auto"/>
          <w:lang w:val="en-US" w:eastAsia="zh-CN"/>
        </w:rPr>
        <w:t>2</w:t>
      </w:r>
      <w:r>
        <w:rPr>
          <w:rFonts w:hint="eastAsia" w:ascii="仿宋" w:hAnsi="仿宋" w:eastAsia="仿宋" w:cs="仿宋"/>
          <w:color w:val="auto"/>
          <w:sz w:val="28"/>
          <w:szCs w:val="28"/>
          <w:highlight w:val="none"/>
          <w:shd w:val="clear" w:color="auto" w:fill="auto"/>
        </w:rPr>
        <w:t>*</w:t>
      </w: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型CPVCΦ</w:t>
      </w:r>
      <w:r>
        <w:rPr>
          <w:rFonts w:hint="eastAsia" w:ascii="仿宋" w:hAnsi="仿宋" w:eastAsia="仿宋" w:cs="仿宋"/>
          <w:color w:val="auto"/>
          <w:sz w:val="28"/>
          <w:szCs w:val="28"/>
          <w:highlight w:val="none"/>
          <w:shd w:val="clear" w:color="auto" w:fill="auto"/>
          <w:lang w:val="en-US" w:eastAsia="zh-CN"/>
        </w:rPr>
        <w:t>167*5</w:t>
      </w:r>
      <w:r>
        <w:rPr>
          <w:rFonts w:hint="eastAsia" w:ascii="仿宋" w:hAnsi="仿宋" w:eastAsia="仿宋" w:cs="仿宋"/>
          <w:color w:val="auto"/>
          <w:sz w:val="28"/>
          <w:szCs w:val="28"/>
          <w:highlight w:val="none"/>
          <w:shd w:val="clear" w:color="auto" w:fill="auto"/>
        </w:rPr>
        <w:t>mm排管</w:t>
      </w:r>
      <w:r>
        <w:rPr>
          <w:rFonts w:hint="eastAsia" w:ascii="仿宋" w:hAnsi="仿宋" w:eastAsia="仿宋" w:cs="仿宋"/>
          <w:color w:val="auto"/>
          <w:sz w:val="28"/>
          <w:szCs w:val="28"/>
          <w:highlight w:val="none"/>
          <w:shd w:val="clear" w:color="auto" w:fill="auto"/>
          <w:lang w:val="en-US" w:eastAsia="zh-CN"/>
        </w:rPr>
        <w:t>（10KV高压入地电缆-YJV22-10KV-1*240*6根）</w:t>
      </w:r>
      <w:r>
        <w:rPr>
          <w:rFonts w:hint="eastAsia" w:ascii="仿宋" w:hAnsi="仿宋" w:eastAsia="仿宋" w:cs="仿宋"/>
          <w:color w:val="auto"/>
          <w:sz w:val="28"/>
          <w:szCs w:val="28"/>
          <w:highlight w:val="none"/>
          <w:shd w:val="clear" w:color="auto" w:fill="auto"/>
        </w:rPr>
        <w:t>，在车行道下（即交叉口或横路处）预埋</w:t>
      </w:r>
      <w:r>
        <w:rPr>
          <w:rFonts w:hint="eastAsia" w:ascii="仿宋" w:hAnsi="仿宋" w:eastAsia="仿宋" w:cs="仿宋"/>
          <w:color w:val="auto"/>
          <w:sz w:val="28"/>
          <w:szCs w:val="28"/>
          <w:highlight w:val="none"/>
          <w:shd w:val="clear" w:color="auto" w:fill="auto"/>
          <w:lang w:val="en-US" w:eastAsia="zh-CN"/>
        </w:rPr>
        <w:t>2</w:t>
      </w:r>
      <w:r>
        <w:rPr>
          <w:rFonts w:hint="eastAsia" w:ascii="仿宋" w:hAnsi="仿宋" w:eastAsia="仿宋" w:cs="仿宋"/>
          <w:color w:val="auto"/>
          <w:sz w:val="28"/>
          <w:szCs w:val="28"/>
          <w:highlight w:val="none"/>
          <w:shd w:val="clear" w:color="auto" w:fill="auto"/>
        </w:rPr>
        <w:t>*</w:t>
      </w: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型CPVCΦ</w:t>
      </w:r>
      <w:r>
        <w:rPr>
          <w:rFonts w:hint="eastAsia" w:ascii="仿宋" w:hAnsi="仿宋" w:eastAsia="仿宋" w:cs="仿宋"/>
          <w:color w:val="auto"/>
          <w:sz w:val="28"/>
          <w:szCs w:val="28"/>
          <w:highlight w:val="none"/>
          <w:shd w:val="clear" w:color="auto" w:fill="auto"/>
          <w:lang w:val="en-US" w:eastAsia="zh-CN"/>
        </w:rPr>
        <w:t>167*5</w:t>
      </w:r>
      <w:r>
        <w:rPr>
          <w:rFonts w:hint="eastAsia" w:ascii="仿宋" w:hAnsi="仿宋" w:eastAsia="仿宋" w:cs="仿宋"/>
          <w:color w:val="auto"/>
          <w:sz w:val="28"/>
          <w:szCs w:val="28"/>
          <w:highlight w:val="none"/>
          <w:shd w:val="clear" w:color="auto" w:fill="auto"/>
        </w:rPr>
        <w:t>mm，并采用C20混凝土包封。</w:t>
      </w:r>
    </w:p>
    <w:p w14:paraId="2C43C4B8">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2、高压电力排管人行道管埋深不小于0.7m，车行道下电力排管埋深不小于</w:t>
      </w:r>
      <w:r>
        <w:rPr>
          <w:rFonts w:hint="eastAsia" w:ascii="仿宋" w:hAnsi="仿宋" w:eastAsia="仿宋" w:cs="仿宋"/>
          <w:color w:val="auto"/>
          <w:sz w:val="28"/>
          <w:szCs w:val="28"/>
          <w:highlight w:val="none"/>
          <w:shd w:val="clear" w:color="auto" w:fill="auto"/>
          <w:lang w:val="en-US" w:eastAsia="zh-CN"/>
        </w:rPr>
        <w:t>0.9</w:t>
      </w:r>
      <w:r>
        <w:rPr>
          <w:rFonts w:hint="eastAsia" w:ascii="仿宋" w:hAnsi="仿宋" w:eastAsia="仿宋" w:cs="仿宋"/>
          <w:color w:val="auto"/>
          <w:sz w:val="28"/>
          <w:szCs w:val="28"/>
          <w:highlight w:val="none"/>
          <w:shd w:val="clear" w:color="auto" w:fill="auto"/>
        </w:rPr>
        <w:t>m，电缆保护管底部垫层要求厚度不小于100mm。每隔60m</w:t>
      </w:r>
      <w:r>
        <w:rPr>
          <w:rFonts w:hint="eastAsia" w:ascii="仿宋" w:hAnsi="仿宋" w:eastAsia="仿宋" w:cs="仿宋"/>
          <w:color w:val="auto"/>
          <w:sz w:val="28"/>
          <w:szCs w:val="28"/>
          <w:highlight w:val="none"/>
          <w:shd w:val="clear" w:color="auto" w:fill="auto"/>
          <w:lang w:val="en-US" w:eastAsia="zh-CN"/>
        </w:rPr>
        <w:t>-100m</w:t>
      </w:r>
      <w:r>
        <w:rPr>
          <w:rFonts w:hint="eastAsia" w:ascii="仿宋" w:hAnsi="仿宋" w:eastAsia="仿宋" w:cs="仿宋"/>
          <w:color w:val="auto"/>
          <w:sz w:val="28"/>
          <w:szCs w:val="28"/>
          <w:highlight w:val="none"/>
          <w:shd w:val="clear" w:color="auto" w:fill="auto"/>
        </w:rPr>
        <w:t>设置一个电缆人孔井，每隔120米左右预留一组</w:t>
      </w:r>
      <w:r>
        <w:rPr>
          <w:rFonts w:hint="eastAsia" w:ascii="仿宋" w:hAnsi="仿宋" w:eastAsia="仿宋" w:cs="仿宋"/>
          <w:color w:val="auto"/>
          <w:sz w:val="28"/>
          <w:szCs w:val="28"/>
          <w:highlight w:val="none"/>
          <w:shd w:val="clear" w:color="auto" w:fill="auto"/>
          <w:lang w:val="en-US" w:eastAsia="zh-CN"/>
        </w:rPr>
        <w:t>2</w:t>
      </w:r>
      <w:r>
        <w:rPr>
          <w:rFonts w:hint="eastAsia" w:ascii="仿宋" w:hAnsi="仿宋" w:eastAsia="仿宋" w:cs="仿宋"/>
          <w:color w:val="auto"/>
          <w:sz w:val="28"/>
          <w:szCs w:val="28"/>
          <w:highlight w:val="none"/>
          <w:shd w:val="clear" w:color="auto" w:fill="auto"/>
        </w:rPr>
        <w:t>*</w:t>
      </w: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型过街管道及电力电缆人孔井(过街管道尽量结合道路的实际开挖情况处理)。具体布置详见平面图。</w:t>
      </w:r>
    </w:p>
    <w:p w14:paraId="7929E942">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3</w:t>
      </w:r>
      <w:r>
        <w:rPr>
          <w:rFonts w:hint="eastAsia" w:ascii="仿宋" w:hAnsi="仿宋" w:eastAsia="仿宋" w:cs="仿宋"/>
          <w:color w:val="auto"/>
          <w:sz w:val="28"/>
          <w:szCs w:val="28"/>
          <w:highlight w:val="none"/>
          <w:shd w:val="clear" w:color="auto" w:fill="auto"/>
        </w:rPr>
        <w:t>、为防沟内积水，电缆沟底排水坡度不小于0.5%，并在电缆井底部采用</w:t>
      </w:r>
      <w:r>
        <w:rPr>
          <w:rFonts w:hint="eastAsia" w:ascii="仿宋" w:hAnsi="仿宋" w:eastAsia="仿宋" w:cs="仿宋"/>
          <w:color w:val="auto"/>
          <w:sz w:val="28"/>
          <w:szCs w:val="28"/>
          <w:highlight w:val="none"/>
          <w:shd w:val="clear" w:color="auto" w:fill="auto"/>
          <w:lang w:val="en-US" w:eastAsia="zh-CN"/>
        </w:rPr>
        <w:t>U</w:t>
      </w:r>
      <w:r>
        <w:rPr>
          <w:rFonts w:hint="eastAsia" w:ascii="仿宋" w:hAnsi="仿宋" w:eastAsia="仿宋" w:cs="仿宋"/>
          <w:color w:val="auto"/>
          <w:sz w:val="28"/>
          <w:szCs w:val="28"/>
          <w:highlight w:val="none"/>
          <w:shd w:val="clear" w:color="auto" w:fill="auto"/>
        </w:rPr>
        <w:t>PVCφ</w:t>
      </w:r>
      <w:r>
        <w:rPr>
          <w:rFonts w:hint="eastAsia" w:ascii="仿宋" w:hAnsi="仿宋" w:eastAsia="仿宋" w:cs="仿宋"/>
          <w:color w:val="auto"/>
          <w:sz w:val="28"/>
          <w:szCs w:val="28"/>
          <w:highlight w:val="none"/>
          <w:shd w:val="clear" w:color="auto" w:fill="auto"/>
          <w:lang w:val="en-US" w:eastAsia="zh-CN"/>
        </w:rPr>
        <w:t>110</w:t>
      </w:r>
      <w:r>
        <w:rPr>
          <w:rFonts w:hint="eastAsia" w:ascii="仿宋" w:hAnsi="仿宋" w:eastAsia="仿宋" w:cs="仿宋"/>
          <w:color w:val="auto"/>
          <w:sz w:val="28"/>
          <w:szCs w:val="28"/>
          <w:highlight w:val="none"/>
          <w:shd w:val="clear" w:color="auto" w:fill="auto"/>
        </w:rPr>
        <w:t>管接至就近雨水管沟或井水中。</w:t>
      </w:r>
    </w:p>
    <w:p w14:paraId="3C22634F">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4</w:t>
      </w:r>
      <w:r>
        <w:rPr>
          <w:rFonts w:hint="eastAsia" w:ascii="仿宋" w:hAnsi="仿宋" w:eastAsia="仿宋" w:cs="仿宋"/>
          <w:color w:val="auto"/>
          <w:sz w:val="28"/>
          <w:szCs w:val="28"/>
          <w:highlight w:val="none"/>
          <w:shd w:val="clear" w:color="auto" w:fill="auto"/>
        </w:rPr>
        <w:t>、全线通长敷设一根40*4的扁钢，作为接地线，接地电阻小于4欧姆。电缆井内接地线安装参见《接地装置安装》</w:t>
      </w:r>
      <w:r>
        <w:rPr>
          <w:rFonts w:hint="eastAsia" w:ascii="仿宋" w:hAnsi="仿宋" w:eastAsia="仿宋" w:cs="仿宋"/>
          <w:color w:val="auto"/>
          <w:sz w:val="28"/>
          <w:szCs w:val="28"/>
          <w:highlight w:val="none"/>
          <w:shd w:val="clear" w:color="auto" w:fill="auto"/>
          <w:lang w:val="en-US" w:eastAsia="zh-CN"/>
        </w:rPr>
        <w:t>15</w:t>
      </w:r>
      <w:r>
        <w:rPr>
          <w:rFonts w:hint="eastAsia" w:ascii="仿宋" w:hAnsi="仿宋" w:eastAsia="仿宋" w:cs="仿宋"/>
          <w:color w:val="auto"/>
          <w:sz w:val="28"/>
          <w:szCs w:val="28"/>
          <w:highlight w:val="none"/>
          <w:shd w:val="clear" w:color="auto" w:fill="auto"/>
        </w:rPr>
        <w:t>D501-4第28页。</w:t>
      </w:r>
    </w:p>
    <w:p w14:paraId="285CAEEC">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5</w:t>
      </w:r>
      <w:r>
        <w:rPr>
          <w:rFonts w:hint="eastAsia" w:ascii="仿宋" w:hAnsi="仿宋" w:eastAsia="仿宋" w:cs="仿宋"/>
          <w:color w:val="auto"/>
          <w:sz w:val="28"/>
          <w:szCs w:val="28"/>
          <w:highlight w:val="none"/>
          <w:shd w:val="clear" w:color="auto" w:fill="auto"/>
        </w:rPr>
        <w:t>、在埋设过程中，如高压电缆管网与路灯管网有冲突，需两者一起配合施工，两者可并列埋设，但两者外皮间距净空不小于0.25米。</w:t>
      </w:r>
    </w:p>
    <w:p w14:paraId="7F012B5E">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6</w:t>
      </w:r>
      <w:r>
        <w:rPr>
          <w:rFonts w:hint="eastAsia" w:ascii="仿宋" w:hAnsi="仿宋" w:eastAsia="仿宋" w:cs="仿宋"/>
          <w:color w:val="auto"/>
          <w:sz w:val="28"/>
          <w:szCs w:val="28"/>
          <w:highlight w:val="none"/>
          <w:shd w:val="clear" w:color="auto" w:fill="auto"/>
        </w:rPr>
        <w:t>、附表</w:t>
      </w:r>
    </w:p>
    <w:p w14:paraId="242F35CB">
      <w:pPr>
        <w:spacing w:line="360" w:lineRule="auto"/>
        <w:ind w:firstLine="560" w:firstLineChars="200"/>
        <w:rPr>
          <w:rFonts w:hint="eastAsia" w:ascii="仿宋" w:hAnsi="仿宋" w:eastAsia="仿宋" w:cs="仿宋"/>
          <w:color w:val="auto"/>
          <w:sz w:val="28"/>
          <w:szCs w:val="28"/>
          <w:highlight w:val="none"/>
          <w:shd w:val="clear" w:color="auto" w:fill="auto"/>
          <w:lang w:val="en-US" w:eastAsia="zh-CN"/>
        </w:rPr>
      </w:pPr>
      <w:r>
        <w:rPr>
          <w:rFonts w:hint="eastAsia" w:ascii="仿宋" w:hAnsi="仿宋" w:eastAsia="仿宋" w:cs="仿宋"/>
          <w:color w:val="auto"/>
          <w:sz w:val="28"/>
          <w:szCs w:val="28"/>
          <w:highlight w:val="none"/>
          <w:shd w:val="clear" w:color="auto" w:fill="auto"/>
          <w:lang w:val="en-US" w:eastAsia="zh-CN"/>
        </w:rPr>
        <w:t>埋地敷设的电缆之间及各种设施平行或交叉时的最小净距    （单位：m）</w:t>
      </w:r>
    </w:p>
    <w:tbl>
      <w:tblPr>
        <w:tblStyle w:val="2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1"/>
        <w:gridCol w:w="1417"/>
        <w:gridCol w:w="1276"/>
      </w:tblGrid>
      <w:tr w14:paraId="25EFE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6F59D96B">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电缆直埋敷设时的情况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53DAC8AE">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平行时</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0A1E653E">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交叉时</w:t>
            </w:r>
          </w:p>
        </w:tc>
      </w:tr>
      <w:tr w14:paraId="7C7DA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60267707">
            <w:pPr>
              <w:spacing w:line="360" w:lineRule="auto"/>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10kV 以上电力电缆之间及其与10kV 及以下和控制电缆之间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0100965E">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0.25</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58B418E3">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54DC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54B28159">
            <w:pPr>
              <w:spacing w:line="360" w:lineRule="auto"/>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10kV以下电力电缆之间及其与控制电缆之间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2387DAAA">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0.1</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79647754">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3633B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1DCEDBBA">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控制电缆之间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467D390A">
            <w:pPr>
              <w:spacing w:line="360" w:lineRule="auto"/>
              <w:jc w:val="center"/>
              <w:rPr>
                <w:rFonts w:hint="eastAsia" w:ascii="仿宋" w:hAnsi="仿宋" w:eastAsia="仿宋" w:cs="仿宋"/>
                <w:color w:val="auto"/>
                <w:sz w:val="28"/>
                <w:szCs w:val="28"/>
                <w:highlight w:val="none"/>
                <w:shd w:val="clear" w:color="auto" w:fill="auto"/>
              </w:rPr>
            </w:pPr>
          </w:p>
        </w:tc>
        <w:tc>
          <w:tcPr>
            <w:tcW w:w="1276" w:type="dxa"/>
            <w:tcBorders>
              <w:top w:val="single" w:color="auto" w:sz="4" w:space="0"/>
              <w:left w:val="single" w:color="auto" w:sz="4" w:space="0"/>
              <w:bottom w:val="single" w:color="auto" w:sz="4" w:space="0"/>
              <w:right w:val="single" w:color="auto" w:sz="4" w:space="0"/>
            </w:tcBorders>
            <w:noWrap w:val="0"/>
            <w:vAlign w:val="top"/>
          </w:tcPr>
          <w:p w14:paraId="798BCD80">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77EE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3F1D0ED7">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通信电缆、不同使用部门的电缆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4B976D6B">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0.5（0.1）</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379F7977">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5CD31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601AB013">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水管、压缩空气管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65C065DC">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0.5</w:t>
            </w:r>
            <w:r>
              <w:rPr>
                <w:rFonts w:hint="eastAsia" w:ascii="仿宋" w:hAnsi="仿宋" w:eastAsia="仿宋" w:cs="仿宋"/>
                <w:color w:val="auto"/>
                <w:sz w:val="28"/>
                <w:szCs w:val="28"/>
                <w:highlight w:val="none"/>
                <w:shd w:val="clear" w:color="auto" w:fill="auto"/>
              </w:rPr>
              <w:t>（0.25）</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048046B2">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7927B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059A5D8F">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可燃气体及易燃液体管道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22EB0DAB">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0DAC3C44">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0.5（0.25）</w:t>
            </w:r>
          </w:p>
        </w:tc>
      </w:tr>
      <w:tr w14:paraId="1C2D3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1FD11B33">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铁道（平行时与轨道、交叉时与轨底，电气化铁路除外）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67D1DB9A">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3</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650F7ECD">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w:t>
            </w:r>
          </w:p>
        </w:tc>
      </w:tr>
      <w:tr w14:paraId="5BAC3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32DA8772">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道路（平行时与路边、交叉时与路面）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38D839DF">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1.5[0.7]</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58FC16FC">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w:t>
            </w:r>
          </w:p>
        </w:tc>
      </w:tr>
      <w:tr w14:paraId="17B77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6A5558A3">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排水明沟（平行时与沟边、交叉时与沟底）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1310FB7A">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1[0.5]</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431579E2">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0.5</w:t>
            </w:r>
          </w:p>
        </w:tc>
      </w:tr>
      <w:tr w14:paraId="4F717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6AD8D44F">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建筑物、构筑物基础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0D768166">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0.6[0.3]</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40578827">
            <w:pPr>
              <w:spacing w:line="360" w:lineRule="auto"/>
              <w:jc w:val="center"/>
              <w:rPr>
                <w:rFonts w:hint="eastAsia" w:ascii="仿宋" w:hAnsi="仿宋" w:eastAsia="仿宋" w:cs="仿宋"/>
                <w:color w:val="auto"/>
                <w:sz w:val="28"/>
                <w:szCs w:val="28"/>
                <w:highlight w:val="none"/>
                <w:shd w:val="clear" w:color="auto" w:fill="auto"/>
              </w:rPr>
            </w:pPr>
          </w:p>
        </w:tc>
      </w:tr>
      <w:tr w14:paraId="4CBA3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15EC45D9">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1kV以下架空线路电杆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07E24C1B">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1[0.5]</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03FB3D90">
            <w:pPr>
              <w:spacing w:line="360" w:lineRule="auto"/>
              <w:jc w:val="center"/>
              <w:rPr>
                <w:rFonts w:hint="eastAsia" w:ascii="仿宋" w:hAnsi="仿宋" w:eastAsia="仿宋" w:cs="仿宋"/>
                <w:color w:val="auto"/>
                <w:sz w:val="28"/>
                <w:szCs w:val="28"/>
                <w:highlight w:val="none"/>
                <w:shd w:val="clear" w:color="auto" w:fill="auto"/>
              </w:rPr>
            </w:pPr>
          </w:p>
        </w:tc>
      </w:tr>
      <w:tr w14:paraId="59BAE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2AA9F4AD">
            <w:pPr>
              <w:spacing w:line="360" w:lineRule="auto"/>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1kV以上架空线路电杆塔基础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12C5A92E">
            <w:pPr>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4[2]</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3C9BA3D6">
            <w:pPr>
              <w:spacing w:line="360" w:lineRule="auto"/>
              <w:jc w:val="center"/>
              <w:rPr>
                <w:rFonts w:hint="eastAsia" w:ascii="仿宋" w:hAnsi="仿宋" w:eastAsia="仿宋" w:cs="仿宋"/>
                <w:color w:val="auto"/>
                <w:sz w:val="28"/>
                <w:szCs w:val="28"/>
                <w:highlight w:val="none"/>
                <w:shd w:val="clear" w:color="auto" w:fill="auto"/>
              </w:rPr>
            </w:pPr>
          </w:p>
        </w:tc>
      </w:tr>
      <w:tr w14:paraId="17819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noWrap w:val="0"/>
            <w:vAlign w:val="top"/>
          </w:tcPr>
          <w:p w14:paraId="512F7BF7">
            <w:pPr>
              <w:widowControl/>
              <w:spacing w:line="360" w:lineRule="auto"/>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树木主干 </w:t>
            </w:r>
          </w:p>
        </w:tc>
        <w:tc>
          <w:tcPr>
            <w:tcW w:w="1417" w:type="dxa"/>
            <w:tcBorders>
              <w:top w:val="single" w:color="auto" w:sz="4" w:space="0"/>
              <w:left w:val="single" w:color="auto" w:sz="4" w:space="0"/>
              <w:bottom w:val="single" w:color="auto" w:sz="4" w:space="0"/>
              <w:right w:val="single" w:color="auto" w:sz="4" w:space="0"/>
            </w:tcBorders>
            <w:noWrap w:val="0"/>
            <w:vAlign w:val="top"/>
          </w:tcPr>
          <w:p w14:paraId="3DCC959B">
            <w:pPr>
              <w:widowControl/>
              <w:spacing w:line="360" w:lineRule="auto"/>
              <w:jc w:val="center"/>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0.7</w:t>
            </w:r>
          </w:p>
        </w:tc>
        <w:tc>
          <w:tcPr>
            <w:tcW w:w="1276" w:type="dxa"/>
            <w:tcBorders>
              <w:top w:val="single" w:color="auto" w:sz="4" w:space="0"/>
              <w:left w:val="single" w:color="auto" w:sz="4" w:space="0"/>
              <w:bottom w:val="single" w:color="auto" w:sz="4" w:space="0"/>
              <w:right w:val="single" w:color="auto" w:sz="4" w:space="0"/>
            </w:tcBorders>
            <w:noWrap w:val="0"/>
            <w:vAlign w:val="top"/>
          </w:tcPr>
          <w:p w14:paraId="1FF2C5E5">
            <w:pPr>
              <w:widowControl/>
              <w:spacing w:line="360" w:lineRule="auto"/>
              <w:jc w:val="center"/>
              <w:rPr>
                <w:rFonts w:hint="eastAsia" w:ascii="仿宋" w:hAnsi="仿宋" w:eastAsia="仿宋" w:cs="仿宋"/>
                <w:color w:val="auto"/>
                <w:sz w:val="28"/>
                <w:szCs w:val="28"/>
                <w:highlight w:val="none"/>
                <w:shd w:val="clear" w:color="auto" w:fill="auto"/>
              </w:rPr>
            </w:pPr>
          </w:p>
        </w:tc>
      </w:tr>
      <w:tr w14:paraId="6BAE2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3"/>
            <w:tcBorders>
              <w:top w:val="single" w:color="auto" w:sz="4" w:space="0"/>
              <w:left w:val="single" w:color="auto" w:sz="4" w:space="0"/>
              <w:bottom w:val="single" w:color="auto" w:sz="4" w:space="0"/>
              <w:right w:val="single" w:color="auto" w:sz="4" w:space="0"/>
            </w:tcBorders>
            <w:noWrap w:val="0"/>
            <w:vAlign w:val="top"/>
          </w:tcPr>
          <w:p w14:paraId="064C2725">
            <w:pPr>
              <w:widowControl/>
              <w:spacing w:line="360" w:lineRule="auto"/>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注：1.表中所列静距，应自各种设施（包括防护外层）的外缘算起。 </w:t>
            </w:r>
          </w:p>
          <w:p w14:paraId="5A610E25">
            <w:pPr>
              <w:widowControl/>
              <w:spacing w:line="360" w:lineRule="auto"/>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     2.路灯电缆与×路灌木丛平行距离不限。 </w:t>
            </w:r>
          </w:p>
          <w:p w14:paraId="4B63704F">
            <w:pPr>
              <w:widowControl/>
              <w:spacing w:line="360" w:lineRule="auto"/>
              <w:ind w:left="361" w:leftChars="172"/>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  3.表中园括号内数字，是指局部地段电缆穿管，加隔板保护后允许的最小净距。   </w:t>
            </w:r>
          </w:p>
          <w:p w14:paraId="17235065">
            <w:pPr>
              <w:widowControl/>
              <w:spacing w:line="360" w:lineRule="auto"/>
              <w:ind w:left="361" w:leftChars="172"/>
              <w:jc w:val="left"/>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 xml:space="preserve">    方括号内数字指特殊情况下可采用的最小值。 </w:t>
            </w:r>
          </w:p>
        </w:tc>
      </w:tr>
    </w:tbl>
    <w:p w14:paraId="7AECA9EA">
      <w:pPr>
        <w:spacing w:line="360" w:lineRule="auto"/>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5.3.3施工注意事项</w:t>
      </w:r>
    </w:p>
    <w:p w14:paraId="21D46E5C">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1.施工单位进场后，应逐一查明工程场所及周边状况，重视施工过程对周边环境肯能造成的人员、物体破坏的安全影响，对跨越重要设施、路线等施工方案需报主管部门审批后方可实施。</w:t>
      </w:r>
    </w:p>
    <w:p w14:paraId="30EFEE82">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2.施工单位应根据《城市道路照明工程施工及验收规程》（CJJ89-2012）</w:t>
      </w:r>
      <w:r>
        <w:rPr>
          <w:rFonts w:hint="eastAsia" w:ascii="仿宋" w:hAnsi="仿宋" w:eastAsia="仿宋" w:cs="仿宋"/>
          <w:sz w:val="28"/>
          <w:szCs w:val="28"/>
        </w:rPr>
        <w:t>、《通信管道工程施工及验收规范》（GB50374-20</w:t>
      </w:r>
      <w:r>
        <w:rPr>
          <w:rFonts w:hint="eastAsia" w:ascii="仿宋" w:hAnsi="仿宋" w:eastAsia="仿宋" w:cs="仿宋"/>
          <w:sz w:val="28"/>
          <w:szCs w:val="28"/>
          <w:lang w:val="en-US" w:eastAsia="zh-CN"/>
        </w:rPr>
        <w:t>18</w:t>
      </w:r>
      <w:r>
        <w:rPr>
          <w:rFonts w:hint="eastAsia" w:ascii="仿宋" w:hAnsi="仿宋" w:eastAsia="仿宋" w:cs="仿宋"/>
          <w:sz w:val="28"/>
          <w:szCs w:val="28"/>
        </w:rPr>
        <w:t>）</w:t>
      </w:r>
      <w:r>
        <w:rPr>
          <w:rFonts w:hint="eastAsia" w:ascii="仿宋" w:hAnsi="仿宋" w:eastAsia="仿宋" w:cs="仿宋"/>
          <w:color w:val="auto"/>
          <w:sz w:val="28"/>
          <w:szCs w:val="28"/>
          <w:highlight w:val="none"/>
          <w:shd w:val="clear" w:color="auto" w:fill="auto"/>
        </w:rPr>
        <w:t>，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w:t>
      </w:r>
    </w:p>
    <w:p w14:paraId="2B51C5CB">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3.除本说明提及的施工安全要求外，施工单位还应根据场地环境、施工工艺特点及安全风险分析，制定相应安全措施，以策安全。</w:t>
      </w:r>
    </w:p>
    <w:p w14:paraId="65374BC7">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rPr>
        <w:t>4.施工中必须严格执行相关标准及规范的要求。</w:t>
      </w:r>
    </w:p>
    <w:p w14:paraId="6EC06A85">
      <w:pPr>
        <w:pStyle w:val="3"/>
        <w:numPr>
          <w:ilvl w:val="1"/>
          <w:numId w:val="0"/>
        </w:numPr>
        <w:spacing w:before="0" w:after="0" w:line="360" w:lineRule="auto"/>
        <w:rPr>
          <w:rFonts w:hint="eastAsia" w:ascii="仿宋" w:hAnsi="仿宋" w:eastAsia="仿宋" w:cs="仿宋"/>
          <w:sz w:val="28"/>
          <w:szCs w:val="28"/>
          <w:lang w:val="en-US" w:eastAsia="zh-CN"/>
        </w:rPr>
      </w:pPr>
      <w:r>
        <w:rPr>
          <w:rFonts w:hint="eastAsia" w:ascii="仿宋" w:hAnsi="仿宋" w:eastAsia="仿宋" w:cs="仿宋"/>
          <w:sz w:val="28"/>
          <w:szCs w:val="28"/>
        </w:rPr>
        <w:t>5.</w:t>
      </w:r>
      <w:r>
        <w:rPr>
          <w:rFonts w:hint="eastAsia" w:ascii="仿宋" w:hAnsi="仿宋" w:eastAsia="仿宋" w:cs="仿宋"/>
          <w:sz w:val="28"/>
          <w:szCs w:val="28"/>
          <w:lang w:val="en-US" w:eastAsia="zh-CN"/>
        </w:rPr>
        <w:t>4</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园林绿化工程</w:t>
      </w:r>
    </w:p>
    <w:p w14:paraId="17D87795">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园林绿化工程说明详见专业图纸</w:t>
      </w:r>
      <w:r>
        <w:rPr>
          <w:rFonts w:hint="eastAsia" w:ascii="仿宋" w:hAnsi="仿宋" w:eastAsia="仿宋" w:cs="仿宋"/>
          <w:color w:val="auto"/>
          <w:sz w:val="28"/>
          <w:szCs w:val="28"/>
          <w:highlight w:val="none"/>
          <w:shd w:val="clear" w:color="auto" w:fill="auto"/>
        </w:rPr>
        <w:t>。</w:t>
      </w:r>
    </w:p>
    <w:p w14:paraId="3FEF04FD">
      <w:pPr>
        <w:pStyle w:val="3"/>
        <w:numPr>
          <w:ilvl w:val="1"/>
          <w:numId w:val="0"/>
        </w:numPr>
        <w:spacing w:before="0" w:after="0" w:line="360" w:lineRule="auto"/>
        <w:rPr>
          <w:rFonts w:hint="eastAsia" w:ascii="仿宋" w:hAnsi="仿宋" w:eastAsia="仿宋" w:cs="仿宋"/>
          <w:sz w:val="28"/>
          <w:szCs w:val="28"/>
          <w:lang w:val="en-US" w:eastAsia="zh-CN"/>
        </w:rPr>
      </w:pPr>
      <w:r>
        <w:rPr>
          <w:rFonts w:hint="eastAsia" w:ascii="仿宋" w:hAnsi="仿宋" w:eastAsia="仿宋" w:cs="仿宋"/>
          <w:sz w:val="28"/>
          <w:szCs w:val="28"/>
        </w:rPr>
        <w:t>5.</w:t>
      </w:r>
      <w:r>
        <w:rPr>
          <w:rFonts w:hint="eastAsia" w:ascii="仿宋" w:hAnsi="仿宋" w:eastAsia="仿宋" w:cs="仿宋"/>
          <w:sz w:val="28"/>
          <w:szCs w:val="28"/>
          <w:lang w:val="en-US" w:eastAsia="zh-CN"/>
        </w:rPr>
        <w:t>5</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建筑工程</w:t>
      </w:r>
    </w:p>
    <w:p w14:paraId="16BC1394">
      <w:pPr>
        <w:spacing w:line="360" w:lineRule="auto"/>
        <w:ind w:firstLine="560" w:firstLineChars="200"/>
        <w:rPr>
          <w:rFonts w:hint="eastAsia" w:ascii="仿宋" w:hAnsi="仿宋" w:eastAsia="仿宋" w:cs="仿宋"/>
          <w:color w:val="auto"/>
          <w:sz w:val="28"/>
          <w:szCs w:val="28"/>
          <w:highlight w:val="none"/>
          <w:shd w:val="clear" w:color="auto" w:fill="auto"/>
        </w:rPr>
      </w:pPr>
      <w:r>
        <w:rPr>
          <w:rFonts w:hint="eastAsia" w:ascii="仿宋" w:hAnsi="仿宋" w:eastAsia="仿宋" w:cs="仿宋"/>
          <w:color w:val="auto"/>
          <w:sz w:val="28"/>
          <w:szCs w:val="28"/>
          <w:highlight w:val="none"/>
          <w:shd w:val="clear" w:color="auto" w:fill="auto"/>
          <w:lang w:val="en-US" w:eastAsia="zh-CN"/>
        </w:rPr>
        <w:t>建筑工程说明详见专业图纸</w:t>
      </w:r>
      <w:r>
        <w:rPr>
          <w:rFonts w:hint="eastAsia" w:ascii="仿宋" w:hAnsi="仿宋" w:eastAsia="仿宋" w:cs="仿宋"/>
          <w:color w:val="auto"/>
          <w:sz w:val="28"/>
          <w:szCs w:val="28"/>
          <w:highlight w:val="none"/>
          <w:shd w:val="clear" w:color="auto" w:fill="auto"/>
        </w:rPr>
        <w:t>。</w:t>
      </w:r>
    </w:p>
    <w:p w14:paraId="5C94B1CC">
      <w:pPr>
        <w:pStyle w:val="2"/>
        <w:numPr>
          <w:ilvl w:val="0"/>
          <w:numId w:val="3"/>
        </w:numPr>
        <w:spacing w:before="146" w:beforeLines="50" w:beforeAutospacing="0" w:after="146" w:afterLines="50" w:afterAutospacing="0" w:line="360" w:lineRule="auto"/>
        <w:ind w:left="0" w:firstLine="0"/>
        <w:rPr>
          <w:rFonts w:ascii="仿宋" w:hAnsi="仿宋" w:eastAsia="仿宋" w:cs="仿宋"/>
          <w:sz w:val="32"/>
          <w:szCs w:val="32"/>
        </w:rPr>
      </w:pPr>
      <w:r>
        <w:rPr>
          <w:rFonts w:hint="eastAsia" w:ascii="仿宋" w:hAnsi="仿宋" w:eastAsia="仿宋" w:cs="仿宋"/>
          <w:sz w:val="32"/>
          <w:szCs w:val="32"/>
          <w:lang w:val="en-US" w:eastAsia="zh-CN"/>
        </w:rPr>
        <w:t>施工注意事项</w:t>
      </w:r>
    </w:p>
    <w:p w14:paraId="79B7B0D7">
      <w:pPr>
        <w:spacing w:line="360" w:lineRule="auto"/>
        <w:ind w:firstLine="570"/>
        <w:rPr>
          <w:rFonts w:ascii="仿宋" w:hAnsi="仿宋" w:eastAsia="仿宋" w:cs="仿宋"/>
          <w:sz w:val="28"/>
          <w:szCs w:val="28"/>
        </w:rPr>
      </w:pPr>
      <w:r>
        <w:rPr>
          <w:rFonts w:hint="eastAsia" w:ascii="仿宋" w:hAnsi="仿宋" w:eastAsia="仿宋" w:cs="仿宋"/>
          <w:sz w:val="28"/>
          <w:szCs w:val="28"/>
        </w:rPr>
        <w:t>1．必须严格按照施工规范进行施工。</w:t>
      </w:r>
    </w:p>
    <w:p w14:paraId="06BB4F66">
      <w:pPr>
        <w:spacing w:line="360" w:lineRule="auto"/>
        <w:ind w:firstLine="570"/>
        <w:rPr>
          <w:rFonts w:ascii="仿宋" w:hAnsi="仿宋" w:eastAsia="仿宋" w:cs="仿宋"/>
          <w:sz w:val="28"/>
          <w:szCs w:val="28"/>
        </w:rPr>
      </w:pPr>
      <w:r>
        <w:rPr>
          <w:rFonts w:hint="eastAsia" w:ascii="仿宋" w:hAnsi="仿宋" w:eastAsia="仿宋" w:cs="仿宋"/>
          <w:sz w:val="28"/>
          <w:szCs w:val="28"/>
        </w:rPr>
        <w:t>2．施工前应进行复测，对施工范围内的控制点应迁出保护，以便施工。</w:t>
      </w:r>
    </w:p>
    <w:p w14:paraId="7BC4828F">
      <w:pPr>
        <w:spacing w:line="360" w:lineRule="auto"/>
        <w:ind w:firstLine="570"/>
        <w:rPr>
          <w:rFonts w:ascii="仿宋" w:hAnsi="仿宋" w:eastAsia="仿宋" w:cs="仿宋"/>
          <w:sz w:val="28"/>
          <w:szCs w:val="28"/>
        </w:rPr>
      </w:pPr>
      <w:r>
        <w:rPr>
          <w:rFonts w:hint="eastAsia" w:ascii="仿宋" w:hAnsi="仿宋" w:eastAsia="仿宋" w:cs="仿宋"/>
          <w:sz w:val="28"/>
          <w:szCs w:val="28"/>
        </w:rPr>
        <w:t>3．施工时应与各管线单位协调，避免重复开挖和窝工。</w:t>
      </w:r>
    </w:p>
    <w:p w14:paraId="7D2E3E96">
      <w:pPr>
        <w:spacing w:line="360" w:lineRule="auto"/>
        <w:ind w:firstLine="570"/>
        <w:rPr>
          <w:rFonts w:ascii="仿宋" w:hAnsi="仿宋" w:eastAsia="仿宋" w:cs="仿宋"/>
          <w:sz w:val="28"/>
          <w:szCs w:val="28"/>
        </w:rPr>
      </w:pPr>
      <w:r>
        <w:rPr>
          <w:rFonts w:hint="eastAsia" w:ascii="仿宋" w:hAnsi="仿宋" w:eastAsia="仿宋" w:cs="仿宋"/>
          <w:sz w:val="28"/>
          <w:szCs w:val="28"/>
        </w:rPr>
        <w:t>4．路基施工前必须清除表面腐植土、垃圾、淤泥。</w:t>
      </w:r>
    </w:p>
    <w:p w14:paraId="196EDB12">
      <w:pPr>
        <w:spacing w:line="360" w:lineRule="auto"/>
        <w:ind w:firstLine="570"/>
        <w:rPr>
          <w:rFonts w:ascii="仿宋" w:hAnsi="仿宋" w:eastAsia="仿宋" w:cs="仿宋"/>
          <w:sz w:val="28"/>
          <w:szCs w:val="28"/>
        </w:rPr>
      </w:pPr>
      <w:r>
        <w:rPr>
          <w:rFonts w:hint="eastAsia" w:ascii="仿宋" w:hAnsi="仿宋" w:eastAsia="仿宋" w:cs="仿宋"/>
          <w:sz w:val="28"/>
          <w:szCs w:val="28"/>
        </w:rPr>
        <w:t>5．本工程中所用混凝土均采用商品混凝土。</w:t>
      </w:r>
    </w:p>
    <w:p w14:paraId="44219068">
      <w:pPr>
        <w:spacing w:line="360" w:lineRule="auto"/>
        <w:ind w:firstLine="570"/>
        <w:rPr>
          <w:rFonts w:ascii="仿宋" w:hAnsi="仿宋" w:eastAsia="仿宋" w:cs="仿宋"/>
          <w:sz w:val="28"/>
          <w:szCs w:val="28"/>
        </w:rPr>
      </w:pPr>
      <w:r>
        <w:rPr>
          <w:rFonts w:hint="eastAsia" w:ascii="仿宋" w:hAnsi="仿宋" w:eastAsia="仿宋" w:cs="仿宋"/>
          <w:sz w:val="28"/>
          <w:szCs w:val="28"/>
        </w:rPr>
        <w:t>6.</w:t>
      </w:r>
      <w:r>
        <w:rPr>
          <w:rFonts w:ascii="仿宋" w:hAnsi="仿宋" w:eastAsia="仿宋" w:cs="仿宋"/>
          <w:sz w:val="28"/>
          <w:szCs w:val="28"/>
        </w:rPr>
        <w:t xml:space="preserve"> </w:t>
      </w:r>
      <w:r>
        <w:rPr>
          <w:rFonts w:hint="eastAsia" w:ascii="仿宋" w:hAnsi="仿宋" w:eastAsia="仿宋" w:cs="仿宋"/>
          <w:sz w:val="28"/>
          <w:szCs w:val="28"/>
        </w:rPr>
        <w:t>交安设施施工前，应征询交警部门意见。</w:t>
      </w:r>
    </w:p>
    <w:p w14:paraId="549F65D0">
      <w:pPr>
        <w:spacing w:line="360" w:lineRule="auto"/>
        <w:ind w:firstLine="570"/>
        <w:rPr>
          <w:rFonts w:ascii="仿宋" w:hAnsi="仿宋" w:eastAsia="仿宋" w:cs="仿宋"/>
          <w:sz w:val="28"/>
          <w:szCs w:val="28"/>
        </w:rPr>
      </w:pPr>
      <w:r>
        <w:rPr>
          <w:rFonts w:hint="eastAsia" w:ascii="仿宋" w:hAnsi="仿宋" w:eastAsia="仿宋" w:cs="仿宋"/>
          <w:sz w:val="28"/>
          <w:szCs w:val="28"/>
        </w:rPr>
        <w:t>7．其他未尽事宜按相关规范执行。</w:t>
      </w:r>
    </w:p>
    <w:p w14:paraId="1ADE7796">
      <w:pPr>
        <w:spacing w:line="360" w:lineRule="auto"/>
        <w:jc w:val="right"/>
        <w:rPr>
          <w:rFonts w:ascii="仿宋" w:hAnsi="仿宋" w:eastAsia="仿宋" w:cs="仿宋"/>
          <w:sz w:val="28"/>
          <w:szCs w:val="28"/>
        </w:rPr>
      </w:pPr>
    </w:p>
    <w:p w14:paraId="4D4E466E">
      <w:pPr>
        <w:wordWrap w:val="0"/>
        <w:spacing w:line="360" w:lineRule="auto"/>
        <w:jc w:val="right"/>
        <w:rPr>
          <w:rFonts w:ascii="仿宋" w:hAnsi="仿宋" w:eastAsia="仿宋" w:cs="仿宋"/>
          <w:sz w:val="28"/>
          <w:szCs w:val="28"/>
        </w:rPr>
      </w:pPr>
      <w:r>
        <w:rPr>
          <w:rFonts w:hint="eastAsia" w:ascii="仿宋" w:hAnsi="仿宋" w:eastAsia="仿宋" w:cs="仿宋"/>
          <w:sz w:val="28"/>
          <w:szCs w:val="28"/>
        </w:rPr>
        <w:t xml:space="preserve">        </w:t>
      </w:r>
    </w:p>
    <w:sectPr>
      <w:type w:val="continuous"/>
      <w:pgSz w:w="23814" w:h="16840" w:orient="landscape"/>
      <w:pgMar w:top="1797" w:right="1440" w:bottom="1134" w:left="1440" w:header="851" w:footer="992" w:gutter="0"/>
      <w:cols w:space="1680" w:num="2"/>
      <w:docGrid w:type="lines" w:linePitch="29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长城细圆体">
    <w:altName w:val="宋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Helvetica">
    <w:altName w:val="Arial"/>
    <w:panose1 w:val="020B0604020202020204"/>
    <w:charset w:val="00"/>
    <w:family w:val="swiss"/>
    <w:pitch w:val="default"/>
    <w:sig w:usb0="00000000" w:usb1="00000000" w:usb2="00000009" w:usb3="00000000" w:csb0="000001FF"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853F53">
    <w:pPr>
      <w:pStyle w:val="18"/>
      <w:framePr w:wrap="around" w:vAnchor="text" w:hAnchor="margin" w:xAlign="center" w:y="1"/>
      <w:rPr>
        <w:rStyle w:val="26"/>
      </w:rPr>
    </w:pPr>
    <w:r>
      <w:rPr>
        <w:rStyle w:val="26"/>
      </w:rPr>
      <w:fldChar w:fldCharType="begin"/>
    </w:r>
    <w:r>
      <w:rPr>
        <w:rStyle w:val="26"/>
      </w:rPr>
      <w:instrText xml:space="preserve">PAGE  </w:instrText>
    </w:r>
    <w:r>
      <w:rPr>
        <w:rStyle w:val="26"/>
      </w:rPr>
      <w:fldChar w:fldCharType="separate"/>
    </w:r>
    <w:r>
      <w:rPr>
        <w:rStyle w:val="26"/>
      </w:rPr>
      <w:t>43</w:t>
    </w:r>
    <w:r>
      <w:rPr>
        <w:rStyle w:val="26"/>
      </w:rPr>
      <w:fldChar w:fldCharType="end"/>
    </w:r>
  </w:p>
  <w:p w14:paraId="601B7307">
    <w:pPr>
      <w:pStyle w:val="18"/>
      <w:ind w:right="360"/>
      <w:jc w:val="right"/>
      <w:rPr>
        <w:rFonts w:ascii="仿宋_GB2312" w:eastAsia="仿宋_GB2312"/>
        <w:sz w:val="24"/>
        <w:szCs w:val="24"/>
      </w:rPr>
    </w:pPr>
    <w:r>
      <w:rPr>
        <w:rFonts w:ascii="仿宋_GB2312" w:eastAsia="仿宋_GB2312"/>
        <w:sz w:val="24"/>
        <w:szCs w:val="24"/>
      </w:rPr>
      <mc:AlternateContent>
        <mc:Choice Requires="wps">
          <w:drawing>
            <wp:anchor distT="0" distB="0" distL="114300" distR="114300" simplePos="0" relativeHeight="251659264" behindDoc="0" locked="0" layoutInCell="1" allowOverlap="1">
              <wp:simplePos x="0" y="0"/>
              <wp:positionH relativeFrom="column">
                <wp:posOffset>215900</wp:posOffset>
              </wp:positionH>
              <wp:positionV relativeFrom="paragraph">
                <wp:posOffset>127635</wp:posOffset>
              </wp:positionV>
              <wp:extent cx="12519025" cy="0"/>
              <wp:effectExtent l="6350" t="13335" r="9525" b="5715"/>
              <wp:wrapNone/>
              <wp:docPr id="1" name="Line 3"/>
              <wp:cNvGraphicFramePr/>
              <a:graphic xmlns:a="http://schemas.openxmlformats.org/drawingml/2006/main">
                <a:graphicData uri="http://schemas.microsoft.com/office/word/2010/wordprocessingShape">
                  <wps:wsp>
                    <wps:cNvCnPr>
                      <a:cxnSpLocks noChangeShapeType="1"/>
                    </wps:cNvCnPr>
                    <wps:spPr bwMode="auto">
                      <a:xfrm>
                        <a:off x="0" y="0"/>
                        <a:ext cx="12519025" cy="0"/>
                      </a:xfrm>
                      <a:prstGeom prst="line">
                        <a:avLst/>
                      </a:prstGeom>
                      <a:noFill/>
                      <a:ln w="9525">
                        <a:solidFill>
                          <a:srgbClr val="000000"/>
                        </a:solidFill>
                        <a:round/>
                      </a:ln>
                    </wps:spPr>
                    <wps:bodyPr/>
                  </wps:wsp>
                </a:graphicData>
              </a:graphic>
            </wp:anchor>
          </w:drawing>
        </mc:Choice>
        <mc:Fallback>
          <w:pict>
            <v:line id="Line 3" o:spid="_x0000_s1026" o:spt="20" style="position:absolute;left:0pt;margin-left:17pt;margin-top:10.05pt;height:0pt;width:985.75pt;z-index:251659264;mso-width-relative:page;mso-height-relative:page;" filled="f" stroked="t" coordsize="21600,21600" o:gfxdata="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hcRTE1QAAAAkBAAAPAAAAAAAAAAEAIAAAACIAAABkcnMvZG93bnJl&#10;di54bWxQSwECFAAUAAAACACHTuJA/gTlDccBAACgAwAADgAAAAAAAAABACAAAAAkAQAAZHJzL2Uy&#10;b0RvYy54bWxQSwUGAAAAAAYABgBZAQAAXQUAAAAA&#10;">
              <v:fill on="f" focussize="0,0"/>
              <v:stroke color="#000000" joinstyle="round"/>
              <v:imagedata o:title=""/>
              <o:lock v:ext="edit" aspectratio="f"/>
            </v:line>
          </w:pict>
        </mc:Fallback>
      </mc:AlternateContent>
    </w:r>
  </w:p>
  <w:p w14:paraId="729D21AE">
    <w:pPr>
      <w:pStyle w:val="18"/>
      <w:ind w:right="360"/>
      <w:jc w:val="right"/>
      <w:rPr>
        <w:rFonts w:ascii="仿宋_GB2312" w:eastAsia="仿宋_GB2312"/>
        <w:sz w:val="21"/>
        <w:szCs w:val="21"/>
      </w:rPr>
    </w:pPr>
    <w:r>
      <w:rPr>
        <w:rFonts w:hint="eastAsia" w:ascii="仿宋_GB2312" w:eastAsia="仿宋_GB2312"/>
        <w:sz w:val="21"/>
        <w:szCs w:val="21"/>
      </w:rPr>
      <w:t>岳阳市规划勘测设计院有限公司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68AC37">
    <w:pPr>
      <w:pStyle w:val="18"/>
      <w:framePr w:wrap="around" w:vAnchor="text" w:hAnchor="margin" w:xAlign="center" w:y="1"/>
      <w:rPr>
        <w:rStyle w:val="26"/>
      </w:rPr>
    </w:pPr>
    <w:r>
      <w:rPr>
        <w:rStyle w:val="26"/>
      </w:rPr>
      <w:fldChar w:fldCharType="begin"/>
    </w:r>
    <w:r>
      <w:rPr>
        <w:rStyle w:val="26"/>
      </w:rPr>
      <w:instrText xml:space="preserve">PAGE  </w:instrText>
    </w:r>
    <w:r>
      <w:rPr>
        <w:rStyle w:val="26"/>
      </w:rPr>
      <w:fldChar w:fldCharType="end"/>
    </w:r>
  </w:p>
  <w:p w14:paraId="1F5375F2">
    <w:pPr>
      <w:pStyle w:val="18"/>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A8CFE">
    <w:pPr>
      <w:pStyle w:val="19"/>
      <w:jc w:val="both"/>
      <w:rPr>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FF23F4"/>
    <w:multiLevelType w:val="singleLevel"/>
    <w:tmpl w:val="85FF23F4"/>
    <w:lvl w:ilvl="0" w:tentative="0">
      <w:start w:val="1"/>
      <w:numFmt w:val="decimal"/>
      <w:lvlText w:val="%1."/>
      <w:lvlJc w:val="left"/>
      <w:pPr>
        <w:tabs>
          <w:tab w:val="left" w:pos="312"/>
        </w:tabs>
      </w:pPr>
    </w:lvl>
  </w:abstractNum>
  <w:abstractNum w:abstractNumId="1">
    <w:nsid w:val="A000F89C"/>
    <w:multiLevelType w:val="singleLevel"/>
    <w:tmpl w:val="A000F89C"/>
    <w:lvl w:ilvl="0" w:tentative="0">
      <w:start w:val="2"/>
      <w:numFmt w:val="decimal"/>
      <w:suff w:val="nothing"/>
      <w:lvlText w:val="（%1）"/>
      <w:lvlJc w:val="left"/>
    </w:lvl>
  </w:abstractNum>
  <w:abstractNum w:abstractNumId="2">
    <w:nsid w:val="A42AB3A6"/>
    <w:multiLevelType w:val="multilevel"/>
    <w:tmpl w:val="A42AB3A6"/>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A70ABBF9"/>
    <w:multiLevelType w:val="singleLevel"/>
    <w:tmpl w:val="A70ABBF9"/>
    <w:lvl w:ilvl="0" w:tentative="0">
      <w:start w:val="2"/>
      <w:numFmt w:val="decimal"/>
      <w:suff w:val="nothing"/>
      <w:lvlText w:val="%1、"/>
      <w:lvlJc w:val="left"/>
    </w:lvl>
  </w:abstractNum>
  <w:abstractNum w:abstractNumId="4">
    <w:nsid w:val="FDD63A21"/>
    <w:multiLevelType w:val="singleLevel"/>
    <w:tmpl w:val="FDD63A21"/>
    <w:lvl w:ilvl="0" w:tentative="0">
      <w:start w:val="2"/>
      <w:numFmt w:val="decimal"/>
      <w:suff w:val="nothing"/>
      <w:lvlText w:val="%1、"/>
      <w:lvlJc w:val="left"/>
    </w:lvl>
  </w:abstractNum>
  <w:abstractNum w:abstractNumId="5">
    <w:nsid w:val="4026008A"/>
    <w:multiLevelType w:val="singleLevel"/>
    <w:tmpl w:val="4026008A"/>
    <w:lvl w:ilvl="0" w:tentative="0">
      <w:start w:val="2"/>
      <w:numFmt w:val="decimal"/>
      <w:suff w:val="nothing"/>
      <w:lvlText w:val="%1、"/>
      <w:lvlJc w:val="left"/>
    </w:lvl>
  </w:abstractNum>
  <w:abstractNum w:abstractNumId="6">
    <w:nsid w:val="5BC00FA5"/>
    <w:multiLevelType w:val="multilevel"/>
    <w:tmpl w:val="5BC00FA5"/>
    <w:lvl w:ilvl="0" w:tentative="0">
      <w:start w:val="1"/>
      <w:numFmt w:val="bullet"/>
      <w:pStyle w:val="45"/>
      <w:lvlText w:val=""/>
      <w:lvlJc w:val="left"/>
      <w:pPr>
        <w:tabs>
          <w:tab w:val="left" w:pos="1320"/>
        </w:tabs>
        <w:ind w:left="1320" w:hanging="420"/>
      </w:pPr>
      <w:rPr>
        <w:rFonts w:hint="default" w:ascii="Wingdings" w:hAnsi="Wingdings"/>
        <w:color w:val="auto"/>
      </w:rPr>
    </w:lvl>
    <w:lvl w:ilvl="1" w:tentative="0">
      <w:start w:val="1"/>
      <w:numFmt w:val="bullet"/>
      <w:lvlText w:val=""/>
      <w:lvlJc w:val="left"/>
      <w:pPr>
        <w:tabs>
          <w:tab w:val="left" w:pos="1400"/>
        </w:tabs>
        <w:ind w:left="1400" w:hanging="420"/>
      </w:pPr>
      <w:rPr>
        <w:rFonts w:hint="default" w:ascii="Wingdings" w:hAnsi="Wingdings"/>
      </w:rPr>
    </w:lvl>
    <w:lvl w:ilvl="2" w:tentative="0">
      <w:start w:val="1"/>
      <w:numFmt w:val="bullet"/>
      <w:lvlText w:val=""/>
      <w:lvlJc w:val="left"/>
      <w:pPr>
        <w:tabs>
          <w:tab w:val="left" w:pos="1820"/>
        </w:tabs>
        <w:ind w:left="1820" w:hanging="420"/>
      </w:pPr>
      <w:rPr>
        <w:rFonts w:hint="default" w:ascii="Wingdings" w:hAnsi="Wingdings"/>
      </w:rPr>
    </w:lvl>
    <w:lvl w:ilvl="3" w:tentative="0">
      <w:start w:val="1"/>
      <w:numFmt w:val="bullet"/>
      <w:lvlText w:val=""/>
      <w:lvlJc w:val="left"/>
      <w:pPr>
        <w:tabs>
          <w:tab w:val="left" w:pos="2240"/>
        </w:tabs>
        <w:ind w:left="2240" w:hanging="420"/>
      </w:pPr>
      <w:rPr>
        <w:rFonts w:hint="default" w:ascii="Wingdings" w:hAnsi="Wingdings"/>
      </w:rPr>
    </w:lvl>
    <w:lvl w:ilvl="4" w:tentative="0">
      <w:start w:val="1"/>
      <w:numFmt w:val="bullet"/>
      <w:lvlText w:val=""/>
      <w:lvlJc w:val="left"/>
      <w:pPr>
        <w:tabs>
          <w:tab w:val="left" w:pos="2660"/>
        </w:tabs>
        <w:ind w:left="2660" w:hanging="420"/>
      </w:pPr>
      <w:rPr>
        <w:rFonts w:hint="default" w:ascii="Wingdings" w:hAnsi="Wingdings"/>
      </w:rPr>
    </w:lvl>
    <w:lvl w:ilvl="5" w:tentative="0">
      <w:start w:val="1"/>
      <w:numFmt w:val="bullet"/>
      <w:lvlText w:val=""/>
      <w:lvlJc w:val="left"/>
      <w:pPr>
        <w:tabs>
          <w:tab w:val="left" w:pos="3080"/>
        </w:tabs>
        <w:ind w:left="3080" w:hanging="420"/>
      </w:pPr>
      <w:rPr>
        <w:rFonts w:hint="default" w:ascii="Wingdings" w:hAnsi="Wingdings"/>
      </w:rPr>
    </w:lvl>
    <w:lvl w:ilvl="6" w:tentative="0">
      <w:start w:val="1"/>
      <w:numFmt w:val="bullet"/>
      <w:lvlText w:val=""/>
      <w:lvlJc w:val="left"/>
      <w:pPr>
        <w:tabs>
          <w:tab w:val="left" w:pos="3500"/>
        </w:tabs>
        <w:ind w:left="3500" w:hanging="420"/>
      </w:pPr>
      <w:rPr>
        <w:rFonts w:hint="default" w:ascii="Wingdings" w:hAnsi="Wingdings"/>
      </w:rPr>
    </w:lvl>
    <w:lvl w:ilvl="7" w:tentative="0">
      <w:start w:val="1"/>
      <w:numFmt w:val="bullet"/>
      <w:lvlText w:val=""/>
      <w:lvlJc w:val="left"/>
      <w:pPr>
        <w:tabs>
          <w:tab w:val="left" w:pos="3920"/>
        </w:tabs>
        <w:ind w:left="3920" w:hanging="420"/>
      </w:pPr>
      <w:rPr>
        <w:rFonts w:hint="default" w:ascii="Wingdings" w:hAnsi="Wingdings"/>
      </w:rPr>
    </w:lvl>
    <w:lvl w:ilvl="8" w:tentative="0">
      <w:start w:val="1"/>
      <w:numFmt w:val="bullet"/>
      <w:lvlText w:val=""/>
      <w:lvlJc w:val="left"/>
      <w:pPr>
        <w:tabs>
          <w:tab w:val="left" w:pos="4340"/>
        </w:tabs>
        <w:ind w:left="4340" w:hanging="420"/>
      </w:pPr>
      <w:rPr>
        <w:rFonts w:hint="default" w:ascii="Wingdings" w:hAnsi="Wingdings"/>
      </w:rPr>
    </w:lvl>
  </w:abstractNum>
  <w:abstractNum w:abstractNumId="7">
    <w:nsid w:val="7E5D0402"/>
    <w:multiLevelType w:val="multilevel"/>
    <w:tmpl w:val="7E5D0402"/>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6"/>
  </w:num>
  <w:num w:numId="3">
    <w:abstractNumId w:val="7"/>
  </w:num>
  <w:num w:numId="4">
    <w:abstractNumId w:val="4"/>
  </w:num>
  <w:num w:numId="5">
    <w:abstractNumId w:val="0"/>
  </w:num>
  <w:num w:numId="6">
    <w:abstractNumId w:val="3"/>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drawingGridHorizontalSpacing w:val="105"/>
  <w:drawingGridVerticalSpacing w:val="146"/>
  <w:displayHorizontalDrawingGridEvery w:val="0"/>
  <w:displayVerticalDrawingGridEvery w:val="2"/>
  <w:characterSpacingControl w:val="compressPunctuation"/>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g2ZmU3MWM3OGUzNTJkNTdkMmM1NjBjNmFmZDA0OGQifQ=="/>
  </w:docVars>
  <w:rsids>
    <w:rsidRoot w:val="00172A27"/>
    <w:rsid w:val="00001222"/>
    <w:rsid w:val="00001370"/>
    <w:rsid w:val="00002DC3"/>
    <w:rsid w:val="00003EB3"/>
    <w:rsid w:val="00004C86"/>
    <w:rsid w:val="000051B0"/>
    <w:rsid w:val="000056CE"/>
    <w:rsid w:val="00005BA0"/>
    <w:rsid w:val="000065AD"/>
    <w:rsid w:val="00006F70"/>
    <w:rsid w:val="00007057"/>
    <w:rsid w:val="00007BA0"/>
    <w:rsid w:val="000100CE"/>
    <w:rsid w:val="00010EF4"/>
    <w:rsid w:val="000113BB"/>
    <w:rsid w:val="00012A1C"/>
    <w:rsid w:val="00013C57"/>
    <w:rsid w:val="00015901"/>
    <w:rsid w:val="00015E78"/>
    <w:rsid w:val="000167B5"/>
    <w:rsid w:val="00016D1F"/>
    <w:rsid w:val="00021739"/>
    <w:rsid w:val="000218E9"/>
    <w:rsid w:val="0002256F"/>
    <w:rsid w:val="00022A79"/>
    <w:rsid w:val="00022B32"/>
    <w:rsid w:val="000233AF"/>
    <w:rsid w:val="000238CB"/>
    <w:rsid w:val="00023D3D"/>
    <w:rsid w:val="00023D8F"/>
    <w:rsid w:val="00023FB3"/>
    <w:rsid w:val="000246D8"/>
    <w:rsid w:val="00024A61"/>
    <w:rsid w:val="00024E7B"/>
    <w:rsid w:val="000256BE"/>
    <w:rsid w:val="00025BA4"/>
    <w:rsid w:val="0002619F"/>
    <w:rsid w:val="00026CD0"/>
    <w:rsid w:val="00026DD5"/>
    <w:rsid w:val="000278BA"/>
    <w:rsid w:val="00027932"/>
    <w:rsid w:val="00031151"/>
    <w:rsid w:val="00031B05"/>
    <w:rsid w:val="00031BB4"/>
    <w:rsid w:val="000321F5"/>
    <w:rsid w:val="000325CA"/>
    <w:rsid w:val="00033A87"/>
    <w:rsid w:val="00033FDF"/>
    <w:rsid w:val="00034232"/>
    <w:rsid w:val="000347F1"/>
    <w:rsid w:val="00035A5A"/>
    <w:rsid w:val="0003625F"/>
    <w:rsid w:val="00036DA8"/>
    <w:rsid w:val="00040442"/>
    <w:rsid w:val="000404E7"/>
    <w:rsid w:val="00040F76"/>
    <w:rsid w:val="000415EF"/>
    <w:rsid w:val="00041851"/>
    <w:rsid w:val="00041A95"/>
    <w:rsid w:val="000424D3"/>
    <w:rsid w:val="00043B37"/>
    <w:rsid w:val="00046866"/>
    <w:rsid w:val="00047368"/>
    <w:rsid w:val="000473B0"/>
    <w:rsid w:val="00050B45"/>
    <w:rsid w:val="00050B80"/>
    <w:rsid w:val="0005175D"/>
    <w:rsid w:val="00051FCB"/>
    <w:rsid w:val="000522C4"/>
    <w:rsid w:val="00052358"/>
    <w:rsid w:val="00052C6F"/>
    <w:rsid w:val="0005687A"/>
    <w:rsid w:val="00056CF6"/>
    <w:rsid w:val="000609C3"/>
    <w:rsid w:val="00061B79"/>
    <w:rsid w:val="000637E8"/>
    <w:rsid w:val="00063A88"/>
    <w:rsid w:val="000650E6"/>
    <w:rsid w:val="000652AC"/>
    <w:rsid w:val="00065CE1"/>
    <w:rsid w:val="000668B2"/>
    <w:rsid w:val="000677D0"/>
    <w:rsid w:val="000707D3"/>
    <w:rsid w:val="00070EF0"/>
    <w:rsid w:val="00072864"/>
    <w:rsid w:val="00073850"/>
    <w:rsid w:val="00074081"/>
    <w:rsid w:val="00074412"/>
    <w:rsid w:val="000748D7"/>
    <w:rsid w:val="00075094"/>
    <w:rsid w:val="00081D74"/>
    <w:rsid w:val="0008363F"/>
    <w:rsid w:val="00085373"/>
    <w:rsid w:val="00085DC5"/>
    <w:rsid w:val="000901B7"/>
    <w:rsid w:val="000901C8"/>
    <w:rsid w:val="000905C7"/>
    <w:rsid w:val="00090AEE"/>
    <w:rsid w:val="0009106E"/>
    <w:rsid w:val="0009116E"/>
    <w:rsid w:val="00091A71"/>
    <w:rsid w:val="00091C08"/>
    <w:rsid w:val="00092383"/>
    <w:rsid w:val="00093804"/>
    <w:rsid w:val="0009434D"/>
    <w:rsid w:val="00095F51"/>
    <w:rsid w:val="000961E0"/>
    <w:rsid w:val="00096DB7"/>
    <w:rsid w:val="0009719B"/>
    <w:rsid w:val="00097734"/>
    <w:rsid w:val="00097DA0"/>
    <w:rsid w:val="000A0CB8"/>
    <w:rsid w:val="000A4625"/>
    <w:rsid w:val="000A498D"/>
    <w:rsid w:val="000A6C4A"/>
    <w:rsid w:val="000A74CD"/>
    <w:rsid w:val="000A7D0C"/>
    <w:rsid w:val="000A7E05"/>
    <w:rsid w:val="000B0827"/>
    <w:rsid w:val="000B0CCB"/>
    <w:rsid w:val="000B1064"/>
    <w:rsid w:val="000B16A5"/>
    <w:rsid w:val="000B23BC"/>
    <w:rsid w:val="000B2548"/>
    <w:rsid w:val="000B375A"/>
    <w:rsid w:val="000B4336"/>
    <w:rsid w:val="000B4938"/>
    <w:rsid w:val="000B4DF9"/>
    <w:rsid w:val="000B503B"/>
    <w:rsid w:val="000B5093"/>
    <w:rsid w:val="000B51F5"/>
    <w:rsid w:val="000B5B6E"/>
    <w:rsid w:val="000B5B83"/>
    <w:rsid w:val="000B5F33"/>
    <w:rsid w:val="000B646A"/>
    <w:rsid w:val="000B6D7B"/>
    <w:rsid w:val="000B6E0E"/>
    <w:rsid w:val="000C05DD"/>
    <w:rsid w:val="000C1139"/>
    <w:rsid w:val="000C1378"/>
    <w:rsid w:val="000C1EF1"/>
    <w:rsid w:val="000C2306"/>
    <w:rsid w:val="000C2344"/>
    <w:rsid w:val="000C4C4A"/>
    <w:rsid w:val="000C4F26"/>
    <w:rsid w:val="000C61C0"/>
    <w:rsid w:val="000C6B56"/>
    <w:rsid w:val="000D0C80"/>
    <w:rsid w:val="000D292B"/>
    <w:rsid w:val="000D292F"/>
    <w:rsid w:val="000D3440"/>
    <w:rsid w:val="000D5251"/>
    <w:rsid w:val="000D596D"/>
    <w:rsid w:val="000D5A0F"/>
    <w:rsid w:val="000D7121"/>
    <w:rsid w:val="000D721C"/>
    <w:rsid w:val="000D7724"/>
    <w:rsid w:val="000D7F3D"/>
    <w:rsid w:val="000E15AC"/>
    <w:rsid w:val="000E1A26"/>
    <w:rsid w:val="000E3248"/>
    <w:rsid w:val="000E3FEF"/>
    <w:rsid w:val="000E40BE"/>
    <w:rsid w:val="000E50BA"/>
    <w:rsid w:val="000E6549"/>
    <w:rsid w:val="000E73B5"/>
    <w:rsid w:val="000E795A"/>
    <w:rsid w:val="000E7CEE"/>
    <w:rsid w:val="000F0A37"/>
    <w:rsid w:val="000F0E33"/>
    <w:rsid w:val="000F12C5"/>
    <w:rsid w:val="000F2BB7"/>
    <w:rsid w:val="000F40D0"/>
    <w:rsid w:val="000F43C9"/>
    <w:rsid w:val="000F4862"/>
    <w:rsid w:val="000F5645"/>
    <w:rsid w:val="000F61C2"/>
    <w:rsid w:val="000F62F4"/>
    <w:rsid w:val="000F6B6F"/>
    <w:rsid w:val="0010106F"/>
    <w:rsid w:val="00102DAE"/>
    <w:rsid w:val="001038BA"/>
    <w:rsid w:val="00104124"/>
    <w:rsid w:val="00104F5E"/>
    <w:rsid w:val="00105907"/>
    <w:rsid w:val="00106873"/>
    <w:rsid w:val="00107060"/>
    <w:rsid w:val="001102AF"/>
    <w:rsid w:val="00110BA2"/>
    <w:rsid w:val="00111314"/>
    <w:rsid w:val="00111BDC"/>
    <w:rsid w:val="00113B87"/>
    <w:rsid w:val="001149C8"/>
    <w:rsid w:val="00115154"/>
    <w:rsid w:val="00115309"/>
    <w:rsid w:val="0011617C"/>
    <w:rsid w:val="00117450"/>
    <w:rsid w:val="0012079C"/>
    <w:rsid w:val="001211EF"/>
    <w:rsid w:val="001223B0"/>
    <w:rsid w:val="0012251B"/>
    <w:rsid w:val="00123277"/>
    <w:rsid w:val="00124591"/>
    <w:rsid w:val="00124C6F"/>
    <w:rsid w:val="001255C2"/>
    <w:rsid w:val="00125F9B"/>
    <w:rsid w:val="00126062"/>
    <w:rsid w:val="001268BE"/>
    <w:rsid w:val="00127AAF"/>
    <w:rsid w:val="0013287D"/>
    <w:rsid w:val="001337AF"/>
    <w:rsid w:val="00134752"/>
    <w:rsid w:val="0013640F"/>
    <w:rsid w:val="00136C28"/>
    <w:rsid w:val="00136F0F"/>
    <w:rsid w:val="001377C9"/>
    <w:rsid w:val="00140003"/>
    <w:rsid w:val="00140D98"/>
    <w:rsid w:val="0014126E"/>
    <w:rsid w:val="0014144A"/>
    <w:rsid w:val="001428EA"/>
    <w:rsid w:val="00142FE7"/>
    <w:rsid w:val="0014428C"/>
    <w:rsid w:val="0014472A"/>
    <w:rsid w:val="00144A63"/>
    <w:rsid w:val="00145277"/>
    <w:rsid w:val="00145643"/>
    <w:rsid w:val="00145F27"/>
    <w:rsid w:val="00145F72"/>
    <w:rsid w:val="0014605F"/>
    <w:rsid w:val="00146B73"/>
    <w:rsid w:val="00146C51"/>
    <w:rsid w:val="00146DEC"/>
    <w:rsid w:val="0014707E"/>
    <w:rsid w:val="001475D6"/>
    <w:rsid w:val="00147791"/>
    <w:rsid w:val="00150591"/>
    <w:rsid w:val="00150FD3"/>
    <w:rsid w:val="00151BBB"/>
    <w:rsid w:val="00151D30"/>
    <w:rsid w:val="0015238A"/>
    <w:rsid w:val="00152FF5"/>
    <w:rsid w:val="0015420C"/>
    <w:rsid w:val="001544E8"/>
    <w:rsid w:val="00154D11"/>
    <w:rsid w:val="0015524D"/>
    <w:rsid w:val="00155875"/>
    <w:rsid w:val="00155BE1"/>
    <w:rsid w:val="00156342"/>
    <w:rsid w:val="00156AAC"/>
    <w:rsid w:val="00157857"/>
    <w:rsid w:val="00160B01"/>
    <w:rsid w:val="0016114E"/>
    <w:rsid w:val="0016120E"/>
    <w:rsid w:val="001619F8"/>
    <w:rsid w:val="00162DBF"/>
    <w:rsid w:val="00164610"/>
    <w:rsid w:val="00164E14"/>
    <w:rsid w:val="001653AD"/>
    <w:rsid w:val="001669BC"/>
    <w:rsid w:val="00166C4B"/>
    <w:rsid w:val="00166CF7"/>
    <w:rsid w:val="001674F7"/>
    <w:rsid w:val="00167BF7"/>
    <w:rsid w:val="00167E72"/>
    <w:rsid w:val="00170F45"/>
    <w:rsid w:val="0017193E"/>
    <w:rsid w:val="00171AD0"/>
    <w:rsid w:val="00171FA5"/>
    <w:rsid w:val="00172444"/>
    <w:rsid w:val="0017258A"/>
    <w:rsid w:val="00172A27"/>
    <w:rsid w:val="00172CC2"/>
    <w:rsid w:val="00175C02"/>
    <w:rsid w:val="00175FC3"/>
    <w:rsid w:val="00177822"/>
    <w:rsid w:val="001815A4"/>
    <w:rsid w:val="00181F70"/>
    <w:rsid w:val="00182040"/>
    <w:rsid w:val="00182FBC"/>
    <w:rsid w:val="00185C44"/>
    <w:rsid w:val="00185FB8"/>
    <w:rsid w:val="0019024B"/>
    <w:rsid w:val="00190E36"/>
    <w:rsid w:val="00191B28"/>
    <w:rsid w:val="00192FC5"/>
    <w:rsid w:val="0019339D"/>
    <w:rsid w:val="001934B7"/>
    <w:rsid w:val="00194409"/>
    <w:rsid w:val="00195003"/>
    <w:rsid w:val="00195C39"/>
    <w:rsid w:val="00195FE7"/>
    <w:rsid w:val="001967D9"/>
    <w:rsid w:val="00196AAD"/>
    <w:rsid w:val="00196AE4"/>
    <w:rsid w:val="00197279"/>
    <w:rsid w:val="00197A02"/>
    <w:rsid w:val="001A0456"/>
    <w:rsid w:val="001A0492"/>
    <w:rsid w:val="001A213C"/>
    <w:rsid w:val="001A26C8"/>
    <w:rsid w:val="001A2E67"/>
    <w:rsid w:val="001A324B"/>
    <w:rsid w:val="001A371F"/>
    <w:rsid w:val="001A3B8E"/>
    <w:rsid w:val="001A4EDF"/>
    <w:rsid w:val="001A5117"/>
    <w:rsid w:val="001A5CA1"/>
    <w:rsid w:val="001A68F5"/>
    <w:rsid w:val="001A7016"/>
    <w:rsid w:val="001B274D"/>
    <w:rsid w:val="001B47B2"/>
    <w:rsid w:val="001B4CDF"/>
    <w:rsid w:val="001B4F11"/>
    <w:rsid w:val="001B517B"/>
    <w:rsid w:val="001B54FD"/>
    <w:rsid w:val="001B60EA"/>
    <w:rsid w:val="001B6A9E"/>
    <w:rsid w:val="001B7726"/>
    <w:rsid w:val="001C18F4"/>
    <w:rsid w:val="001C1C6E"/>
    <w:rsid w:val="001C1EAB"/>
    <w:rsid w:val="001C2747"/>
    <w:rsid w:val="001C385F"/>
    <w:rsid w:val="001C4A62"/>
    <w:rsid w:val="001C55A4"/>
    <w:rsid w:val="001C6423"/>
    <w:rsid w:val="001C6E49"/>
    <w:rsid w:val="001C7643"/>
    <w:rsid w:val="001C7C5F"/>
    <w:rsid w:val="001C7EB1"/>
    <w:rsid w:val="001D1635"/>
    <w:rsid w:val="001D3310"/>
    <w:rsid w:val="001D3ADA"/>
    <w:rsid w:val="001D5699"/>
    <w:rsid w:val="001D7F10"/>
    <w:rsid w:val="001E0C22"/>
    <w:rsid w:val="001E13EE"/>
    <w:rsid w:val="001E21C7"/>
    <w:rsid w:val="001E4343"/>
    <w:rsid w:val="001E4346"/>
    <w:rsid w:val="001E4931"/>
    <w:rsid w:val="001E6A85"/>
    <w:rsid w:val="001F0B4B"/>
    <w:rsid w:val="001F1B56"/>
    <w:rsid w:val="001F336C"/>
    <w:rsid w:val="001F33AD"/>
    <w:rsid w:val="001F4714"/>
    <w:rsid w:val="001F491F"/>
    <w:rsid w:val="001F5007"/>
    <w:rsid w:val="001F5E61"/>
    <w:rsid w:val="001F67BA"/>
    <w:rsid w:val="001F6FD8"/>
    <w:rsid w:val="002002E6"/>
    <w:rsid w:val="002008A1"/>
    <w:rsid w:val="002018DB"/>
    <w:rsid w:val="00201A0B"/>
    <w:rsid w:val="002020F8"/>
    <w:rsid w:val="00202B8F"/>
    <w:rsid w:val="002033EF"/>
    <w:rsid w:val="00203634"/>
    <w:rsid w:val="00204774"/>
    <w:rsid w:val="00204781"/>
    <w:rsid w:val="00204F2A"/>
    <w:rsid w:val="00205189"/>
    <w:rsid w:val="00206EBE"/>
    <w:rsid w:val="00206F87"/>
    <w:rsid w:val="00207740"/>
    <w:rsid w:val="002078B1"/>
    <w:rsid w:val="00213D06"/>
    <w:rsid w:val="002145C3"/>
    <w:rsid w:val="00215361"/>
    <w:rsid w:val="00216758"/>
    <w:rsid w:val="002167EF"/>
    <w:rsid w:val="002176CB"/>
    <w:rsid w:val="0021799E"/>
    <w:rsid w:val="00220C0B"/>
    <w:rsid w:val="00220DCF"/>
    <w:rsid w:val="00221218"/>
    <w:rsid w:val="002215B8"/>
    <w:rsid w:val="002215F4"/>
    <w:rsid w:val="00222279"/>
    <w:rsid w:val="00222D6F"/>
    <w:rsid w:val="002233E2"/>
    <w:rsid w:val="00223B49"/>
    <w:rsid w:val="00225F7A"/>
    <w:rsid w:val="00226077"/>
    <w:rsid w:val="00226598"/>
    <w:rsid w:val="002270F0"/>
    <w:rsid w:val="0022773D"/>
    <w:rsid w:val="00227EF8"/>
    <w:rsid w:val="00230AAF"/>
    <w:rsid w:val="00230DE5"/>
    <w:rsid w:val="002316C6"/>
    <w:rsid w:val="00232231"/>
    <w:rsid w:val="0023454E"/>
    <w:rsid w:val="002358CF"/>
    <w:rsid w:val="00235EE0"/>
    <w:rsid w:val="00236366"/>
    <w:rsid w:val="00236A17"/>
    <w:rsid w:val="00236AB3"/>
    <w:rsid w:val="00237476"/>
    <w:rsid w:val="00237EF7"/>
    <w:rsid w:val="00242774"/>
    <w:rsid w:val="00242A01"/>
    <w:rsid w:val="00245EE6"/>
    <w:rsid w:val="00246C88"/>
    <w:rsid w:val="002472B8"/>
    <w:rsid w:val="00247F95"/>
    <w:rsid w:val="0025010A"/>
    <w:rsid w:val="002504B8"/>
    <w:rsid w:val="0025089A"/>
    <w:rsid w:val="00251D1B"/>
    <w:rsid w:val="00252914"/>
    <w:rsid w:val="00253FF9"/>
    <w:rsid w:val="0025494B"/>
    <w:rsid w:val="00255D6E"/>
    <w:rsid w:val="0025775F"/>
    <w:rsid w:val="00261BCB"/>
    <w:rsid w:val="00262E97"/>
    <w:rsid w:val="00262F3F"/>
    <w:rsid w:val="00264124"/>
    <w:rsid w:val="00264D6D"/>
    <w:rsid w:val="002655F0"/>
    <w:rsid w:val="00266808"/>
    <w:rsid w:val="0026682A"/>
    <w:rsid w:val="00267819"/>
    <w:rsid w:val="00267A3F"/>
    <w:rsid w:val="00271496"/>
    <w:rsid w:val="00271D92"/>
    <w:rsid w:val="0027205B"/>
    <w:rsid w:val="002727E9"/>
    <w:rsid w:val="002737FC"/>
    <w:rsid w:val="00273A00"/>
    <w:rsid w:val="00273E1F"/>
    <w:rsid w:val="0027418F"/>
    <w:rsid w:val="002743B3"/>
    <w:rsid w:val="00274A7A"/>
    <w:rsid w:val="002754FB"/>
    <w:rsid w:val="002763A5"/>
    <w:rsid w:val="0027703D"/>
    <w:rsid w:val="00277260"/>
    <w:rsid w:val="00277829"/>
    <w:rsid w:val="00277C32"/>
    <w:rsid w:val="002801BE"/>
    <w:rsid w:val="00282CBE"/>
    <w:rsid w:val="00282CEC"/>
    <w:rsid w:val="0028422A"/>
    <w:rsid w:val="00286032"/>
    <w:rsid w:val="0028657B"/>
    <w:rsid w:val="00286BBE"/>
    <w:rsid w:val="002870A8"/>
    <w:rsid w:val="00287513"/>
    <w:rsid w:val="00292E4C"/>
    <w:rsid w:val="0029333B"/>
    <w:rsid w:val="002934FE"/>
    <w:rsid w:val="002937A7"/>
    <w:rsid w:val="00294099"/>
    <w:rsid w:val="0029448A"/>
    <w:rsid w:val="002965A6"/>
    <w:rsid w:val="00297C8D"/>
    <w:rsid w:val="002A1754"/>
    <w:rsid w:val="002A20C2"/>
    <w:rsid w:val="002A2912"/>
    <w:rsid w:val="002A3336"/>
    <w:rsid w:val="002A3D27"/>
    <w:rsid w:val="002A41ED"/>
    <w:rsid w:val="002A4454"/>
    <w:rsid w:val="002A5F09"/>
    <w:rsid w:val="002A6495"/>
    <w:rsid w:val="002A6C32"/>
    <w:rsid w:val="002B1966"/>
    <w:rsid w:val="002B26B8"/>
    <w:rsid w:val="002B3D95"/>
    <w:rsid w:val="002B41DC"/>
    <w:rsid w:val="002B4426"/>
    <w:rsid w:val="002B451D"/>
    <w:rsid w:val="002B61CF"/>
    <w:rsid w:val="002B693B"/>
    <w:rsid w:val="002B7ABB"/>
    <w:rsid w:val="002C1C5B"/>
    <w:rsid w:val="002C1DAF"/>
    <w:rsid w:val="002C2539"/>
    <w:rsid w:val="002C253B"/>
    <w:rsid w:val="002C3322"/>
    <w:rsid w:val="002C3AFF"/>
    <w:rsid w:val="002C4F82"/>
    <w:rsid w:val="002C5981"/>
    <w:rsid w:val="002C69B9"/>
    <w:rsid w:val="002C6DCE"/>
    <w:rsid w:val="002D0CA2"/>
    <w:rsid w:val="002D0D8B"/>
    <w:rsid w:val="002D1381"/>
    <w:rsid w:val="002D67F1"/>
    <w:rsid w:val="002E0473"/>
    <w:rsid w:val="002E1582"/>
    <w:rsid w:val="002E31ED"/>
    <w:rsid w:val="002E3960"/>
    <w:rsid w:val="002E3AE7"/>
    <w:rsid w:val="002E4E3A"/>
    <w:rsid w:val="002E58B7"/>
    <w:rsid w:val="002E62F4"/>
    <w:rsid w:val="002E65EE"/>
    <w:rsid w:val="002E7530"/>
    <w:rsid w:val="002E7C4E"/>
    <w:rsid w:val="002F0001"/>
    <w:rsid w:val="002F020A"/>
    <w:rsid w:val="002F0A0B"/>
    <w:rsid w:val="002F1955"/>
    <w:rsid w:val="002F1D4A"/>
    <w:rsid w:val="002F2CAA"/>
    <w:rsid w:val="002F3AF1"/>
    <w:rsid w:val="002F3B1B"/>
    <w:rsid w:val="002F42A8"/>
    <w:rsid w:val="002F47B0"/>
    <w:rsid w:val="002F4B09"/>
    <w:rsid w:val="002F5001"/>
    <w:rsid w:val="002F649A"/>
    <w:rsid w:val="002F6947"/>
    <w:rsid w:val="002F6FF3"/>
    <w:rsid w:val="00300639"/>
    <w:rsid w:val="00303E6E"/>
    <w:rsid w:val="00304029"/>
    <w:rsid w:val="00304B59"/>
    <w:rsid w:val="00305339"/>
    <w:rsid w:val="003055B6"/>
    <w:rsid w:val="00305667"/>
    <w:rsid w:val="00306645"/>
    <w:rsid w:val="00307174"/>
    <w:rsid w:val="00307D0F"/>
    <w:rsid w:val="00310121"/>
    <w:rsid w:val="0031013C"/>
    <w:rsid w:val="00310446"/>
    <w:rsid w:val="00310735"/>
    <w:rsid w:val="00310A8A"/>
    <w:rsid w:val="00311B81"/>
    <w:rsid w:val="00311EA5"/>
    <w:rsid w:val="00312147"/>
    <w:rsid w:val="0031242F"/>
    <w:rsid w:val="0031334F"/>
    <w:rsid w:val="00313C87"/>
    <w:rsid w:val="00314105"/>
    <w:rsid w:val="00314F86"/>
    <w:rsid w:val="003153ED"/>
    <w:rsid w:val="00315551"/>
    <w:rsid w:val="0031579D"/>
    <w:rsid w:val="003158C1"/>
    <w:rsid w:val="00316E1D"/>
    <w:rsid w:val="003175E9"/>
    <w:rsid w:val="00321131"/>
    <w:rsid w:val="00322B9E"/>
    <w:rsid w:val="00322C43"/>
    <w:rsid w:val="0032333F"/>
    <w:rsid w:val="0032421B"/>
    <w:rsid w:val="00325A29"/>
    <w:rsid w:val="00325CC9"/>
    <w:rsid w:val="003263B7"/>
    <w:rsid w:val="00326713"/>
    <w:rsid w:val="00327079"/>
    <w:rsid w:val="00330014"/>
    <w:rsid w:val="00330296"/>
    <w:rsid w:val="003307C1"/>
    <w:rsid w:val="003320E2"/>
    <w:rsid w:val="00332D2E"/>
    <w:rsid w:val="00333008"/>
    <w:rsid w:val="003338FA"/>
    <w:rsid w:val="00335E76"/>
    <w:rsid w:val="003367CA"/>
    <w:rsid w:val="00336887"/>
    <w:rsid w:val="00336C86"/>
    <w:rsid w:val="00337567"/>
    <w:rsid w:val="00340FE7"/>
    <w:rsid w:val="00341810"/>
    <w:rsid w:val="0034238D"/>
    <w:rsid w:val="0034295D"/>
    <w:rsid w:val="0034317B"/>
    <w:rsid w:val="00343EAA"/>
    <w:rsid w:val="003452F4"/>
    <w:rsid w:val="0034562F"/>
    <w:rsid w:val="0035085F"/>
    <w:rsid w:val="0035125C"/>
    <w:rsid w:val="00351430"/>
    <w:rsid w:val="00351823"/>
    <w:rsid w:val="003519A2"/>
    <w:rsid w:val="00351BE4"/>
    <w:rsid w:val="003521B1"/>
    <w:rsid w:val="00352F92"/>
    <w:rsid w:val="003531A8"/>
    <w:rsid w:val="003541A7"/>
    <w:rsid w:val="00354B11"/>
    <w:rsid w:val="00354C13"/>
    <w:rsid w:val="003550CD"/>
    <w:rsid w:val="00355577"/>
    <w:rsid w:val="003559BD"/>
    <w:rsid w:val="00357E3F"/>
    <w:rsid w:val="003602E5"/>
    <w:rsid w:val="003618E5"/>
    <w:rsid w:val="00361DF2"/>
    <w:rsid w:val="0036267A"/>
    <w:rsid w:val="003628B7"/>
    <w:rsid w:val="00362B83"/>
    <w:rsid w:val="00362DB9"/>
    <w:rsid w:val="00366741"/>
    <w:rsid w:val="0036705E"/>
    <w:rsid w:val="003701B7"/>
    <w:rsid w:val="00371490"/>
    <w:rsid w:val="003728FA"/>
    <w:rsid w:val="00372B37"/>
    <w:rsid w:val="00372C59"/>
    <w:rsid w:val="0037355F"/>
    <w:rsid w:val="00373A8A"/>
    <w:rsid w:val="003744F7"/>
    <w:rsid w:val="00374C52"/>
    <w:rsid w:val="003757B9"/>
    <w:rsid w:val="0037596D"/>
    <w:rsid w:val="00375C01"/>
    <w:rsid w:val="00376449"/>
    <w:rsid w:val="00381525"/>
    <w:rsid w:val="00381740"/>
    <w:rsid w:val="003821BD"/>
    <w:rsid w:val="00382983"/>
    <w:rsid w:val="00382B6C"/>
    <w:rsid w:val="00382B75"/>
    <w:rsid w:val="00383BD7"/>
    <w:rsid w:val="00384216"/>
    <w:rsid w:val="00384329"/>
    <w:rsid w:val="003844F0"/>
    <w:rsid w:val="00384820"/>
    <w:rsid w:val="00385558"/>
    <w:rsid w:val="00385EA4"/>
    <w:rsid w:val="00385F2D"/>
    <w:rsid w:val="00387210"/>
    <w:rsid w:val="00391210"/>
    <w:rsid w:val="003912A4"/>
    <w:rsid w:val="00391A45"/>
    <w:rsid w:val="00392B7B"/>
    <w:rsid w:val="0039448A"/>
    <w:rsid w:val="003945CB"/>
    <w:rsid w:val="0039484D"/>
    <w:rsid w:val="00395396"/>
    <w:rsid w:val="00395CC8"/>
    <w:rsid w:val="0039690C"/>
    <w:rsid w:val="003A0171"/>
    <w:rsid w:val="003A171A"/>
    <w:rsid w:val="003A210C"/>
    <w:rsid w:val="003A266D"/>
    <w:rsid w:val="003A33AA"/>
    <w:rsid w:val="003A42E8"/>
    <w:rsid w:val="003A4505"/>
    <w:rsid w:val="003A51CB"/>
    <w:rsid w:val="003A5234"/>
    <w:rsid w:val="003A5949"/>
    <w:rsid w:val="003A5F2C"/>
    <w:rsid w:val="003A5F96"/>
    <w:rsid w:val="003A6820"/>
    <w:rsid w:val="003A7858"/>
    <w:rsid w:val="003B0335"/>
    <w:rsid w:val="003B0E4E"/>
    <w:rsid w:val="003B188A"/>
    <w:rsid w:val="003B2362"/>
    <w:rsid w:val="003B2387"/>
    <w:rsid w:val="003B269D"/>
    <w:rsid w:val="003B2798"/>
    <w:rsid w:val="003B32BE"/>
    <w:rsid w:val="003B32ED"/>
    <w:rsid w:val="003B3323"/>
    <w:rsid w:val="003B374C"/>
    <w:rsid w:val="003B3B02"/>
    <w:rsid w:val="003B3C47"/>
    <w:rsid w:val="003B3EF7"/>
    <w:rsid w:val="003B4FC3"/>
    <w:rsid w:val="003B5374"/>
    <w:rsid w:val="003B5643"/>
    <w:rsid w:val="003B681C"/>
    <w:rsid w:val="003B6C04"/>
    <w:rsid w:val="003C1047"/>
    <w:rsid w:val="003C10F3"/>
    <w:rsid w:val="003C193A"/>
    <w:rsid w:val="003C2071"/>
    <w:rsid w:val="003C2AD1"/>
    <w:rsid w:val="003C3A62"/>
    <w:rsid w:val="003C403E"/>
    <w:rsid w:val="003C4B0F"/>
    <w:rsid w:val="003C5B0C"/>
    <w:rsid w:val="003C7256"/>
    <w:rsid w:val="003C7D7C"/>
    <w:rsid w:val="003D0298"/>
    <w:rsid w:val="003D02D4"/>
    <w:rsid w:val="003D030F"/>
    <w:rsid w:val="003D0AD9"/>
    <w:rsid w:val="003D0B8C"/>
    <w:rsid w:val="003D272D"/>
    <w:rsid w:val="003D299B"/>
    <w:rsid w:val="003D2E53"/>
    <w:rsid w:val="003D35F5"/>
    <w:rsid w:val="003D55B7"/>
    <w:rsid w:val="003D67E6"/>
    <w:rsid w:val="003D6D37"/>
    <w:rsid w:val="003D706A"/>
    <w:rsid w:val="003D71BB"/>
    <w:rsid w:val="003D7306"/>
    <w:rsid w:val="003D79F7"/>
    <w:rsid w:val="003E0074"/>
    <w:rsid w:val="003E03FF"/>
    <w:rsid w:val="003E0AD0"/>
    <w:rsid w:val="003E17E4"/>
    <w:rsid w:val="003E1F9D"/>
    <w:rsid w:val="003E2153"/>
    <w:rsid w:val="003E25F1"/>
    <w:rsid w:val="003E2CD3"/>
    <w:rsid w:val="003E3120"/>
    <w:rsid w:val="003E4045"/>
    <w:rsid w:val="003E45E0"/>
    <w:rsid w:val="003E47BD"/>
    <w:rsid w:val="003E4CD7"/>
    <w:rsid w:val="003E56E4"/>
    <w:rsid w:val="003E6603"/>
    <w:rsid w:val="003E6BD5"/>
    <w:rsid w:val="003E7764"/>
    <w:rsid w:val="003E7AEA"/>
    <w:rsid w:val="003F163C"/>
    <w:rsid w:val="003F2AAA"/>
    <w:rsid w:val="003F368B"/>
    <w:rsid w:val="003F3DBB"/>
    <w:rsid w:val="003F4D6A"/>
    <w:rsid w:val="003F4E98"/>
    <w:rsid w:val="003F5015"/>
    <w:rsid w:val="003F6093"/>
    <w:rsid w:val="003F6555"/>
    <w:rsid w:val="003F6D6B"/>
    <w:rsid w:val="00400CEB"/>
    <w:rsid w:val="00400D1A"/>
    <w:rsid w:val="00401097"/>
    <w:rsid w:val="0040178E"/>
    <w:rsid w:val="00401CF6"/>
    <w:rsid w:val="00402C4B"/>
    <w:rsid w:val="00403611"/>
    <w:rsid w:val="00403B6E"/>
    <w:rsid w:val="004050CA"/>
    <w:rsid w:val="00405536"/>
    <w:rsid w:val="004059E1"/>
    <w:rsid w:val="004062EB"/>
    <w:rsid w:val="00406912"/>
    <w:rsid w:val="00406A0C"/>
    <w:rsid w:val="00406B45"/>
    <w:rsid w:val="00407185"/>
    <w:rsid w:val="00407F83"/>
    <w:rsid w:val="00410D4E"/>
    <w:rsid w:val="00412348"/>
    <w:rsid w:val="0041473B"/>
    <w:rsid w:val="00414974"/>
    <w:rsid w:val="0041503F"/>
    <w:rsid w:val="00415678"/>
    <w:rsid w:val="0041580E"/>
    <w:rsid w:val="004163CB"/>
    <w:rsid w:val="00416E81"/>
    <w:rsid w:val="0041785D"/>
    <w:rsid w:val="00421DE0"/>
    <w:rsid w:val="00422137"/>
    <w:rsid w:val="004226BC"/>
    <w:rsid w:val="0042383C"/>
    <w:rsid w:val="00423AA2"/>
    <w:rsid w:val="004243BC"/>
    <w:rsid w:val="00424821"/>
    <w:rsid w:val="00424EE9"/>
    <w:rsid w:val="00425B56"/>
    <w:rsid w:val="00425E35"/>
    <w:rsid w:val="00426030"/>
    <w:rsid w:val="00426A1D"/>
    <w:rsid w:val="00430121"/>
    <w:rsid w:val="0043095A"/>
    <w:rsid w:val="004316A1"/>
    <w:rsid w:val="00431C50"/>
    <w:rsid w:val="004321A0"/>
    <w:rsid w:val="00432366"/>
    <w:rsid w:val="004325FC"/>
    <w:rsid w:val="00432C39"/>
    <w:rsid w:val="0043344E"/>
    <w:rsid w:val="00436D4C"/>
    <w:rsid w:val="00440910"/>
    <w:rsid w:val="0044351F"/>
    <w:rsid w:val="00443D12"/>
    <w:rsid w:val="00443D17"/>
    <w:rsid w:val="00445BFD"/>
    <w:rsid w:val="00445FFA"/>
    <w:rsid w:val="00447346"/>
    <w:rsid w:val="00450C62"/>
    <w:rsid w:val="0045169C"/>
    <w:rsid w:val="00451E35"/>
    <w:rsid w:val="00452909"/>
    <w:rsid w:val="00452D7A"/>
    <w:rsid w:val="00452EAE"/>
    <w:rsid w:val="00453450"/>
    <w:rsid w:val="0045369F"/>
    <w:rsid w:val="0045577B"/>
    <w:rsid w:val="00460E93"/>
    <w:rsid w:val="00461177"/>
    <w:rsid w:val="004612CF"/>
    <w:rsid w:val="004628BF"/>
    <w:rsid w:val="00464576"/>
    <w:rsid w:val="004648AB"/>
    <w:rsid w:val="00464981"/>
    <w:rsid w:val="00465A59"/>
    <w:rsid w:val="004667B6"/>
    <w:rsid w:val="004675EF"/>
    <w:rsid w:val="00470354"/>
    <w:rsid w:val="0047043C"/>
    <w:rsid w:val="00471AEC"/>
    <w:rsid w:val="00471EC6"/>
    <w:rsid w:val="004725CE"/>
    <w:rsid w:val="00474483"/>
    <w:rsid w:val="00474D98"/>
    <w:rsid w:val="00475F9C"/>
    <w:rsid w:val="0047635B"/>
    <w:rsid w:val="00476F2A"/>
    <w:rsid w:val="00476F96"/>
    <w:rsid w:val="004770F4"/>
    <w:rsid w:val="0047788D"/>
    <w:rsid w:val="004810D4"/>
    <w:rsid w:val="00481167"/>
    <w:rsid w:val="0048147D"/>
    <w:rsid w:val="004817AE"/>
    <w:rsid w:val="00481D6A"/>
    <w:rsid w:val="004829B2"/>
    <w:rsid w:val="00482BB7"/>
    <w:rsid w:val="00482BF0"/>
    <w:rsid w:val="00482F5D"/>
    <w:rsid w:val="00482FDB"/>
    <w:rsid w:val="0048358A"/>
    <w:rsid w:val="00483AA6"/>
    <w:rsid w:val="00483F6B"/>
    <w:rsid w:val="004841B5"/>
    <w:rsid w:val="004843F2"/>
    <w:rsid w:val="00487231"/>
    <w:rsid w:val="004916D7"/>
    <w:rsid w:val="004921F3"/>
    <w:rsid w:val="0049222B"/>
    <w:rsid w:val="00492787"/>
    <w:rsid w:val="0049350A"/>
    <w:rsid w:val="00494091"/>
    <w:rsid w:val="00494408"/>
    <w:rsid w:val="004949C4"/>
    <w:rsid w:val="00495615"/>
    <w:rsid w:val="00496EFA"/>
    <w:rsid w:val="004A0A5D"/>
    <w:rsid w:val="004A14B3"/>
    <w:rsid w:val="004A156D"/>
    <w:rsid w:val="004A27FA"/>
    <w:rsid w:val="004A2E13"/>
    <w:rsid w:val="004A355C"/>
    <w:rsid w:val="004A38FC"/>
    <w:rsid w:val="004A3EC6"/>
    <w:rsid w:val="004A42C8"/>
    <w:rsid w:val="004A43C3"/>
    <w:rsid w:val="004A5412"/>
    <w:rsid w:val="004A66B4"/>
    <w:rsid w:val="004A6797"/>
    <w:rsid w:val="004B10E5"/>
    <w:rsid w:val="004B1F1E"/>
    <w:rsid w:val="004B3BF5"/>
    <w:rsid w:val="004B3FD6"/>
    <w:rsid w:val="004B456F"/>
    <w:rsid w:val="004B4C03"/>
    <w:rsid w:val="004B4FF0"/>
    <w:rsid w:val="004B5458"/>
    <w:rsid w:val="004C28BC"/>
    <w:rsid w:val="004C3E56"/>
    <w:rsid w:val="004C4750"/>
    <w:rsid w:val="004C4FDE"/>
    <w:rsid w:val="004C5606"/>
    <w:rsid w:val="004C6EAD"/>
    <w:rsid w:val="004C7924"/>
    <w:rsid w:val="004D0758"/>
    <w:rsid w:val="004D236A"/>
    <w:rsid w:val="004D2A2E"/>
    <w:rsid w:val="004D42C1"/>
    <w:rsid w:val="004D469D"/>
    <w:rsid w:val="004D56B4"/>
    <w:rsid w:val="004D6A34"/>
    <w:rsid w:val="004D6C0B"/>
    <w:rsid w:val="004D7002"/>
    <w:rsid w:val="004E05CA"/>
    <w:rsid w:val="004E0818"/>
    <w:rsid w:val="004E0A67"/>
    <w:rsid w:val="004E0C0D"/>
    <w:rsid w:val="004E1FEE"/>
    <w:rsid w:val="004E299C"/>
    <w:rsid w:val="004E2FDC"/>
    <w:rsid w:val="004E3F75"/>
    <w:rsid w:val="004E40F9"/>
    <w:rsid w:val="004E43D2"/>
    <w:rsid w:val="004E4585"/>
    <w:rsid w:val="004E4BDC"/>
    <w:rsid w:val="004E4E16"/>
    <w:rsid w:val="004E53EA"/>
    <w:rsid w:val="004E5628"/>
    <w:rsid w:val="004E6356"/>
    <w:rsid w:val="004E675B"/>
    <w:rsid w:val="004E70BC"/>
    <w:rsid w:val="004F0D02"/>
    <w:rsid w:val="004F2FD8"/>
    <w:rsid w:val="004F40C0"/>
    <w:rsid w:val="004F4DA6"/>
    <w:rsid w:val="004F4EC0"/>
    <w:rsid w:val="004F692F"/>
    <w:rsid w:val="004F741F"/>
    <w:rsid w:val="004F7698"/>
    <w:rsid w:val="004F786E"/>
    <w:rsid w:val="004F7CE9"/>
    <w:rsid w:val="00500982"/>
    <w:rsid w:val="00500E9F"/>
    <w:rsid w:val="00501F9A"/>
    <w:rsid w:val="00502BE0"/>
    <w:rsid w:val="00504127"/>
    <w:rsid w:val="00505E2C"/>
    <w:rsid w:val="0050614D"/>
    <w:rsid w:val="00506746"/>
    <w:rsid w:val="00506A88"/>
    <w:rsid w:val="00507E10"/>
    <w:rsid w:val="0051056B"/>
    <w:rsid w:val="00510E82"/>
    <w:rsid w:val="00511111"/>
    <w:rsid w:val="00511230"/>
    <w:rsid w:val="00511576"/>
    <w:rsid w:val="0051181C"/>
    <w:rsid w:val="005118A1"/>
    <w:rsid w:val="00511A4A"/>
    <w:rsid w:val="005121C3"/>
    <w:rsid w:val="00512280"/>
    <w:rsid w:val="005128F9"/>
    <w:rsid w:val="00513AF2"/>
    <w:rsid w:val="0051409D"/>
    <w:rsid w:val="005145A7"/>
    <w:rsid w:val="005145E2"/>
    <w:rsid w:val="0051480F"/>
    <w:rsid w:val="00515505"/>
    <w:rsid w:val="00515B63"/>
    <w:rsid w:val="00515C55"/>
    <w:rsid w:val="00517160"/>
    <w:rsid w:val="00517C76"/>
    <w:rsid w:val="005217F5"/>
    <w:rsid w:val="00521B87"/>
    <w:rsid w:val="00521DAE"/>
    <w:rsid w:val="00522FAF"/>
    <w:rsid w:val="00523814"/>
    <w:rsid w:val="0052419A"/>
    <w:rsid w:val="00524613"/>
    <w:rsid w:val="005248D4"/>
    <w:rsid w:val="00524E6C"/>
    <w:rsid w:val="00525068"/>
    <w:rsid w:val="00525105"/>
    <w:rsid w:val="0052510E"/>
    <w:rsid w:val="00525369"/>
    <w:rsid w:val="00526600"/>
    <w:rsid w:val="00526A0E"/>
    <w:rsid w:val="00527B7D"/>
    <w:rsid w:val="00530867"/>
    <w:rsid w:val="0053204C"/>
    <w:rsid w:val="00532305"/>
    <w:rsid w:val="0053232E"/>
    <w:rsid w:val="005326D7"/>
    <w:rsid w:val="00534621"/>
    <w:rsid w:val="005357B4"/>
    <w:rsid w:val="00535AE9"/>
    <w:rsid w:val="00535C66"/>
    <w:rsid w:val="0053618E"/>
    <w:rsid w:val="00536A56"/>
    <w:rsid w:val="00536C3B"/>
    <w:rsid w:val="00536D57"/>
    <w:rsid w:val="0053767E"/>
    <w:rsid w:val="0054134B"/>
    <w:rsid w:val="00542F01"/>
    <w:rsid w:val="005461C3"/>
    <w:rsid w:val="0054620A"/>
    <w:rsid w:val="0054767D"/>
    <w:rsid w:val="00547A3E"/>
    <w:rsid w:val="00550E12"/>
    <w:rsid w:val="00551C1B"/>
    <w:rsid w:val="00551D9D"/>
    <w:rsid w:val="0055427D"/>
    <w:rsid w:val="00554DAF"/>
    <w:rsid w:val="00555475"/>
    <w:rsid w:val="005558BB"/>
    <w:rsid w:val="00557831"/>
    <w:rsid w:val="00560196"/>
    <w:rsid w:val="00560D4E"/>
    <w:rsid w:val="005616AE"/>
    <w:rsid w:val="00563465"/>
    <w:rsid w:val="00564409"/>
    <w:rsid w:val="00564609"/>
    <w:rsid w:val="00564749"/>
    <w:rsid w:val="00565612"/>
    <w:rsid w:val="00565F64"/>
    <w:rsid w:val="00565FC2"/>
    <w:rsid w:val="00567A55"/>
    <w:rsid w:val="00567D58"/>
    <w:rsid w:val="00567FE0"/>
    <w:rsid w:val="00570B84"/>
    <w:rsid w:val="00570EA3"/>
    <w:rsid w:val="00571284"/>
    <w:rsid w:val="005715E2"/>
    <w:rsid w:val="00571719"/>
    <w:rsid w:val="00571728"/>
    <w:rsid w:val="005726D1"/>
    <w:rsid w:val="005739D1"/>
    <w:rsid w:val="00575BF6"/>
    <w:rsid w:val="00576820"/>
    <w:rsid w:val="00576FF3"/>
    <w:rsid w:val="0058109D"/>
    <w:rsid w:val="00581F9C"/>
    <w:rsid w:val="0058210C"/>
    <w:rsid w:val="00582F45"/>
    <w:rsid w:val="00583B03"/>
    <w:rsid w:val="00583B8F"/>
    <w:rsid w:val="00584AF3"/>
    <w:rsid w:val="0058543E"/>
    <w:rsid w:val="00586811"/>
    <w:rsid w:val="00590004"/>
    <w:rsid w:val="005911F1"/>
    <w:rsid w:val="0059157A"/>
    <w:rsid w:val="00591844"/>
    <w:rsid w:val="00592853"/>
    <w:rsid w:val="0059364D"/>
    <w:rsid w:val="005936DA"/>
    <w:rsid w:val="005955C1"/>
    <w:rsid w:val="00596D52"/>
    <w:rsid w:val="005970EC"/>
    <w:rsid w:val="005A0BE6"/>
    <w:rsid w:val="005A0CE1"/>
    <w:rsid w:val="005A1B0B"/>
    <w:rsid w:val="005A1C1D"/>
    <w:rsid w:val="005A35C2"/>
    <w:rsid w:val="005A3D93"/>
    <w:rsid w:val="005A3D9F"/>
    <w:rsid w:val="005A6358"/>
    <w:rsid w:val="005A67BA"/>
    <w:rsid w:val="005A7FDA"/>
    <w:rsid w:val="005B07F8"/>
    <w:rsid w:val="005B08E7"/>
    <w:rsid w:val="005B1E86"/>
    <w:rsid w:val="005B24D1"/>
    <w:rsid w:val="005B2F10"/>
    <w:rsid w:val="005B2FC4"/>
    <w:rsid w:val="005B397D"/>
    <w:rsid w:val="005B3D3F"/>
    <w:rsid w:val="005B4141"/>
    <w:rsid w:val="005B44E5"/>
    <w:rsid w:val="005B49E0"/>
    <w:rsid w:val="005B55B1"/>
    <w:rsid w:val="005B5BDF"/>
    <w:rsid w:val="005B5C56"/>
    <w:rsid w:val="005B77F4"/>
    <w:rsid w:val="005C11F7"/>
    <w:rsid w:val="005C15DF"/>
    <w:rsid w:val="005C1AB0"/>
    <w:rsid w:val="005C1DB2"/>
    <w:rsid w:val="005C2298"/>
    <w:rsid w:val="005C2EEA"/>
    <w:rsid w:val="005C2F05"/>
    <w:rsid w:val="005C3B91"/>
    <w:rsid w:val="005C48E0"/>
    <w:rsid w:val="005C4A80"/>
    <w:rsid w:val="005C6BB6"/>
    <w:rsid w:val="005C7163"/>
    <w:rsid w:val="005C7810"/>
    <w:rsid w:val="005D0651"/>
    <w:rsid w:val="005D1DC5"/>
    <w:rsid w:val="005D2D2E"/>
    <w:rsid w:val="005D3D9C"/>
    <w:rsid w:val="005D57A9"/>
    <w:rsid w:val="005D5ED2"/>
    <w:rsid w:val="005D6C05"/>
    <w:rsid w:val="005D7469"/>
    <w:rsid w:val="005E0888"/>
    <w:rsid w:val="005E0EED"/>
    <w:rsid w:val="005E0F6F"/>
    <w:rsid w:val="005E2BCA"/>
    <w:rsid w:val="005E326E"/>
    <w:rsid w:val="005E43FA"/>
    <w:rsid w:val="005E50A3"/>
    <w:rsid w:val="005E5BE9"/>
    <w:rsid w:val="005E5DB9"/>
    <w:rsid w:val="005E632F"/>
    <w:rsid w:val="005E63E0"/>
    <w:rsid w:val="005E71AD"/>
    <w:rsid w:val="005E74DF"/>
    <w:rsid w:val="005E77F4"/>
    <w:rsid w:val="005E784A"/>
    <w:rsid w:val="005F0228"/>
    <w:rsid w:val="005F164C"/>
    <w:rsid w:val="005F1EEF"/>
    <w:rsid w:val="005F2216"/>
    <w:rsid w:val="005F2547"/>
    <w:rsid w:val="005F2F33"/>
    <w:rsid w:val="005F4078"/>
    <w:rsid w:val="005F43AB"/>
    <w:rsid w:val="005F57E5"/>
    <w:rsid w:val="005F625A"/>
    <w:rsid w:val="005F62D7"/>
    <w:rsid w:val="005F690A"/>
    <w:rsid w:val="005F7939"/>
    <w:rsid w:val="005F7DC3"/>
    <w:rsid w:val="005F7FE5"/>
    <w:rsid w:val="006001AB"/>
    <w:rsid w:val="006002E4"/>
    <w:rsid w:val="00600472"/>
    <w:rsid w:val="00600764"/>
    <w:rsid w:val="00600927"/>
    <w:rsid w:val="00601F3B"/>
    <w:rsid w:val="00604672"/>
    <w:rsid w:val="00604C14"/>
    <w:rsid w:val="006057FD"/>
    <w:rsid w:val="00605D3E"/>
    <w:rsid w:val="00606AD9"/>
    <w:rsid w:val="00610F32"/>
    <w:rsid w:val="00611C63"/>
    <w:rsid w:val="00611EEB"/>
    <w:rsid w:val="006121F2"/>
    <w:rsid w:val="00612502"/>
    <w:rsid w:val="00612EAD"/>
    <w:rsid w:val="006131DE"/>
    <w:rsid w:val="006134C7"/>
    <w:rsid w:val="00613591"/>
    <w:rsid w:val="006141BD"/>
    <w:rsid w:val="00614B29"/>
    <w:rsid w:val="00615C5D"/>
    <w:rsid w:val="006167EC"/>
    <w:rsid w:val="00620245"/>
    <w:rsid w:val="0062061E"/>
    <w:rsid w:val="0062112B"/>
    <w:rsid w:val="006211EB"/>
    <w:rsid w:val="00622D88"/>
    <w:rsid w:val="006244E8"/>
    <w:rsid w:val="00625894"/>
    <w:rsid w:val="00625A31"/>
    <w:rsid w:val="00625FC1"/>
    <w:rsid w:val="006260FF"/>
    <w:rsid w:val="00626729"/>
    <w:rsid w:val="00626C4E"/>
    <w:rsid w:val="00626C69"/>
    <w:rsid w:val="00627576"/>
    <w:rsid w:val="00630477"/>
    <w:rsid w:val="00631B0E"/>
    <w:rsid w:val="00632207"/>
    <w:rsid w:val="00632356"/>
    <w:rsid w:val="00634483"/>
    <w:rsid w:val="0063585A"/>
    <w:rsid w:val="00635AFE"/>
    <w:rsid w:val="006364CB"/>
    <w:rsid w:val="00637141"/>
    <w:rsid w:val="00637220"/>
    <w:rsid w:val="0063730A"/>
    <w:rsid w:val="0064051F"/>
    <w:rsid w:val="00642CA5"/>
    <w:rsid w:val="00642E4A"/>
    <w:rsid w:val="00642FF7"/>
    <w:rsid w:val="006443BF"/>
    <w:rsid w:val="00644442"/>
    <w:rsid w:val="006444A1"/>
    <w:rsid w:val="0064483C"/>
    <w:rsid w:val="00646D21"/>
    <w:rsid w:val="00647214"/>
    <w:rsid w:val="006512AF"/>
    <w:rsid w:val="00651C0C"/>
    <w:rsid w:val="006535F6"/>
    <w:rsid w:val="00653BAC"/>
    <w:rsid w:val="00654B11"/>
    <w:rsid w:val="00654B16"/>
    <w:rsid w:val="00654C7D"/>
    <w:rsid w:val="0065577C"/>
    <w:rsid w:val="0065594D"/>
    <w:rsid w:val="00655D40"/>
    <w:rsid w:val="006577CA"/>
    <w:rsid w:val="00660B3B"/>
    <w:rsid w:val="00660B8E"/>
    <w:rsid w:val="00660C5A"/>
    <w:rsid w:val="006622C7"/>
    <w:rsid w:val="006629F2"/>
    <w:rsid w:val="00662CBD"/>
    <w:rsid w:val="00663576"/>
    <w:rsid w:val="00664913"/>
    <w:rsid w:val="00665B15"/>
    <w:rsid w:val="00665CF3"/>
    <w:rsid w:val="00666B37"/>
    <w:rsid w:val="006672A2"/>
    <w:rsid w:val="0066784A"/>
    <w:rsid w:val="00667DEA"/>
    <w:rsid w:val="00670672"/>
    <w:rsid w:val="00670A73"/>
    <w:rsid w:val="006710FF"/>
    <w:rsid w:val="0067152D"/>
    <w:rsid w:val="00671C61"/>
    <w:rsid w:val="006724CA"/>
    <w:rsid w:val="00674CFC"/>
    <w:rsid w:val="006750FE"/>
    <w:rsid w:val="006753AD"/>
    <w:rsid w:val="00675834"/>
    <w:rsid w:val="006766B8"/>
    <w:rsid w:val="0067690F"/>
    <w:rsid w:val="00676B95"/>
    <w:rsid w:val="00677468"/>
    <w:rsid w:val="006776BD"/>
    <w:rsid w:val="00677DBD"/>
    <w:rsid w:val="00680217"/>
    <w:rsid w:val="00681604"/>
    <w:rsid w:val="00681AB8"/>
    <w:rsid w:val="00681AF9"/>
    <w:rsid w:val="006820B7"/>
    <w:rsid w:val="006824B1"/>
    <w:rsid w:val="00682877"/>
    <w:rsid w:val="006838A2"/>
    <w:rsid w:val="0068466A"/>
    <w:rsid w:val="00684DCC"/>
    <w:rsid w:val="00684EA4"/>
    <w:rsid w:val="00684FC4"/>
    <w:rsid w:val="00685907"/>
    <w:rsid w:val="00686757"/>
    <w:rsid w:val="0068782D"/>
    <w:rsid w:val="00687971"/>
    <w:rsid w:val="00687D3C"/>
    <w:rsid w:val="00692632"/>
    <w:rsid w:val="00692729"/>
    <w:rsid w:val="00693135"/>
    <w:rsid w:val="006933F4"/>
    <w:rsid w:val="0069342A"/>
    <w:rsid w:val="0069360D"/>
    <w:rsid w:val="00693743"/>
    <w:rsid w:val="00693C19"/>
    <w:rsid w:val="00694220"/>
    <w:rsid w:val="0069552B"/>
    <w:rsid w:val="0069607E"/>
    <w:rsid w:val="006960D1"/>
    <w:rsid w:val="006961B3"/>
    <w:rsid w:val="006962B5"/>
    <w:rsid w:val="006965E2"/>
    <w:rsid w:val="00696991"/>
    <w:rsid w:val="006973C1"/>
    <w:rsid w:val="00697CED"/>
    <w:rsid w:val="006A0B64"/>
    <w:rsid w:val="006A32CD"/>
    <w:rsid w:val="006A3F18"/>
    <w:rsid w:val="006A51CE"/>
    <w:rsid w:val="006A5485"/>
    <w:rsid w:val="006A6B88"/>
    <w:rsid w:val="006A79AD"/>
    <w:rsid w:val="006B0AE8"/>
    <w:rsid w:val="006B0B11"/>
    <w:rsid w:val="006B0D3E"/>
    <w:rsid w:val="006B1289"/>
    <w:rsid w:val="006B1CE8"/>
    <w:rsid w:val="006B1E44"/>
    <w:rsid w:val="006B4354"/>
    <w:rsid w:val="006B445A"/>
    <w:rsid w:val="006B485D"/>
    <w:rsid w:val="006B61E6"/>
    <w:rsid w:val="006B6675"/>
    <w:rsid w:val="006C02A6"/>
    <w:rsid w:val="006C0BBC"/>
    <w:rsid w:val="006C12A1"/>
    <w:rsid w:val="006C1CFB"/>
    <w:rsid w:val="006C2EA5"/>
    <w:rsid w:val="006C3187"/>
    <w:rsid w:val="006C34B2"/>
    <w:rsid w:val="006C35F5"/>
    <w:rsid w:val="006C3AE3"/>
    <w:rsid w:val="006C4269"/>
    <w:rsid w:val="006C4B88"/>
    <w:rsid w:val="006C4DD6"/>
    <w:rsid w:val="006C5297"/>
    <w:rsid w:val="006C5EAC"/>
    <w:rsid w:val="006C7393"/>
    <w:rsid w:val="006C781E"/>
    <w:rsid w:val="006C79A0"/>
    <w:rsid w:val="006C7DF7"/>
    <w:rsid w:val="006D1618"/>
    <w:rsid w:val="006D1A03"/>
    <w:rsid w:val="006D2C9E"/>
    <w:rsid w:val="006D2EB7"/>
    <w:rsid w:val="006D37A0"/>
    <w:rsid w:val="006D37EE"/>
    <w:rsid w:val="006D5C4B"/>
    <w:rsid w:val="006D67B8"/>
    <w:rsid w:val="006D6850"/>
    <w:rsid w:val="006D7FA8"/>
    <w:rsid w:val="006E13B3"/>
    <w:rsid w:val="006E1D86"/>
    <w:rsid w:val="006E3C39"/>
    <w:rsid w:val="006E422D"/>
    <w:rsid w:val="006E4506"/>
    <w:rsid w:val="006F00CC"/>
    <w:rsid w:val="006F0775"/>
    <w:rsid w:val="006F0AB4"/>
    <w:rsid w:val="006F0BB9"/>
    <w:rsid w:val="006F1B8E"/>
    <w:rsid w:val="006F23DB"/>
    <w:rsid w:val="006F509A"/>
    <w:rsid w:val="006F5787"/>
    <w:rsid w:val="006F5CD9"/>
    <w:rsid w:val="006F5DBA"/>
    <w:rsid w:val="006F6962"/>
    <w:rsid w:val="006F6BB3"/>
    <w:rsid w:val="006F6DA2"/>
    <w:rsid w:val="006F7071"/>
    <w:rsid w:val="0070077B"/>
    <w:rsid w:val="00700D61"/>
    <w:rsid w:val="00701AF7"/>
    <w:rsid w:val="007021A5"/>
    <w:rsid w:val="007030C1"/>
    <w:rsid w:val="0070367A"/>
    <w:rsid w:val="0070442D"/>
    <w:rsid w:val="00704549"/>
    <w:rsid w:val="00705189"/>
    <w:rsid w:val="007063BF"/>
    <w:rsid w:val="007073EF"/>
    <w:rsid w:val="00707D25"/>
    <w:rsid w:val="00707E31"/>
    <w:rsid w:val="00711271"/>
    <w:rsid w:val="00711A8E"/>
    <w:rsid w:val="007138FB"/>
    <w:rsid w:val="00714002"/>
    <w:rsid w:val="00717B4F"/>
    <w:rsid w:val="007206A9"/>
    <w:rsid w:val="007206DD"/>
    <w:rsid w:val="00721065"/>
    <w:rsid w:val="00721399"/>
    <w:rsid w:val="0072161E"/>
    <w:rsid w:val="00721651"/>
    <w:rsid w:val="007216C5"/>
    <w:rsid w:val="00722661"/>
    <w:rsid w:val="00722823"/>
    <w:rsid w:val="00724421"/>
    <w:rsid w:val="00724802"/>
    <w:rsid w:val="00724C2D"/>
    <w:rsid w:val="007252E6"/>
    <w:rsid w:val="00726855"/>
    <w:rsid w:val="007268DC"/>
    <w:rsid w:val="0072765F"/>
    <w:rsid w:val="007303C7"/>
    <w:rsid w:val="00730B0E"/>
    <w:rsid w:val="0073190B"/>
    <w:rsid w:val="00731D01"/>
    <w:rsid w:val="00732785"/>
    <w:rsid w:val="00732C10"/>
    <w:rsid w:val="00734750"/>
    <w:rsid w:val="00735485"/>
    <w:rsid w:val="0073604F"/>
    <w:rsid w:val="00736284"/>
    <w:rsid w:val="0073639A"/>
    <w:rsid w:val="0074119E"/>
    <w:rsid w:val="0074131E"/>
    <w:rsid w:val="00741599"/>
    <w:rsid w:val="00741F00"/>
    <w:rsid w:val="00742080"/>
    <w:rsid w:val="00742818"/>
    <w:rsid w:val="007431A7"/>
    <w:rsid w:val="00743BC6"/>
    <w:rsid w:val="00744086"/>
    <w:rsid w:val="00746D2D"/>
    <w:rsid w:val="00746E6C"/>
    <w:rsid w:val="00746E77"/>
    <w:rsid w:val="007470B0"/>
    <w:rsid w:val="0074771A"/>
    <w:rsid w:val="00750A32"/>
    <w:rsid w:val="00752F2C"/>
    <w:rsid w:val="007534A3"/>
    <w:rsid w:val="007540FC"/>
    <w:rsid w:val="007544BA"/>
    <w:rsid w:val="007545E9"/>
    <w:rsid w:val="00755046"/>
    <w:rsid w:val="00755E16"/>
    <w:rsid w:val="007572BB"/>
    <w:rsid w:val="00761124"/>
    <w:rsid w:val="0076123B"/>
    <w:rsid w:val="00761ABD"/>
    <w:rsid w:val="00761AC0"/>
    <w:rsid w:val="007622A4"/>
    <w:rsid w:val="007631DB"/>
    <w:rsid w:val="0076342A"/>
    <w:rsid w:val="007637A3"/>
    <w:rsid w:val="007647FF"/>
    <w:rsid w:val="00766016"/>
    <w:rsid w:val="00767BB7"/>
    <w:rsid w:val="00770594"/>
    <w:rsid w:val="00771E46"/>
    <w:rsid w:val="007724A2"/>
    <w:rsid w:val="00774733"/>
    <w:rsid w:val="00776254"/>
    <w:rsid w:val="00776616"/>
    <w:rsid w:val="007773B2"/>
    <w:rsid w:val="007776B3"/>
    <w:rsid w:val="007802AE"/>
    <w:rsid w:val="007803CE"/>
    <w:rsid w:val="00781938"/>
    <w:rsid w:val="00781D8A"/>
    <w:rsid w:val="00781F1C"/>
    <w:rsid w:val="0078295C"/>
    <w:rsid w:val="00783384"/>
    <w:rsid w:val="00784561"/>
    <w:rsid w:val="0078481D"/>
    <w:rsid w:val="00784C5C"/>
    <w:rsid w:val="00787231"/>
    <w:rsid w:val="00791AB6"/>
    <w:rsid w:val="00791ED2"/>
    <w:rsid w:val="007922AB"/>
    <w:rsid w:val="007922BE"/>
    <w:rsid w:val="00793351"/>
    <w:rsid w:val="0079344D"/>
    <w:rsid w:val="00793AA1"/>
    <w:rsid w:val="00794012"/>
    <w:rsid w:val="00794538"/>
    <w:rsid w:val="00795CEE"/>
    <w:rsid w:val="00796703"/>
    <w:rsid w:val="007A0BEC"/>
    <w:rsid w:val="007A1265"/>
    <w:rsid w:val="007A12D8"/>
    <w:rsid w:val="007A1C09"/>
    <w:rsid w:val="007A2F25"/>
    <w:rsid w:val="007A31AB"/>
    <w:rsid w:val="007A3374"/>
    <w:rsid w:val="007A3DEA"/>
    <w:rsid w:val="007A3F13"/>
    <w:rsid w:val="007A4189"/>
    <w:rsid w:val="007A59A8"/>
    <w:rsid w:val="007A6304"/>
    <w:rsid w:val="007B03B5"/>
    <w:rsid w:val="007B0A89"/>
    <w:rsid w:val="007B18D0"/>
    <w:rsid w:val="007B1B79"/>
    <w:rsid w:val="007B29C3"/>
    <w:rsid w:val="007B2C39"/>
    <w:rsid w:val="007B42CA"/>
    <w:rsid w:val="007B44CE"/>
    <w:rsid w:val="007B4A17"/>
    <w:rsid w:val="007B561B"/>
    <w:rsid w:val="007B684A"/>
    <w:rsid w:val="007B6CBB"/>
    <w:rsid w:val="007C0081"/>
    <w:rsid w:val="007C01DC"/>
    <w:rsid w:val="007C15C7"/>
    <w:rsid w:val="007C23C0"/>
    <w:rsid w:val="007C2839"/>
    <w:rsid w:val="007C4B57"/>
    <w:rsid w:val="007C4EA5"/>
    <w:rsid w:val="007C57A5"/>
    <w:rsid w:val="007C5865"/>
    <w:rsid w:val="007C66BA"/>
    <w:rsid w:val="007C6CA0"/>
    <w:rsid w:val="007C6E04"/>
    <w:rsid w:val="007C6F32"/>
    <w:rsid w:val="007C7B73"/>
    <w:rsid w:val="007D1644"/>
    <w:rsid w:val="007D30F3"/>
    <w:rsid w:val="007D31D3"/>
    <w:rsid w:val="007D37DB"/>
    <w:rsid w:val="007D3D68"/>
    <w:rsid w:val="007D4334"/>
    <w:rsid w:val="007D4433"/>
    <w:rsid w:val="007D4800"/>
    <w:rsid w:val="007D6D8B"/>
    <w:rsid w:val="007D764F"/>
    <w:rsid w:val="007D7A18"/>
    <w:rsid w:val="007E19E3"/>
    <w:rsid w:val="007E1CD4"/>
    <w:rsid w:val="007E21B1"/>
    <w:rsid w:val="007E3A33"/>
    <w:rsid w:val="007E4E6D"/>
    <w:rsid w:val="007E4F2D"/>
    <w:rsid w:val="007E54A8"/>
    <w:rsid w:val="007E5FE8"/>
    <w:rsid w:val="007E64B3"/>
    <w:rsid w:val="007E6AA5"/>
    <w:rsid w:val="007E7EE3"/>
    <w:rsid w:val="007F0E01"/>
    <w:rsid w:val="007F0F21"/>
    <w:rsid w:val="007F100E"/>
    <w:rsid w:val="007F12FD"/>
    <w:rsid w:val="007F16F4"/>
    <w:rsid w:val="007F1A62"/>
    <w:rsid w:val="007F1C4E"/>
    <w:rsid w:val="007F2AE9"/>
    <w:rsid w:val="007F30FF"/>
    <w:rsid w:val="007F3D0A"/>
    <w:rsid w:val="007F4A52"/>
    <w:rsid w:val="007F4F0B"/>
    <w:rsid w:val="007F62A7"/>
    <w:rsid w:val="007F6DAA"/>
    <w:rsid w:val="007F7C6B"/>
    <w:rsid w:val="00800004"/>
    <w:rsid w:val="00800171"/>
    <w:rsid w:val="00800E93"/>
    <w:rsid w:val="00801CC8"/>
    <w:rsid w:val="00803F89"/>
    <w:rsid w:val="0080407F"/>
    <w:rsid w:val="00805BF2"/>
    <w:rsid w:val="008076D2"/>
    <w:rsid w:val="00807FC3"/>
    <w:rsid w:val="00810929"/>
    <w:rsid w:val="00810C9F"/>
    <w:rsid w:val="00810F12"/>
    <w:rsid w:val="008117EC"/>
    <w:rsid w:val="00811DF2"/>
    <w:rsid w:val="008144DC"/>
    <w:rsid w:val="008145B6"/>
    <w:rsid w:val="0081529C"/>
    <w:rsid w:val="008153A6"/>
    <w:rsid w:val="00816271"/>
    <w:rsid w:val="00816BD7"/>
    <w:rsid w:val="00817376"/>
    <w:rsid w:val="00817511"/>
    <w:rsid w:val="008179BB"/>
    <w:rsid w:val="008203CC"/>
    <w:rsid w:val="00820D3C"/>
    <w:rsid w:val="00820F00"/>
    <w:rsid w:val="0082149A"/>
    <w:rsid w:val="0082262A"/>
    <w:rsid w:val="008229C2"/>
    <w:rsid w:val="00823AC6"/>
    <w:rsid w:val="00824B9A"/>
    <w:rsid w:val="00824F11"/>
    <w:rsid w:val="0082504E"/>
    <w:rsid w:val="00826746"/>
    <w:rsid w:val="008269D0"/>
    <w:rsid w:val="00827065"/>
    <w:rsid w:val="0082779A"/>
    <w:rsid w:val="008277FD"/>
    <w:rsid w:val="008278B7"/>
    <w:rsid w:val="00827C85"/>
    <w:rsid w:val="0083178A"/>
    <w:rsid w:val="0083251A"/>
    <w:rsid w:val="00832D03"/>
    <w:rsid w:val="00833DA5"/>
    <w:rsid w:val="008346AE"/>
    <w:rsid w:val="00834C9C"/>
    <w:rsid w:val="0083539A"/>
    <w:rsid w:val="00835F68"/>
    <w:rsid w:val="008363BD"/>
    <w:rsid w:val="00836566"/>
    <w:rsid w:val="00836A44"/>
    <w:rsid w:val="00837469"/>
    <w:rsid w:val="008378F3"/>
    <w:rsid w:val="0084005C"/>
    <w:rsid w:val="0084035B"/>
    <w:rsid w:val="0084056E"/>
    <w:rsid w:val="00841DE2"/>
    <w:rsid w:val="00841F48"/>
    <w:rsid w:val="008428E4"/>
    <w:rsid w:val="00842B18"/>
    <w:rsid w:val="00842CB7"/>
    <w:rsid w:val="00843AB9"/>
    <w:rsid w:val="008441DB"/>
    <w:rsid w:val="008449E3"/>
    <w:rsid w:val="00846100"/>
    <w:rsid w:val="0084650D"/>
    <w:rsid w:val="008468AD"/>
    <w:rsid w:val="00847AE5"/>
    <w:rsid w:val="0085096E"/>
    <w:rsid w:val="00850C9B"/>
    <w:rsid w:val="00850FB9"/>
    <w:rsid w:val="00851B70"/>
    <w:rsid w:val="00851DE0"/>
    <w:rsid w:val="00852609"/>
    <w:rsid w:val="008542BE"/>
    <w:rsid w:val="0085452A"/>
    <w:rsid w:val="0085632E"/>
    <w:rsid w:val="00856BC1"/>
    <w:rsid w:val="00857343"/>
    <w:rsid w:val="00860991"/>
    <w:rsid w:val="00860C75"/>
    <w:rsid w:val="00860C88"/>
    <w:rsid w:val="00860E73"/>
    <w:rsid w:val="00861179"/>
    <w:rsid w:val="008611C3"/>
    <w:rsid w:val="0086132E"/>
    <w:rsid w:val="00861FAB"/>
    <w:rsid w:val="00863514"/>
    <w:rsid w:val="0086501A"/>
    <w:rsid w:val="00866004"/>
    <w:rsid w:val="00866101"/>
    <w:rsid w:val="00866460"/>
    <w:rsid w:val="00866DBF"/>
    <w:rsid w:val="008676E8"/>
    <w:rsid w:val="0087057D"/>
    <w:rsid w:val="00872940"/>
    <w:rsid w:val="008733D4"/>
    <w:rsid w:val="00873534"/>
    <w:rsid w:val="00874D5E"/>
    <w:rsid w:val="00875635"/>
    <w:rsid w:val="00875CBA"/>
    <w:rsid w:val="00876B2E"/>
    <w:rsid w:val="0088101A"/>
    <w:rsid w:val="008811B9"/>
    <w:rsid w:val="00881A66"/>
    <w:rsid w:val="008837D7"/>
    <w:rsid w:val="008841C1"/>
    <w:rsid w:val="00884A39"/>
    <w:rsid w:val="0088527C"/>
    <w:rsid w:val="0088699B"/>
    <w:rsid w:val="0088708B"/>
    <w:rsid w:val="00887F75"/>
    <w:rsid w:val="00890846"/>
    <w:rsid w:val="00890BB1"/>
    <w:rsid w:val="00892451"/>
    <w:rsid w:val="008929B3"/>
    <w:rsid w:val="00892EBC"/>
    <w:rsid w:val="00892EE9"/>
    <w:rsid w:val="00893368"/>
    <w:rsid w:val="008937EE"/>
    <w:rsid w:val="008939E6"/>
    <w:rsid w:val="00893EBB"/>
    <w:rsid w:val="00893EF8"/>
    <w:rsid w:val="00894EB5"/>
    <w:rsid w:val="00895ADA"/>
    <w:rsid w:val="008962D5"/>
    <w:rsid w:val="0089760A"/>
    <w:rsid w:val="008A01BF"/>
    <w:rsid w:val="008A06F3"/>
    <w:rsid w:val="008A137E"/>
    <w:rsid w:val="008A1B16"/>
    <w:rsid w:val="008A21A3"/>
    <w:rsid w:val="008A2721"/>
    <w:rsid w:val="008A2C6D"/>
    <w:rsid w:val="008A4184"/>
    <w:rsid w:val="008A58EC"/>
    <w:rsid w:val="008A7477"/>
    <w:rsid w:val="008B03A1"/>
    <w:rsid w:val="008B0C9A"/>
    <w:rsid w:val="008B1248"/>
    <w:rsid w:val="008B19C1"/>
    <w:rsid w:val="008B27C0"/>
    <w:rsid w:val="008B2D4D"/>
    <w:rsid w:val="008B2FA2"/>
    <w:rsid w:val="008B3921"/>
    <w:rsid w:val="008B499D"/>
    <w:rsid w:val="008B551E"/>
    <w:rsid w:val="008B5954"/>
    <w:rsid w:val="008B6516"/>
    <w:rsid w:val="008B7BF0"/>
    <w:rsid w:val="008C1C98"/>
    <w:rsid w:val="008C2B9D"/>
    <w:rsid w:val="008C34A8"/>
    <w:rsid w:val="008C4435"/>
    <w:rsid w:val="008C4BC6"/>
    <w:rsid w:val="008C5153"/>
    <w:rsid w:val="008C557E"/>
    <w:rsid w:val="008C6D3A"/>
    <w:rsid w:val="008C6EFB"/>
    <w:rsid w:val="008C6F8F"/>
    <w:rsid w:val="008C7AE0"/>
    <w:rsid w:val="008D0AE3"/>
    <w:rsid w:val="008D26AE"/>
    <w:rsid w:val="008D29D0"/>
    <w:rsid w:val="008D2B05"/>
    <w:rsid w:val="008D3693"/>
    <w:rsid w:val="008D4461"/>
    <w:rsid w:val="008D4E10"/>
    <w:rsid w:val="008D58C7"/>
    <w:rsid w:val="008D6354"/>
    <w:rsid w:val="008D6A48"/>
    <w:rsid w:val="008D7A5E"/>
    <w:rsid w:val="008E0975"/>
    <w:rsid w:val="008E18DE"/>
    <w:rsid w:val="008E2E5B"/>
    <w:rsid w:val="008E2F50"/>
    <w:rsid w:val="008E3507"/>
    <w:rsid w:val="008E53B9"/>
    <w:rsid w:val="008E5589"/>
    <w:rsid w:val="008E590D"/>
    <w:rsid w:val="008E5EF6"/>
    <w:rsid w:val="008E7524"/>
    <w:rsid w:val="008E7B26"/>
    <w:rsid w:val="008E7C98"/>
    <w:rsid w:val="008E7FFE"/>
    <w:rsid w:val="008F0569"/>
    <w:rsid w:val="008F06D3"/>
    <w:rsid w:val="008F07B4"/>
    <w:rsid w:val="008F0C9C"/>
    <w:rsid w:val="008F11E6"/>
    <w:rsid w:val="008F1492"/>
    <w:rsid w:val="008F14C1"/>
    <w:rsid w:val="008F1599"/>
    <w:rsid w:val="008F3434"/>
    <w:rsid w:val="008F3F7B"/>
    <w:rsid w:val="008F50FE"/>
    <w:rsid w:val="008F5120"/>
    <w:rsid w:val="008F5180"/>
    <w:rsid w:val="008F7EC2"/>
    <w:rsid w:val="009007FA"/>
    <w:rsid w:val="009010B2"/>
    <w:rsid w:val="009014EF"/>
    <w:rsid w:val="00901BA6"/>
    <w:rsid w:val="00901C04"/>
    <w:rsid w:val="00902975"/>
    <w:rsid w:val="00903E26"/>
    <w:rsid w:val="009046E1"/>
    <w:rsid w:val="00906DE9"/>
    <w:rsid w:val="00907171"/>
    <w:rsid w:val="0090753B"/>
    <w:rsid w:val="009107E6"/>
    <w:rsid w:val="009110D8"/>
    <w:rsid w:val="009123F6"/>
    <w:rsid w:val="0091284C"/>
    <w:rsid w:val="00912FF5"/>
    <w:rsid w:val="00914465"/>
    <w:rsid w:val="009174E3"/>
    <w:rsid w:val="00917D8B"/>
    <w:rsid w:val="00920754"/>
    <w:rsid w:val="00920F7C"/>
    <w:rsid w:val="00922999"/>
    <w:rsid w:val="00922AFC"/>
    <w:rsid w:val="00923324"/>
    <w:rsid w:val="009238FB"/>
    <w:rsid w:val="00923D9C"/>
    <w:rsid w:val="00925639"/>
    <w:rsid w:val="00926F9D"/>
    <w:rsid w:val="0092786A"/>
    <w:rsid w:val="00927AD4"/>
    <w:rsid w:val="00927B03"/>
    <w:rsid w:val="00930454"/>
    <w:rsid w:val="00930ED9"/>
    <w:rsid w:val="00930F65"/>
    <w:rsid w:val="00932366"/>
    <w:rsid w:val="00933C81"/>
    <w:rsid w:val="009345FA"/>
    <w:rsid w:val="00934CCC"/>
    <w:rsid w:val="00936137"/>
    <w:rsid w:val="009365EA"/>
    <w:rsid w:val="00936F93"/>
    <w:rsid w:val="0093705D"/>
    <w:rsid w:val="00940420"/>
    <w:rsid w:val="00941B1A"/>
    <w:rsid w:val="009423F0"/>
    <w:rsid w:val="00943CBB"/>
    <w:rsid w:val="0094449A"/>
    <w:rsid w:val="00944D0B"/>
    <w:rsid w:val="00945DBE"/>
    <w:rsid w:val="0094665B"/>
    <w:rsid w:val="00951A87"/>
    <w:rsid w:val="0095240F"/>
    <w:rsid w:val="009527B1"/>
    <w:rsid w:val="00953614"/>
    <w:rsid w:val="009537E4"/>
    <w:rsid w:val="00953A22"/>
    <w:rsid w:val="00954336"/>
    <w:rsid w:val="00954CF3"/>
    <w:rsid w:val="00955E3C"/>
    <w:rsid w:val="00956088"/>
    <w:rsid w:val="00956242"/>
    <w:rsid w:val="009571E2"/>
    <w:rsid w:val="009574D4"/>
    <w:rsid w:val="00962095"/>
    <w:rsid w:val="009627CA"/>
    <w:rsid w:val="00962C57"/>
    <w:rsid w:val="00963FB9"/>
    <w:rsid w:val="00964220"/>
    <w:rsid w:val="009646BB"/>
    <w:rsid w:val="00964737"/>
    <w:rsid w:val="00964E0E"/>
    <w:rsid w:val="00964E5E"/>
    <w:rsid w:val="00965BF5"/>
    <w:rsid w:val="0096629D"/>
    <w:rsid w:val="00967068"/>
    <w:rsid w:val="00967D14"/>
    <w:rsid w:val="00971DAD"/>
    <w:rsid w:val="00971DF6"/>
    <w:rsid w:val="0097224F"/>
    <w:rsid w:val="00973405"/>
    <w:rsid w:val="009735C4"/>
    <w:rsid w:val="00973AB8"/>
    <w:rsid w:val="00973B4F"/>
    <w:rsid w:val="00974417"/>
    <w:rsid w:val="00974A4F"/>
    <w:rsid w:val="00976217"/>
    <w:rsid w:val="00976C45"/>
    <w:rsid w:val="00977B1A"/>
    <w:rsid w:val="00980115"/>
    <w:rsid w:val="00980F19"/>
    <w:rsid w:val="0098103A"/>
    <w:rsid w:val="00981B34"/>
    <w:rsid w:val="00981B66"/>
    <w:rsid w:val="00981C61"/>
    <w:rsid w:val="00981D28"/>
    <w:rsid w:val="009829C7"/>
    <w:rsid w:val="00984C04"/>
    <w:rsid w:val="00985B6F"/>
    <w:rsid w:val="00985CC3"/>
    <w:rsid w:val="00986534"/>
    <w:rsid w:val="009876E5"/>
    <w:rsid w:val="00987F5B"/>
    <w:rsid w:val="00990420"/>
    <w:rsid w:val="009913A8"/>
    <w:rsid w:val="009915E9"/>
    <w:rsid w:val="00991C89"/>
    <w:rsid w:val="00992750"/>
    <w:rsid w:val="00992ADA"/>
    <w:rsid w:val="00992E6F"/>
    <w:rsid w:val="0099369B"/>
    <w:rsid w:val="009945FC"/>
    <w:rsid w:val="00994CFC"/>
    <w:rsid w:val="00995B48"/>
    <w:rsid w:val="00995C34"/>
    <w:rsid w:val="00997473"/>
    <w:rsid w:val="0099766C"/>
    <w:rsid w:val="009A0AF8"/>
    <w:rsid w:val="009A1306"/>
    <w:rsid w:val="009A269D"/>
    <w:rsid w:val="009A29FC"/>
    <w:rsid w:val="009A2A6A"/>
    <w:rsid w:val="009A349C"/>
    <w:rsid w:val="009A3FF8"/>
    <w:rsid w:val="009A4F9A"/>
    <w:rsid w:val="009A5B8F"/>
    <w:rsid w:val="009A666C"/>
    <w:rsid w:val="009A794F"/>
    <w:rsid w:val="009A7E0F"/>
    <w:rsid w:val="009B0093"/>
    <w:rsid w:val="009B2877"/>
    <w:rsid w:val="009B3235"/>
    <w:rsid w:val="009B346B"/>
    <w:rsid w:val="009B350E"/>
    <w:rsid w:val="009B42CE"/>
    <w:rsid w:val="009B493B"/>
    <w:rsid w:val="009B6A95"/>
    <w:rsid w:val="009B777B"/>
    <w:rsid w:val="009C0AA3"/>
    <w:rsid w:val="009C0ADF"/>
    <w:rsid w:val="009C0C29"/>
    <w:rsid w:val="009C143D"/>
    <w:rsid w:val="009C2EF6"/>
    <w:rsid w:val="009C32E3"/>
    <w:rsid w:val="009C3386"/>
    <w:rsid w:val="009C3736"/>
    <w:rsid w:val="009C3773"/>
    <w:rsid w:val="009C418A"/>
    <w:rsid w:val="009C46FB"/>
    <w:rsid w:val="009C4ABD"/>
    <w:rsid w:val="009C50C9"/>
    <w:rsid w:val="009C512B"/>
    <w:rsid w:val="009C6405"/>
    <w:rsid w:val="009C7EB5"/>
    <w:rsid w:val="009D0996"/>
    <w:rsid w:val="009D1AFC"/>
    <w:rsid w:val="009D2786"/>
    <w:rsid w:val="009D2936"/>
    <w:rsid w:val="009D48BB"/>
    <w:rsid w:val="009D4A5D"/>
    <w:rsid w:val="009D5C34"/>
    <w:rsid w:val="009D6AF0"/>
    <w:rsid w:val="009D76F8"/>
    <w:rsid w:val="009E03B6"/>
    <w:rsid w:val="009E07F9"/>
    <w:rsid w:val="009E0930"/>
    <w:rsid w:val="009E127A"/>
    <w:rsid w:val="009E23F3"/>
    <w:rsid w:val="009E3975"/>
    <w:rsid w:val="009E4087"/>
    <w:rsid w:val="009E6237"/>
    <w:rsid w:val="009E7E9B"/>
    <w:rsid w:val="009F1138"/>
    <w:rsid w:val="009F1A5B"/>
    <w:rsid w:val="009F1D52"/>
    <w:rsid w:val="009F1F80"/>
    <w:rsid w:val="009F21C0"/>
    <w:rsid w:val="009F244C"/>
    <w:rsid w:val="009F24C8"/>
    <w:rsid w:val="009F2540"/>
    <w:rsid w:val="009F2643"/>
    <w:rsid w:val="009F28EA"/>
    <w:rsid w:val="009F422C"/>
    <w:rsid w:val="009F48B6"/>
    <w:rsid w:val="009F6280"/>
    <w:rsid w:val="009F6C51"/>
    <w:rsid w:val="009F6C97"/>
    <w:rsid w:val="009F7465"/>
    <w:rsid w:val="009F7A91"/>
    <w:rsid w:val="009F7FE1"/>
    <w:rsid w:val="00A00B7E"/>
    <w:rsid w:val="00A00ED0"/>
    <w:rsid w:val="00A02490"/>
    <w:rsid w:val="00A02A41"/>
    <w:rsid w:val="00A034F2"/>
    <w:rsid w:val="00A03AB9"/>
    <w:rsid w:val="00A03FFA"/>
    <w:rsid w:val="00A04F85"/>
    <w:rsid w:val="00A056DC"/>
    <w:rsid w:val="00A05810"/>
    <w:rsid w:val="00A05C4B"/>
    <w:rsid w:val="00A0737B"/>
    <w:rsid w:val="00A07465"/>
    <w:rsid w:val="00A11744"/>
    <w:rsid w:val="00A12772"/>
    <w:rsid w:val="00A129C4"/>
    <w:rsid w:val="00A1428E"/>
    <w:rsid w:val="00A14DB3"/>
    <w:rsid w:val="00A15106"/>
    <w:rsid w:val="00A157D8"/>
    <w:rsid w:val="00A164F4"/>
    <w:rsid w:val="00A168EC"/>
    <w:rsid w:val="00A16A01"/>
    <w:rsid w:val="00A1791B"/>
    <w:rsid w:val="00A179E4"/>
    <w:rsid w:val="00A200C1"/>
    <w:rsid w:val="00A205C0"/>
    <w:rsid w:val="00A20F2B"/>
    <w:rsid w:val="00A20FA8"/>
    <w:rsid w:val="00A23B33"/>
    <w:rsid w:val="00A24985"/>
    <w:rsid w:val="00A24F79"/>
    <w:rsid w:val="00A25949"/>
    <w:rsid w:val="00A3057B"/>
    <w:rsid w:val="00A31A9C"/>
    <w:rsid w:val="00A326A7"/>
    <w:rsid w:val="00A331FA"/>
    <w:rsid w:val="00A338AC"/>
    <w:rsid w:val="00A349C1"/>
    <w:rsid w:val="00A349FF"/>
    <w:rsid w:val="00A403B3"/>
    <w:rsid w:val="00A4137C"/>
    <w:rsid w:val="00A41517"/>
    <w:rsid w:val="00A41BB3"/>
    <w:rsid w:val="00A4366F"/>
    <w:rsid w:val="00A43680"/>
    <w:rsid w:val="00A43F04"/>
    <w:rsid w:val="00A44DC6"/>
    <w:rsid w:val="00A45CD8"/>
    <w:rsid w:val="00A466B1"/>
    <w:rsid w:val="00A4731F"/>
    <w:rsid w:val="00A47BB7"/>
    <w:rsid w:val="00A47D27"/>
    <w:rsid w:val="00A47E9F"/>
    <w:rsid w:val="00A47F15"/>
    <w:rsid w:val="00A50A26"/>
    <w:rsid w:val="00A51591"/>
    <w:rsid w:val="00A51669"/>
    <w:rsid w:val="00A530BE"/>
    <w:rsid w:val="00A53955"/>
    <w:rsid w:val="00A540D3"/>
    <w:rsid w:val="00A54A63"/>
    <w:rsid w:val="00A54B79"/>
    <w:rsid w:val="00A54CA9"/>
    <w:rsid w:val="00A5539C"/>
    <w:rsid w:val="00A602E4"/>
    <w:rsid w:val="00A60304"/>
    <w:rsid w:val="00A60ADA"/>
    <w:rsid w:val="00A612CD"/>
    <w:rsid w:val="00A6298B"/>
    <w:rsid w:val="00A63AA4"/>
    <w:rsid w:val="00A64747"/>
    <w:rsid w:val="00A653BF"/>
    <w:rsid w:val="00A654E4"/>
    <w:rsid w:val="00A6647C"/>
    <w:rsid w:val="00A66801"/>
    <w:rsid w:val="00A66B35"/>
    <w:rsid w:val="00A67289"/>
    <w:rsid w:val="00A67667"/>
    <w:rsid w:val="00A70074"/>
    <w:rsid w:val="00A71E30"/>
    <w:rsid w:val="00A725EB"/>
    <w:rsid w:val="00A7269C"/>
    <w:rsid w:val="00A72710"/>
    <w:rsid w:val="00A72FA8"/>
    <w:rsid w:val="00A73319"/>
    <w:rsid w:val="00A734DE"/>
    <w:rsid w:val="00A7370C"/>
    <w:rsid w:val="00A740F2"/>
    <w:rsid w:val="00A7484B"/>
    <w:rsid w:val="00A748FC"/>
    <w:rsid w:val="00A74AF2"/>
    <w:rsid w:val="00A74CAA"/>
    <w:rsid w:val="00A74D7D"/>
    <w:rsid w:val="00A75165"/>
    <w:rsid w:val="00A767E6"/>
    <w:rsid w:val="00A80459"/>
    <w:rsid w:val="00A80681"/>
    <w:rsid w:val="00A80914"/>
    <w:rsid w:val="00A812FF"/>
    <w:rsid w:val="00A83741"/>
    <w:rsid w:val="00A83B49"/>
    <w:rsid w:val="00A83B7F"/>
    <w:rsid w:val="00A84C7C"/>
    <w:rsid w:val="00A86B87"/>
    <w:rsid w:val="00A902A2"/>
    <w:rsid w:val="00A902E6"/>
    <w:rsid w:val="00A92111"/>
    <w:rsid w:val="00A92962"/>
    <w:rsid w:val="00A93258"/>
    <w:rsid w:val="00A93274"/>
    <w:rsid w:val="00A933D3"/>
    <w:rsid w:val="00A93889"/>
    <w:rsid w:val="00A942D3"/>
    <w:rsid w:val="00A95B70"/>
    <w:rsid w:val="00A968C7"/>
    <w:rsid w:val="00A96F87"/>
    <w:rsid w:val="00AA21E0"/>
    <w:rsid w:val="00AA2541"/>
    <w:rsid w:val="00AA3908"/>
    <w:rsid w:val="00AA3DEB"/>
    <w:rsid w:val="00AA3F9E"/>
    <w:rsid w:val="00AA618B"/>
    <w:rsid w:val="00AA62CE"/>
    <w:rsid w:val="00AA70E4"/>
    <w:rsid w:val="00AA7CB7"/>
    <w:rsid w:val="00AB02A6"/>
    <w:rsid w:val="00AB053A"/>
    <w:rsid w:val="00AB0A6D"/>
    <w:rsid w:val="00AB2BA2"/>
    <w:rsid w:val="00AB2BFE"/>
    <w:rsid w:val="00AB3BFB"/>
    <w:rsid w:val="00AB4F52"/>
    <w:rsid w:val="00AB562E"/>
    <w:rsid w:val="00AB6540"/>
    <w:rsid w:val="00AB65E7"/>
    <w:rsid w:val="00AB7104"/>
    <w:rsid w:val="00AB728E"/>
    <w:rsid w:val="00AB77A2"/>
    <w:rsid w:val="00AB797F"/>
    <w:rsid w:val="00AC04EE"/>
    <w:rsid w:val="00AC13D5"/>
    <w:rsid w:val="00AC15A4"/>
    <w:rsid w:val="00AC22DC"/>
    <w:rsid w:val="00AC2DFA"/>
    <w:rsid w:val="00AC3527"/>
    <w:rsid w:val="00AC36D9"/>
    <w:rsid w:val="00AC3BDF"/>
    <w:rsid w:val="00AC42AF"/>
    <w:rsid w:val="00AC518C"/>
    <w:rsid w:val="00AC5422"/>
    <w:rsid w:val="00AC57D2"/>
    <w:rsid w:val="00AC5AC3"/>
    <w:rsid w:val="00AC60D8"/>
    <w:rsid w:val="00AC6353"/>
    <w:rsid w:val="00AC65BF"/>
    <w:rsid w:val="00AC7D1B"/>
    <w:rsid w:val="00AD00B3"/>
    <w:rsid w:val="00AD08E8"/>
    <w:rsid w:val="00AD203D"/>
    <w:rsid w:val="00AD2525"/>
    <w:rsid w:val="00AD27B5"/>
    <w:rsid w:val="00AD2EB4"/>
    <w:rsid w:val="00AD32F1"/>
    <w:rsid w:val="00AD38BA"/>
    <w:rsid w:val="00AD38D7"/>
    <w:rsid w:val="00AD4288"/>
    <w:rsid w:val="00AD45F6"/>
    <w:rsid w:val="00AD4814"/>
    <w:rsid w:val="00AD4F04"/>
    <w:rsid w:val="00AD6B75"/>
    <w:rsid w:val="00AD6C7E"/>
    <w:rsid w:val="00AD77E7"/>
    <w:rsid w:val="00AD7D74"/>
    <w:rsid w:val="00AE0C17"/>
    <w:rsid w:val="00AE0E00"/>
    <w:rsid w:val="00AE1265"/>
    <w:rsid w:val="00AE1FE1"/>
    <w:rsid w:val="00AE26C3"/>
    <w:rsid w:val="00AE2E2E"/>
    <w:rsid w:val="00AE4374"/>
    <w:rsid w:val="00AE497A"/>
    <w:rsid w:val="00AE550B"/>
    <w:rsid w:val="00AE68EA"/>
    <w:rsid w:val="00AE78C3"/>
    <w:rsid w:val="00AF0163"/>
    <w:rsid w:val="00AF078D"/>
    <w:rsid w:val="00AF0B96"/>
    <w:rsid w:val="00AF6030"/>
    <w:rsid w:val="00AF6758"/>
    <w:rsid w:val="00AF6958"/>
    <w:rsid w:val="00AF6EE1"/>
    <w:rsid w:val="00AF73C0"/>
    <w:rsid w:val="00AF7545"/>
    <w:rsid w:val="00AF7DE8"/>
    <w:rsid w:val="00B006A2"/>
    <w:rsid w:val="00B006F1"/>
    <w:rsid w:val="00B013FB"/>
    <w:rsid w:val="00B01A73"/>
    <w:rsid w:val="00B01EF9"/>
    <w:rsid w:val="00B0241A"/>
    <w:rsid w:val="00B0283F"/>
    <w:rsid w:val="00B02B06"/>
    <w:rsid w:val="00B02C69"/>
    <w:rsid w:val="00B03514"/>
    <w:rsid w:val="00B04517"/>
    <w:rsid w:val="00B04A63"/>
    <w:rsid w:val="00B052C3"/>
    <w:rsid w:val="00B05397"/>
    <w:rsid w:val="00B053CB"/>
    <w:rsid w:val="00B05ADB"/>
    <w:rsid w:val="00B0698E"/>
    <w:rsid w:val="00B069DB"/>
    <w:rsid w:val="00B06F23"/>
    <w:rsid w:val="00B07ECF"/>
    <w:rsid w:val="00B10AC9"/>
    <w:rsid w:val="00B10D86"/>
    <w:rsid w:val="00B115AF"/>
    <w:rsid w:val="00B11D11"/>
    <w:rsid w:val="00B121A9"/>
    <w:rsid w:val="00B121D0"/>
    <w:rsid w:val="00B12247"/>
    <w:rsid w:val="00B1295B"/>
    <w:rsid w:val="00B14BBE"/>
    <w:rsid w:val="00B15497"/>
    <w:rsid w:val="00B17EF6"/>
    <w:rsid w:val="00B17FAB"/>
    <w:rsid w:val="00B20D76"/>
    <w:rsid w:val="00B2103E"/>
    <w:rsid w:val="00B21CDE"/>
    <w:rsid w:val="00B23470"/>
    <w:rsid w:val="00B2352A"/>
    <w:rsid w:val="00B2365C"/>
    <w:rsid w:val="00B24F7F"/>
    <w:rsid w:val="00B276A0"/>
    <w:rsid w:val="00B30FE9"/>
    <w:rsid w:val="00B319CB"/>
    <w:rsid w:val="00B319FB"/>
    <w:rsid w:val="00B33268"/>
    <w:rsid w:val="00B335EF"/>
    <w:rsid w:val="00B337B8"/>
    <w:rsid w:val="00B33964"/>
    <w:rsid w:val="00B348BE"/>
    <w:rsid w:val="00B34D91"/>
    <w:rsid w:val="00B34F15"/>
    <w:rsid w:val="00B3541F"/>
    <w:rsid w:val="00B35C19"/>
    <w:rsid w:val="00B3642A"/>
    <w:rsid w:val="00B3710E"/>
    <w:rsid w:val="00B377BB"/>
    <w:rsid w:val="00B40460"/>
    <w:rsid w:val="00B4208E"/>
    <w:rsid w:val="00B42271"/>
    <w:rsid w:val="00B428EF"/>
    <w:rsid w:val="00B42C3E"/>
    <w:rsid w:val="00B4324B"/>
    <w:rsid w:val="00B43B1B"/>
    <w:rsid w:val="00B43F24"/>
    <w:rsid w:val="00B43F47"/>
    <w:rsid w:val="00B45383"/>
    <w:rsid w:val="00B4614F"/>
    <w:rsid w:val="00B4726C"/>
    <w:rsid w:val="00B47637"/>
    <w:rsid w:val="00B47638"/>
    <w:rsid w:val="00B507B5"/>
    <w:rsid w:val="00B50ED5"/>
    <w:rsid w:val="00B50F6D"/>
    <w:rsid w:val="00B5179A"/>
    <w:rsid w:val="00B5259A"/>
    <w:rsid w:val="00B52EBB"/>
    <w:rsid w:val="00B52F3D"/>
    <w:rsid w:val="00B538BA"/>
    <w:rsid w:val="00B53A8F"/>
    <w:rsid w:val="00B54B8D"/>
    <w:rsid w:val="00B54C0C"/>
    <w:rsid w:val="00B553BC"/>
    <w:rsid w:val="00B5690B"/>
    <w:rsid w:val="00B56FCF"/>
    <w:rsid w:val="00B60013"/>
    <w:rsid w:val="00B602AE"/>
    <w:rsid w:val="00B604D7"/>
    <w:rsid w:val="00B609DB"/>
    <w:rsid w:val="00B63AAE"/>
    <w:rsid w:val="00B66008"/>
    <w:rsid w:val="00B673E7"/>
    <w:rsid w:val="00B67508"/>
    <w:rsid w:val="00B70855"/>
    <w:rsid w:val="00B7100C"/>
    <w:rsid w:val="00B72096"/>
    <w:rsid w:val="00B74FDB"/>
    <w:rsid w:val="00B76A1B"/>
    <w:rsid w:val="00B76C2E"/>
    <w:rsid w:val="00B76C62"/>
    <w:rsid w:val="00B76D14"/>
    <w:rsid w:val="00B76F65"/>
    <w:rsid w:val="00B7706A"/>
    <w:rsid w:val="00B7775F"/>
    <w:rsid w:val="00B80324"/>
    <w:rsid w:val="00B80D1D"/>
    <w:rsid w:val="00B81C09"/>
    <w:rsid w:val="00B82543"/>
    <w:rsid w:val="00B82E5B"/>
    <w:rsid w:val="00B84DA8"/>
    <w:rsid w:val="00B85AA2"/>
    <w:rsid w:val="00B85F07"/>
    <w:rsid w:val="00B864D6"/>
    <w:rsid w:val="00B86E2F"/>
    <w:rsid w:val="00B86F1C"/>
    <w:rsid w:val="00B877D5"/>
    <w:rsid w:val="00B87998"/>
    <w:rsid w:val="00B901ED"/>
    <w:rsid w:val="00B90322"/>
    <w:rsid w:val="00B90C0F"/>
    <w:rsid w:val="00B90F2C"/>
    <w:rsid w:val="00B929B0"/>
    <w:rsid w:val="00B9547E"/>
    <w:rsid w:val="00B95799"/>
    <w:rsid w:val="00B95FE5"/>
    <w:rsid w:val="00B977AC"/>
    <w:rsid w:val="00BA16A0"/>
    <w:rsid w:val="00BA2C19"/>
    <w:rsid w:val="00BA2C31"/>
    <w:rsid w:val="00BA3789"/>
    <w:rsid w:val="00BA38FD"/>
    <w:rsid w:val="00BA45FC"/>
    <w:rsid w:val="00BA47C2"/>
    <w:rsid w:val="00BA4831"/>
    <w:rsid w:val="00BA49CA"/>
    <w:rsid w:val="00BA5596"/>
    <w:rsid w:val="00BA6233"/>
    <w:rsid w:val="00BA782B"/>
    <w:rsid w:val="00BA7830"/>
    <w:rsid w:val="00BB0240"/>
    <w:rsid w:val="00BB0444"/>
    <w:rsid w:val="00BB0DC2"/>
    <w:rsid w:val="00BB1F02"/>
    <w:rsid w:val="00BB3E12"/>
    <w:rsid w:val="00BB4084"/>
    <w:rsid w:val="00BB4E07"/>
    <w:rsid w:val="00BB5834"/>
    <w:rsid w:val="00BB6232"/>
    <w:rsid w:val="00BB650D"/>
    <w:rsid w:val="00BB6BCE"/>
    <w:rsid w:val="00BB7771"/>
    <w:rsid w:val="00BB781B"/>
    <w:rsid w:val="00BC02DB"/>
    <w:rsid w:val="00BC0F12"/>
    <w:rsid w:val="00BC1185"/>
    <w:rsid w:val="00BC30D9"/>
    <w:rsid w:val="00BC4437"/>
    <w:rsid w:val="00BC5551"/>
    <w:rsid w:val="00BC5638"/>
    <w:rsid w:val="00BC5806"/>
    <w:rsid w:val="00BC5D9E"/>
    <w:rsid w:val="00BC66D4"/>
    <w:rsid w:val="00BC70C3"/>
    <w:rsid w:val="00BD083B"/>
    <w:rsid w:val="00BD16D1"/>
    <w:rsid w:val="00BD2036"/>
    <w:rsid w:val="00BD2B9C"/>
    <w:rsid w:val="00BD2BB8"/>
    <w:rsid w:val="00BD3586"/>
    <w:rsid w:val="00BD37DE"/>
    <w:rsid w:val="00BD424A"/>
    <w:rsid w:val="00BD4C63"/>
    <w:rsid w:val="00BD502B"/>
    <w:rsid w:val="00BD7A78"/>
    <w:rsid w:val="00BD7DCF"/>
    <w:rsid w:val="00BE0D5B"/>
    <w:rsid w:val="00BE12E1"/>
    <w:rsid w:val="00BE15A0"/>
    <w:rsid w:val="00BE25A0"/>
    <w:rsid w:val="00BE2819"/>
    <w:rsid w:val="00BE2C40"/>
    <w:rsid w:val="00BE2CD6"/>
    <w:rsid w:val="00BE2FD0"/>
    <w:rsid w:val="00BE3015"/>
    <w:rsid w:val="00BE399D"/>
    <w:rsid w:val="00BE5174"/>
    <w:rsid w:val="00BE5C03"/>
    <w:rsid w:val="00BE5D98"/>
    <w:rsid w:val="00BE5E42"/>
    <w:rsid w:val="00BE6790"/>
    <w:rsid w:val="00BE7048"/>
    <w:rsid w:val="00BF070A"/>
    <w:rsid w:val="00BF0CC4"/>
    <w:rsid w:val="00BF0F24"/>
    <w:rsid w:val="00BF14F3"/>
    <w:rsid w:val="00BF221F"/>
    <w:rsid w:val="00BF286B"/>
    <w:rsid w:val="00BF28C7"/>
    <w:rsid w:val="00BF32D9"/>
    <w:rsid w:val="00BF4DFF"/>
    <w:rsid w:val="00BF55A6"/>
    <w:rsid w:val="00BF55AC"/>
    <w:rsid w:val="00BF6899"/>
    <w:rsid w:val="00BF7370"/>
    <w:rsid w:val="00BF76AA"/>
    <w:rsid w:val="00C032C4"/>
    <w:rsid w:val="00C03526"/>
    <w:rsid w:val="00C03692"/>
    <w:rsid w:val="00C0463C"/>
    <w:rsid w:val="00C048D5"/>
    <w:rsid w:val="00C055DC"/>
    <w:rsid w:val="00C061BC"/>
    <w:rsid w:val="00C066D6"/>
    <w:rsid w:val="00C0744E"/>
    <w:rsid w:val="00C10483"/>
    <w:rsid w:val="00C1085F"/>
    <w:rsid w:val="00C10A82"/>
    <w:rsid w:val="00C11359"/>
    <w:rsid w:val="00C1145A"/>
    <w:rsid w:val="00C11D0A"/>
    <w:rsid w:val="00C11D5C"/>
    <w:rsid w:val="00C12DC2"/>
    <w:rsid w:val="00C138F8"/>
    <w:rsid w:val="00C145BD"/>
    <w:rsid w:val="00C14892"/>
    <w:rsid w:val="00C14B80"/>
    <w:rsid w:val="00C152DB"/>
    <w:rsid w:val="00C156CA"/>
    <w:rsid w:val="00C15736"/>
    <w:rsid w:val="00C17086"/>
    <w:rsid w:val="00C17BDE"/>
    <w:rsid w:val="00C17FD7"/>
    <w:rsid w:val="00C20FE8"/>
    <w:rsid w:val="00C21C35"/>
    <w:rsid w:val="00C2378C"/>
    <w:rsid w:val="00C24050"/>
    <w:rsid w:val="00C24310"/>
    <w:rsid w:val="00C24FB8"/>
    <w:rsid w:val="00C256A1"/>
    <w:rsid w:val="00C256D6"/>
    <w:rsid w:val="00C25DBB"/>
    <w:rsid w:val="00C2616C"/>
    <w:rsid w:val="00C27117"/>
    <w:rsid w:val="00C27FFC"/>
    <w:rsid w:val="00C310B3"/>
    <w:rsid w:val="00C33362"/>
    <w:rsid w:val="00C34F08"/>
    <w:rsid w:val="00C3548A"/>
    <w:rsid w:val="00C3557B"/>
    <w:rsid w:val="00C3689B"/>
    <w:rsid w:val="00C37271"/>
    <w:rsid w:val="00C376FA"/>
    <w:rsid w:val="00C37A78"/>
    <w:rsid w:val="00C37EA0"/>
    <w:rsid w:val="00C4076D"/>
    <w:rsid w:val="00C40F1E"/>
    <w:rsid w:val="00C4241F"/>
    <w:rsid w:val="00C42639"/>
    <w:rsid w:val="00C44103"/>
    <w:rsid w:val="00C442BC"/>
    <w:rsid w:val="00C4516C"/>
    <w:rsid w:val="00C458EB"/>
    <w:rsid w:val="00C460FC"/>
    <w:rsid w:val="00C469B9"/>
    <w:rsid w:val="00C50856"/>
    <w:rsid w:val="00C50EEC"/>
    <w:rsid w:val="00C53D1D"/>
    <w:rsid w:val="00C54CCE"/>
    <w:rsid w:val="00C5512D"/>
    <w:rsid w:val="00C5597C"/>
    <w:rsid w:val="00C55FF2"/>
    <w:rsid w:val="00C56CE7"/>
    <w:rsid w:val="00C574C7"/>
    <w:rsid w:val="00C57EA9"/>
    <w:rsid w:val="00C60569"/>
    <w:rsid w:val="00C61D30"/>
    <w:rsid w:val="00C63241"/>
    <w:rsid w:val="00C6502F"/>
    <w:rsid w:val="00C651FA"/>
    <w:rsid w:val="00C72D27"/>
    <w:rsid w:val="00C730C7"/>
    <w:rsid w:val="00C73C35"/>
    <w:rsid w:val="00C74458"/>
    <w:rsid w:val="00C74FF4"/>
    <w:rsid w:val="00C75933"/>
    <w:rsid w:val="00C75B4C"/>
    <w:rsid w:val="00C76F29"/>
    <w:rsid w:val="00C770D0"/>
    <w:rsid w:val="00C77F70"/>
    <w:rsid w:val="00C800CD"/>
    <w:rsid w:val="00C8066D"/>
    <w:rsid w:val="00C806EE"/>
    <w:rsid w:val="00C80AD8"/>
    <w:rsid w:val="00C81DEB"/>
    <w:rsid w:val="00C8269E"/>
    <w:rsid w:val="00C829F3"/>
    <w:rsid w:val="00C83D70"/>
    <w:rsid w:val="00C83E3D"/>
    <w:rsid w:val="00C84776"/>
    <w:rsid w:val="00C85662"/>
    <w:rsid w:val="00C86030"/>
    <w:rsid w:val="00C87001"/>
    <w:rsid w:val="00C90085"/>
    <w:rsid w:val="00C9064B"/>
    <w:rsid w:val="00C9121D"/>
    <w:rsid w:val="00C9131C"/>
    <w:rsid w:val="00C91BA6"/>
    <w:rsid w:val="00C92254"/>
    <w:rsid w:val="00C92464"/>
    <w:rsid w:val="00C93026"/>
    <w:rsid w:val="00C93681"/>
    <w:rsid w:val="00C939A7"/>
    <w:rsid w:val="00C93B6A"/>
    <w:rsid w:val="00C95F96"/>
    <w:rsid w:val="00C96EEE"/>
    <w:rsid w:val="00C975D5"/>
    <w:rsid w:val="00C97E56"/>
    <w:rsid w:val="00C97ED2"/>
    <w:rsid w:val="00C97FD8"/>
    <w:rsid w:val="00C97FEA"/>
    <w:rsid w:val="00CA12D7"/>
    <w:rsid w:val="00CA2B5B"/>
    <w:rsid w:val="00CA2CCF"/>
    <w:rsid w:val="00CA354C"/>
    <w:rsid w:val="00CA4C63"/>
    <w:rsid w:val="00CA518C"/>
    <w:rsid w:val="00CA559A"/>
    <w:rsid w:val="00CA6BC2"/>
    <w:rsid w:val="00CA6CCF"/>
    <w:rsid w:val="00CA777F"/>
    <w:rsid w:val="00CA7E72"/>
    <w:rsid w:val="00CB0C50"/>
    <w:rsid w:val="00CB0E9B"/>
    <w:rsid w:val="00CB1647"/>
    <w:rsid w:val="00CB1EA5"/>
    <w:rsid w:val="00CB2340"/>
    <w:rsid w:val="00CB3127"/>
    <w:rsid w:val="00CB3164"/>
    <w:rsid w:val="00CB323A"/>
    <w:rsid w:val="00CB3AFE"/>
    <w:rsid w:val="00CB5B53"/>
    <w:rsid w:val="00CB5E80"/>
    <w:rsid w:val="00CB5F6C"/>
    <w:rsid w:val="00CB6889"/>
    <w:rsid w:val="00CB7D03"/>
    <w:rsid w:val="00CC07A3"/>
    <w:rsid w:val="00CC0A12"/>
    <w:rsid w:val="00CC0E4D"/>
    <w:rsid w:val="00CC2A88"/>
    <w:rsid w:val="00CC3D8E"/>
    <w:rsid w:val="00CC63C4"/>
    <w:rsid w:val="00CC70B4"/>
    <w:rsid w:val="00CD065E"/>
    <w:rsid w:val="00CD07CE"/>
    <w:rsid w:val="00CD2270"/>
    <w:rsid w:val="00CD3921"/>
    <w:rsid w:val="00CD406B"/>
    <w:rsid w:val="00CD6388"/>
    <w:rsid w:val="00CD6AA8"/>
    <w:rsid w:val="00CD7129"/>
    <w:rsid w:val="00CD7991"/>
    <w:rsid w:val="00CD7EA9"/>
    <w:rsid w:val="00CE084D"/>
    <w:rsid w:val="00CE0906"/>
    <w:rsid w:val="00CE0F38"/>
    <w:rsid w:val="00CE1B68"/>
    <w:rsid w:val="00CE25D0"/>
    <w:rsid w:val="00CE323D"/>
    <w:rsid w:val="00CE37B7"/>
    <w:rsid w:val="00CE3B13"/>
    <w:rsid w:val="00CE40D0"/>
    <w:rsid w:val="00CE41D9"/>
    <w:rsid w:val="00CE4BE7"/>
    <w:rsid w:val="00CE5C52"/>
    <w:rsid w:val="00CE6472"/>
    <w:rsid w:val="00CE663F"/>
    <w:rsid w:val="00CE68E8"/>
    <w:rsid w:val="00CE792E"/>
    <w:rsid w:val="00CE7CD1"/>
    <w:rsid w:val="00CF03A5"/>
    <w:rsid w:val="00CF1B70"/>
    <w:rsid w:val="00CF21C5"/>
    <w:rsid w:val="00CF3E08"/>
    <w:rsid w:val="00CF4397"/>
    <w:rsid w:val="00CF485D"/>
    <w:rsid w:val="00CF502B"/>
    <w:rsid w:val="00CF6CFB"/>
    <w:rsid w:val="00CF793B"/>
    <w:rsid w:val="00D010D2"/>
    <w:rsid w:val="00D030CD"/>
    <w:rsid w:val="00D036D1"/>
    <w:rsid w:val="00D04303"/>
    <w:rsid w:val="00D04CF0"/>
    <w:rsid w:val="00D05CF3"/>
    <w:rsid w:val="00D06765"/>
    <w:rsid w:val="00D072BC"/>
    <w:rsid w:val="00D073BC"/>
    <w:rsid w:val="00D07E91"/>
    <w:rsid w:val="00D10868"/>
    <w:rsid w:val="00D11F74"/>
    <w:rsid w:val="00D13282"/>
    <w:rsid w:val="00D152B8"/>
    <w:rsid w:val="00D15D1E"/>
    <w:rsid w:val="00D17199"/>
    <w:rsid w:val="00D17F89"/>
    <w:rsid w:val="00D205A3"/>
    <w:rsid w:val="00D21311"/>
    <w:rsid w:val="00D2205F"/>
    <w:rsid w:val="00D22547"/>
    <w:rsid w:val="00D22768"/>
    <w:rsid w:val="00D22BA0"/>
    <w:rsid w:val="00D22CB8"/>
    <w:rsid w:val="00D236C9"/>
    <w:rsid w:val="00D24C4B"/>
    <w:rsid w:val="00D25431"/>
    <w:rsid w:val="00D25ECF"/>
    <w:rsid w:val="00D26DDC"/>
    <w:rsid w:val="00D2734E"/>
    <w:rsid w:val="00D27665"/>
    <w:rsid w:val="00D30BEB"/>
    <w:rsid w:val="00D3156E"/>
    <w:rsid w:val="00D31DCA"/>
    <w:rsid w:val="00D31EB3"/>
    <w:rsid w:val="00D33C1D"/>
    <w:rsid w:val="00D33FE3"/>
    <w:rsid w:val="00D34669"/>
    <w:rsid w:val="00D34BD2"/>
    <w:rsid w:val="00D35B3A"/>
    <w:rsid w:val="00D40074"/>
    <w:rsid w:val="00D40B76"/>
    <w:rsid w:val="00D40FC5"/>
    <w:rsid w:val="00D41801"/>
    <w:rsid w:val="00D4391F"/>
    <w:rsid w:val="00D44269"/>
    <w:rsid w:val="00D46644"/>
    <w:rsid w:val="00D46899"/>
    <w:rsid w:val="00D47DED"/>
    <w:rsid w:val="00D50449"/>
    <w:rsid w:val="00D50813"/>
    <w:rsid w:val="00D50CE5"/>
    <w:rsid w:val="00D51B7F"/>
    <w:rsid w:val="00D52579"/>
    <w:rsid w:val="00D53D9A"/>
    <w:rsid w:val="00D54331"/>
    <w:rsid w:val="00D57E49"/>
    <w:rsid w:val="00D60269"/>
    <w:rsid w:val="00D621B9"/>
    <w:rsid w:val="00D62684"/>
    <w:rsid w:val="00D63384"/>
    <w:rsid w:val="00D63F1E"/>
    <w:rsid w:val="00D65A89"/>
    <w:rsid w:val="00D66B5E"/>
    <w:rsid w:val="00D67622"/>
    <w:rsid w:val="00D678A1"/>
    <w:rsid w:val="00D7117F"/>
    <w:rsid w:val="00D723FA"/>
    <w:rsid w:val="00D738F3"/>
    <w:rsid w:val="00D73976"/>
    <w:rsid w:val="00D7437E"/>
    <w:rsid w:val="00D74AF3"/>
    <w:rsid w:val="00D74BF5"/>
    <w:rsid w:val="00D75183"/>
    <w:rsid w:val="00D75345"/>
    <w:rsid w:val="00D764F5"/>
    <w:rsid w:val="00D7664A"/>
    <w:rsid w:val="00D76910"/>
    <w:rsid w:val="00D801EF"/>
    <w:rsid w:val="00D80C3D"/>
    <w:rsid w:val="00D8159C"/>
    <w:rsid w:val="00D819BA"/>
    <w:rsid w:val="00D8294B"/>
    <w:rsid w:val="00D82987"/>
    <w:rsid w:val="00D82C27"/>
    <w:rsid w:val="00D82F5E"/>
    <w:rsid w:val="00D82FA6"/>
    <w:rsid w:val="00D840BD"/>
    <w:rsid w:val="00D844E7"/>
    <w:rsid w:val="00D85E75"/>
    <w:rsid w:val="00D86FAF"/>
    <w:rsid w:val="00D875F6"/>
    <w:rsid w:val="00D87648"/>
    <w:rsid w:val="00D87692"/>
    <w:rsid w:val="00D900C8"/>
    <w:rsid w:val="00D9040C"/>
    <w:rsid w:val="00D90B0F"/>
    <w:rsid w:val="00D90E79"/>
    <w:rsid w:val="00D920E3"/>
    <w:rsid w:val="00D922A2"/>
    <w:rsid w:val="00D92F8E"/>
    <w:rsid w:val="00D93AD8"/>
    <w:rsid w:val="00D94228"/>
    <w:rsid w:val="00D94680"/>
    <w:rsid w:val="00D94FFB"/>
    <w:rsid w:val="00D95459"/>
    <w:rsid w:val="00D95F25"/>
    <w:rsid w:val="00D963DF"/>
    <w:rsid w:val="00D97606"/>
    <w:rsid w:val="00DA0924"/>
    <w:rsid w:val="00DA1BA6"/>
    <w:rsid w:val="00DA2933"/>
    <w:rsid w:val="00DA2A57"/>
    <w:rsid w:val="00DA2FE6"/>
    <w:rsid w:val="00DA3CD6"/>
    <w:rsid w:val="00DA4D2D"/>
    <w:rsid w:val="00DA5213"/>
    <w:rsid w:val="00DA54BD"/>
    <w:rsid w:val="00DA6D1D"/>
    <w:rsid w:val="00DA6F9E"/>
    <w:rsid w:val="00DA78AF"/>
    <w:rsid w:val="00DB04E8"/>
    <w:rsid w:val="00DB0E7C"/>
    <w:rsid w:val="00DB1ADB"/>
    <w:rsid w:val="00DB2607"/>
    <w:rsid w:val="00DB28FA"/>
    <w:rsid w:val="00DB2D0F"/>
    <w:rsid w:val="00DB2E4F"/>
    <w:rsid w:val="00DB3AF6"/>
    <w:rsid w:val="00DB46D6"/>
    <w:rsid w:val="00DB4FC2"/>
    <w:rsid w:val="00DB5160"/>
    <w:rsid w:val="00DB5777"/>
    <w:rsid w:val="00DB58FE"/>
    <w:rsid w:val="00DC03B3"/>
    <w:rsid w:val="00DC144C"/>
    <w:rsid w:val="00DC1C0C"/>
    <w:rsid w:val="00DC2259"/>
    <w:rsid w:val="00DC37FF"/>
    <w:rsid w:val="00DC3B82"/>
    <w:rsid w:val="00DC4008"/>
    <w:rsid w:val="00DC4389"/>
    <w:rsid w:val="00DC6122"/>
    <w:rsid w:val="00DC7951"/>
    <w:rsid w:val="00DD0736"/>
    <w:rsid w:val="00DD077B"/>
    <w:rsid w:val="00DD1123"/>
    <w:rsid w:val="00DD1987"/>
    <w:rsid w:val="00DD20CD"/>
    <w:rsid w:val="00DD2D28"/>
    <w:rsid w:val="00DD3448"/>
    <w:rsid w:val="00DD4B4E"/>
    <w:rsid w:val="00DD4C50"/>
    <w:rsid w:val="00DD50A0"/>
    <w:rsid w:val="00DD60AE"/>
    <w:rsid w:val="00DD6137"/>
    <w:rsid w:val="00DD6737"/>
    <w:rsid w:val="00DD6991"/>
    <w:rsid w:val="00DD7831"/>
    <w:rsid w:val="00DD7EC9"/>
    <w:rsid w:val="00DE0FCA"/>
    <w:rsid w:val="00DE2121"/>
    <w:rsid w:val="00DE3588"/>
    <w:rsid w:val="00DE3EC7"/>
    <w:rsid w:val="00DE49DD"/>
    <w:rsid w:val="00DE568D"/>
    <w:rsid w:val="00DE723A"/>
    <w:rsid w:val="00DE7869"/>
    <w:rsid w:val="00DF0114"/>
    <w:rsid w:val="00DF085A"/>
    <w:rsid w:val="00DF0D9C"/>
    <w:rsid w:val="00DF0E92"/>
    <w:rsid w:val="00DF128D"/>
    <w:rsid w:val="00DF1462"/>
    <w:rsid w:val="00DF2280"/>
    <w:rsid w:val="00DF28CF"/>
    <w:rsid w:val="00DF2C90"/>
    <w:rsid w:val="00DF5242"/>
    <w:rsid w:val="00DF56F5"/>
    <w:rsid w:val="00DF64E2"/>
    <w:rsid w:val="00E02183"/>
    <w:rsid w:val="00E03321"/>
    <w:rsid w:val="00E04206"/>
    <w:rsid w:val="00E0511E"/>
    <w:rsid w:val="00E05ADA"/>
    <w:rsid w:val="00E06EEA"/>
    <w:rsid w:val="00E070B0"/>
    <w:rsid w:val="00E10FBD"/>
    <w:rsid w:val="00E12B1D"/>
    <w:rsid w:val="00E1325F"/>
    <w:rsid w:val="00E13297"/>
    <w:rsid w:val="00E13867"/>
    <w:rsid w:val="00E14603"/>
    <w:rsid w:val="00E14B27"/>
    <w:rsid w:val="00E14F6F"/>
    <w:rsid w:val="00E1590C"/>
    <w:rsid w:val="00E166BE"/>
    <w:rsid w:val="00E1777F"/>
    <w:rsid w:val="00E20763"/>
    <w:rsid w:val="00E20DB6"/>
    <w:rsid w:val="00E21290"/>
    <w:rsid w:val="00E21EDB"/>
    <w:rsid w:val="00E22BE1"/>
    <w:rsid w:val="00E231D5"/>
    <w:rsid w:val="00E2342E"/>
    <w:rsid w:val="00E24EAF"/>
    <w:rsid w:val="00E2729B"/>
    <w:rsid w:val="00E27B14"/>
    <w:rsid w:val="00E3004F"/>
    <w:rsid w:val="00E31F18"/>
    <w:rsid w:val="00E31F19"/>
    <w:rsid w:val="00E32864"/>
    <w:rsid w:val="00E32C5E"/>
    <w:rsid w:val="00E3321A"/>
    <w:rsid w:val="00E339BB"/>
    <w:rsid w:val="00E344B1"/>
    <w:rsid w:val="00E34903"/>
    <w:rsid w:val="00E350D0"/>
    <w:rsid w:val="00E35100"/>
    <w:rsid w:val="00E35F50"/>
    <w:rsid w:val="00E3625C"/>
    <w:rsid w:val="00E362E8"/>
    <w:rsid w:val="00E363E6"/>
    <w:rsid w:val="00E36575"/>
    <w:rsid w:val="00E37A66"/>
    <w:rsid w:val="00E40299"/>
    <w:rsid w:val="00E40D01"/>
    <w:rsid w:val="00E40F6C"/>
    <w:rsid w:val="00E41EDB"/>
    <w:rsid w:val="00E436AA"/>
    <w:rsid w:val="00E44017"/>
    <w:rsid w:val="00E449C7"/>
    <w:rsid w:val="00E44AB4"/>
    <w:rsid w:val="00E44AEF"/>
    <w:rsid w:val="00E44ED6"/>
    <w:rsid w:val="00E44F07"/>
    <w:rsid w:val="00E4523F"/>
    <w:rsid w:val="00E46624"/>
    <w:rsid w:val="00E46734"/>
    <w:rsid w:val="00E47403"/>
    <w:rsid w:val="00E475DC"/>
    <w:rsid w:val="00E47DA7"/>
    <w:rsid w:val="00E51D2A"/>
    <w:rsid w:val="00E5202D"/>
    <w:rsid w:val="00E52240"/>
    <w:rsid w:val="00E522FE"/>
    <w:rsid w:val="00E52507"/>
    <w:rsid w:val="00E52F66"/>
    <w:rsid w:val="00E5319F"/>
    <w:rsid w:val="00E562D3"/>
    <w:rsid w:val="00E5641D"/>
    <w:rsid w:val="00E56751"/>
    <w:rsid w:val="00E56A04"/>
    <w:rsid w:val="00E5734D"/>
    <w:rsid w:val="00E57B3C"/>
    <w:rsid w:val="00E60091"/>
    <w:rsid w:val="00E614A2"/>
    <w:rsid w:val="00E61570"/>
    <w:rsid w:val="00E64185"/>
    <w:rsid w:val="00E64D17"/>
    <w:rsid w:val="00E7095E"/>
    <w:rsid w:val="00E70BD8"/>
    <w:rsid w:val="00E70E75"/>
    <w:rsid w:val="00E7148E"/>
    <w:rsid w:val="00E71B5B"/>
    <w:rsid w:val="00E725C7"/>
    <w:rsid w:val="00E731B9"/>
    <w:rsid w:val="00E73DD3"/>
    <w:rsid w:val="00E751CA"/>
    <w:rsid w:val="00E755C5"/>
    <w:rsid w:val="00E75854"/>
    <w:rsid w:val="00E75ACA"/>
    <w:rsid w:val="00E7764C"/>
    <w:rsid w:val="00E81DB2"/>
    <w:rsid w:val="00E82428"/>
    <w:rsid w:val="00E827EB"/>
    <w:rsid w:val="00E8289B"/>
    <w:rsid w:val="00E83510"/>
    <w:rsid w:val="00E83655"/>
    <w:rsid w:val="00E84B9B"/>
    <w:rsid w:val="00E85766"/>
    <w:rsid w:val="00E867B3"/>
    <w:rsid w:val="00E86D93"/>
    <w:rsid w:val="00E875F0"/>
    <w:rsid w:val="00E90937"/>
    <w:rsid w:val="00E909B5"/>
    <w:rsid w:val="00E91FD9"/>
    <w:rsid w:val="00E93920"/>
    <w:rsid w:val="00E93F0C"/>
    <w:rsid w:val="00E95BB7"/>
    <w:rsid w:val="00E95CE4"/>
    <w:rsid w:val="00E95F67"/>
    <w:rsid w:val="00E96026"/>
    <w:rsid w:val="00E97911"/>
    <w:rsid w:val="00EA257D"/>
    <w:rsid w:val="00EA3671"/>
    <w:rsid w:val="00EA3CAF"/>
    <w:rsid w:val="00EA3E1F"/>
    <w:rsid w:val="00EA633F"/>
    <w:rsid w:val="00EA72AF"/>
    <w:rsid w:val="00EB0610"/>
    <w:rsid w:val="00EB0867"/>
    <w:rsid w:val="00EB16C3"/>
    <w:rsid w:val="00EB1BA2"/>
    <w:rsid w:val="00EB2560"/>
    <w:rsid w:val="00EB2D99"/>
    <w:rsid w:val="00EB349A"/>
    <w:rsid w:val="00EB428E"/>
    <w:rsid w:val="00EB5414"/>
    <w:rsid w:val="00EB64B0"/>
    <w:rsid w:val="00EB74C9"/>
    <w:rsid w:val="00EC0A0A"/>
    <w:rsid w:val="00EC11E6"/>
    <w:rsid w:val="00EC1543"/>
    <w:rsid w:val="00EC209F"/>
    <w:rsid w:val="00EC2844"/>
    <w:rsid w:val="00EC2CE7"/>
    <w:rsid w:val="00EC2E17"/>
    <w:rsid w:val="00EC33C9"/>
    <w:rsid w:val="00EC35C7"/>
    <w:rsid w:val="00EC3FC7"/>
    <w:rsid w:val="00EC4E8B"/>
    <w:rsid w:val="00EC5615"/>
    <w:rsid w:val="00EC61EE"/>
    <w:rsid w:val="00EC67FB"/>
    <w:rsid w:val="00EC7D09"/>
    <w:rsid w:val="00EC7F0F"/>
    <w:rsid w:val="00ED0491"/>
    <w:rsid w:val="00ED088C"/>
    <w:rsid w:val="00ED0A33"/>
    <w:rsid w:val="00ED10F1"/>
    <w:rsid w:val="00ED1896"/>
    <w:rsid w:val="00ED2760"/>
    <w:rsid w:val="00ED27D5"/>
    <w:rsid w:val="00ED3346"/>
    <w:rsid w:val="00ED3C14"/>
    <w:rsid w:val="00ED3F2F"/>
    <w:rsid w:val="00ED4E13"/>
    <w:rsid w:val="00ED5103"/>
    <w:rsid w:val="00ED563F"/>
    <w:rsid w:val="00ED6A7C"/>
    <w:rsid w:val="00EE05D3"/>
    <w:rsid w:val="00EE0B72"/>
    <w:rsid w:val="00EE0ECF"/>
    <w:rsid w:val="00EE2350"/>
    <w:rsid w:val="00EE2566"/>
    <w:rsid w:val="00EE2E07"/>
    <w:rsid w:val="00EE3425"/>
    <w:rsid w:val="00EE3D4D"/>
    <w:rsid w:val="00EE4B38"/>
    <w:rsid w:val="00EE55B5"/>
    <w:rsid w:val="00EE5AE9"/>
    <w:rsid w:val="00EE60CF"/>
    <w:rsid w:val="00EE6366"/>
    <w:rsid w:val="00EE652E"/>
    <w:rsid w:val="00EE7E25"/>
    <w:rsid w:val="00EE7EBF"/>
    <w:rsid w:val="00EF25FB"/>
    <w:rsid w:val="00EF2747"/>
    <w:rsid w:val="00EF28BE"/>
    <w:rsid w:val="00EF352E"/>
    <w:rsid w:val="00EF3655"/>
    <w:rsid w:val="00EF3E50"/>
    <w:rsid w:val="00EF4225"/>
    <w:rsid w:val="00EF5371"/>
    <w:rsid w:val="00EF6F9F"/>
    <w:rsid w:val="00EF73E8"/>
    <w:rsid w:val="00F002F9"/>
    <w:rsid w:val="00F010E6"/>
    <w:rsid w:val="00F01130"/>
    <w:rsid w:val="00F0132C"/>
    <w:rsid w:val="00F02082"/>
    <w:rsid w:val="00F0330E"/>
    <w:rsid w:val="00F03860"/>
    <w:rsid w:val="00F0472B"/>
    <w:rsid w:val="00F06259"/>
    <w:rsid w:val="00F068F2"/>
    <w:rsid w:val="00F1048C"/>
    <w:rsid w:val="00F1088F"/>
    <w:rsid w:val="00F112D7"/>
    <w:rsid w:val="00F1168A"/>
    <w:rsid w:val="00F12335"/>
    <w:rsid w:val="00F1278A"/>
    <w:rsid w:val="00F12FDB"/>
    <w:rsid w:val="00F13339"/>
    <w:rsid w:val="00F13AD6"/>
    <w:rsid w:val="00F13B85"/>
    <w:rsid w:val="00F21220"/>
    <w:rsid w:val="00F21784"/>
    <w:rsid w:val="00F2233C"/>
    <w:rsid w:val="00F22816"/>
    <w:rsid w:val="00F22E17"/>
    <w:rsid w:val="00F23349"/>
    <w:rsid w:val="00F241F1"/>
    <w:rsid w:val="00F24CEF"/>
    <w:rsid w:val="00F24E50"/>
    <w:rsid w:val="00F25B3D"/>
    <w:rsid w:val="00F26FE7"/>
    <w:rsid w:val="00F2737B"/>
    <w:rsid w:val="00F301C2"/>
    <w:rsid w:val="00F3068B"/>
    <w:rsid w:val="00F31461"/>
    <w:rsid w:val="00F318B1"/>
    <w:rsid w:val="00F32CAC"/>
    <w:rsid w:val="00F32DD1"/>
    <w:rsid w:val="00F33A95"/>
    <w:rsid w:val="00F348CB"/>
    <w:rsid w:val="00F361FF"/>
    <w:rsid w:val="00F3629B"/>
    <w:rsid w:val="00F36705"/>
    <w:rsid w:val="00F36A11"/>
    <w:rsid w:val="00F37531"/>
    <w:rsid w:val="00F37B8A"/>
    <w:rsid w:val="00F37D93"/>
    <w:rsid w:val="00F40843"/>
    <w:rsid w:val="00F41F91"/>
    <w:rsid w:val="00F431D0"/>
    <w:rsid w:val="00F43A63"/>
    <w:rsid w:val="00F43EF1"/>
    <w:rsid w:val="00F45E94"/>
    <w:rsid w:val="00F470E5"/>
    <w:rsid w:val="00F4740A"/>
    <w:rsid w:val="00F4799C"/>
    <w:rsid w:val="00F517A9"/>
    <w:rsid w:val="00F519F2"/>
    <w:rsid w:val="00F528CE"/>
    <w:rsid w:val="00F52937"/>
    <w:rsid w:val="00F53F69"/>
    <w:rsid w:val="00F541E3"/>
    <w:rsid w:val="00F5547D"/>
    <w:rsid w:val="00F55D62"/>
    <w:rsid w:val="00F57BBA"/>
    <w:rsid w:val="00F635B7"/>
    <w:rsid w:val="00F6362A"/>
    <w:rsid w:val="00F63B15"/>
    <w:rsid w:val="00F63EFE"/>
    <w:rsid w:val="00F64C87"/>
    <w:rsid w:val="00F64E31"/>
    <w:rsid w:val="00F64E75"/>
    <w:rsid w:val="00F67342"/>
    <w:rsid w:val="00F71293"/>
    <w:rsid w:val="00F7281E"/>
    <w:rsid w:val="00F73826"/>
    <w:rsid w:val="00F7480D"/>
    <w:rsid w:val="00F75D69"/>
    <w:rsid w:val="00F764B4"/>
    <w:rsid w:val="00F77BFE"/>
    <w:rsid w:val="00F80933"/>
    <w:rsid w:val="00F80E08"/>
    <w:rsid w:val="00F81876"/>
    <w:rsid w:val="00F81BF5"/>
    <w:rsid w:val="00F81E32"/>
    <w:rsid w:val="00F835C6"/>
    <w:rsid w:val="00F83656"/>
    <w:rsid w:val="00F845AD"/>
    <w:rsid w:val="00F852CB"/>
    <w:rsid w:val="00F859A0"/>
    <w:rsid w:val="00F86DBB"/>
    <w:rsid w:val="00F90FB8"/>
    <w:rsid w:val="00F910FB"/>
    <w:rsid w:val="00F939BA"/>
    <w:rsid w:val="00F94C98"/>
    <w:rsid w:val="00F9508A"/>
    <w:rsid w:val="00F954E7"/>
    <w:rsid w:val="00F9636C"/>
    <w:rsid w:val="00F96BD9"/>
    <w:rsid w:val="00F970FF"/>
    <w:rsid w:val="00F97121"/>
    <w:rsid w:val="00F97135"/>
    <w:rsid w:val="00FA059E"/>
    <w:rsid w:val="00FA0EF8"/>
    <w:rsid w:val="00FA1192"/>
    <w:rsid w:val="00FA2818"/>
    <w:rsid w:val="00FA290B"/>
    <w:rsid w:val="00FA29F5"/>
    <w:rsid w:val="00FA2B0E"/>
    <w:rsid w:val="00FA2BDA"/>
    <w:rsid w:val="00FA2E83"/>
    <w:rsid w:val="00FA36C7"/>
    <w:rsid w:val="00FA46A7"/>
    <w:rsid w:val="00FA4B18"/>
    <w:rsid w:val="00FA6C5A"/>
    <w:rsid w:val="00FA6C7C"/>
    <w:rsid w:val="00FA6F50"/>
    <w:rsid w:val="00FA71A9"/>
    <w:rsid w:val="00FA7569"/>
    <w:rsid w:val="00FA7943"/>
    <w:rsid w:val="00FB02F2"/>
    <w:rsid w:val="00FB2A74"/>
    <w:rsid w:val="00FB2A98"/>
    <w:rsid w:val="00FB32D6"/>
    <w:rsid w:val="00FB3987"/>
    <w:rsid w:val="00FB3F0D"/>
    <w:rsid w:val="00FB44A9"/>
    <w:rsid w:val="00FB4DA8"/>
    <w:rsid w:val="00FB5C81"/>
    <w:rsid w:val="00FB6258"/>
    <w:rsid w:val="00FB6440"/>
    <w:rsid w:val="00FB7F4E"/>
    <w:rsid w:val="00FC06B0"/>
    <w:rsid w:val="00FC14E1"/>
    <w:rsid w:val="00FC1EEA"/>
    <w:rsid w:val="00FC27B3"/>
    <w:rsid w:val="00FC3302"/>
    <w:rsid w:val="00FC352C"/>
    <w:rsid w:val="00FC357D"/>
    <w:rsid w:val="00FC477E"/>
    <w:rsid w:val="00FC4A71"/>
    <w:rsid w:val="00FC515B"/>
    <w:rsid w:val="00FC7607"/>
    <w:rsid w:val="00FC7999"/>
    <w:rsid w:val="00FC7B3A"/>
    <w:rsid w:val="00FD0AC5"/>
    <w:rsid w:val="00FD1D21"/>
    <w:rsid w:val="00FD44DB"/>
    <w:rsid w:val="00FD5270"/>
    <w:rsid w:val="00FD551E"/>
    <w:rsid w:val="00FD6191"/>
    <w:rsid w:val="00FD72CE"/>
    <w:rsid w:val="00FD7C08"/>
    <w:rsid w:val="00FE07E6"/>
    <w:rsid w:val="00FE2076"/>
    <w:rsid w:val="00FE2476"/>
    <w:rsid w:val="00FE2905"/>
    <w:rsid w:val="00FE2C36"/>
    <w:rsid w:val="00FE39B7"/>
    <w:rsid w:val="00FE45FB"/>
    <w:rsid w:val="00FE4C55"/>
    <w:rsid w:val="00FE5699"/>
    <w:rsid w:val="00FE6168"/>
    <w:rsid w:val="00FE656E"/>
    <w:rsid w:val="00FE6C80"/>
    <w:rsid w:val="00FE6DBA"/>
    <w:rsid w:val="00FE7052"/>
    <w:rsid w:val="00FE723A"/>
    <w:rsid w:val="00FE76D4"/>
    <w:rsid w:val="00FF11F5"/>
    <w:rsid w:val="00FF185D"/>
    <w:rsid w:val="00FF2E41"/>
    <w:rsid w:val="00FF37A3"/>
    <w:rsid w:val="00FF42C6"/>
    <w:rsid w:val="00FF4E58"/>
    <w:rsid w:val="00FF55AC"/>
    <w:rsid w:val="00FF58F7"/>
    <w:rsid w:val="010A7B87"/>
    <w:rsid w:val="012B1219"/>
    <w:rsid w:val="01317794"/>
    <w:rsid w:val="01441C31"/>
    <w:rsid w:val="016313FD"/>
    <w:rsid w:val="021C29C7"/>
    <w:rsid w:val="02203B3A"/>
    <w:rsid w:val="024B505A"/>
    <w:rsid w:val="02CE17E8"/>
    <w:rsid w:val="02D212D8"/>
    <w:rsid w:val="02DF0C25"/>
    <w:rsid w:val="035B03F1"/>
    <w:rsid w:val="03650AF9"/>
    <w:rsid w:val="039E5BF9"/>
    <w:rsid w:val="03C16C3F"/>
    <w:rsid w:val="03E125EC"/>
    <w:rsid w:val="04605C70"/>
    <w:rsid w:val="04685EF6"/>
    <w:rsid w:val="04782237"/>
    <w:rsid w:val="04926F71"/>
    <w:rsid w:val="04AD3DAA"/>
    <w:rsid w:val="04B2393E"/>
    <w:rsid w:val="05724E4C"/>
    <w:rsid w:val="06B02645"/>
    <w:rsid w:val="06DF3FC3"/>
    <w:rsid w:val="06EB6E0C"/>
    <w:rsid w:val="07B04961"/>
    <w:rsid w:val="082A4B2D"/>
    <w:rsid w:val="08CE0793"/>
    <w:rsid w:val="09E63A30"/>
    <w:rsid w:val="09EB2C7F"/>
    <w:rsid w:val="0A542C86"/>
    <w:rsid w:val="0AC971DE"/>
    <w:rsid w:val="0B114967"/>
    <w:rsid w:val="0B640F3B"/>
    <w:rsid w:val="0C5745FC"/>
    <w:rsid w:val="0C5D60B6"/>
    <w:rsid w:val="0CDB3000"/>
    <w:rsid w:val="0D4E7DAA"/>
    <w:rsid w:val="0DD000B1"/>
    <w:rsid w:val="0E3079ED"/>
    <w:rsid w:val="0EAB596C"/>
    <w:rsid w:val="0F8452F2"/>
    <w:rsid w:val="0FB104C7"/>
    <w:rsid w:val="103E4644"/>
    <w:rsid w:val="10540801"/>
    <w:rsid w:val="108B038E"/>
    <w:rsid w:val="10E90976"/>
    <w:rsid w:val="10F66AD9"/>
    <w:rsid w:val="11967608"/>
    <w:rsid w:val="11FA178A"/>
    <w:rsid w:val="128338AB"/>
    <w:rsid w:val="13182FE3"/>
    <w:rsid w:val="134E20A5"/>
    <w:rsid w:val="135D4BEE"/>
    <w:rsid w:val="137837D5"/>
    <w:rsid w:val="137D4913"/>
    <w:rsid w:val="13A10F7E"/>
    <w:rsid w:val="13F6086C"/>
    <w:rsid w:val="14665D24"/>
    <w:rsid w:val="149E54BE"/>
    <w:rsid w:val="14A360A3"/>
    <w:rsid w:val="14BF2BD2"/>
    <w:rsid w:val="15113EE2"/>
    <w:rsid w:val="15CE1D5D"/>
    <w:rsid w:val="15F623A2"/>
    <w:rsid w:val="15FE437E"/>
    <w:rsid w:val="16045D57"/>
    <w:rsid w:val="16154336"/>
    <w:rsid w:val="16DB412A"/>
    <w:rsid w:val="17375DA5"/>
    <w:rsid w:val="180A2E6A"/>
    <w:rsid w:val="18B408D3"/>
    <w:rsid w:val="18BE027E"/>
    <w:rsid w:val="193C7053"/>
    <w:rsid w:val="19851048"/>
    <w:rsid w:val="19927D22"/>
    <w:rsid w:val="19E250BA"/>
    <w:rsid w:val="19E93FFE"/>
    <w:rsid w:val="19ED6C10"/>
    <w:rsid w:val="19FE7A30"/>
    <w:rsid w:val="1A395AB8"/>
    <w:rsid w:val="1A861955"/>
    <w:rsid w:val="1A872550"/>
    <w:rsid w:val="1B3C71E1"/>
    <w:rsid w:val="1B966EEF"/>
    <w:rsid w:val="1C1B3898"/>
    <w:rsid w:val="1CD82C6E"/>
    <w:rsid w:val="1CE43C8A"/>
    <w:rsid w:val="1CE96420"/>
    <w:rsid w:val="1D9B4C90"/>
    <w:rsid w:val="1DB636B9"/>
    <w:rsid w:val="1E024A41"/>
    <w:rsid w:val="1E4D682F"/>
    <w:rsid w:val="1EA40382"/>
    <w:rsid w:val="1EAE0FF6"/>
    <w:rsid w:val="1EB8776E"/>
    <w:rsid w:val="1F590842"/>
    <w:rsid w:val="1F5A0233"/>
    <w:rsid w:val="1F844D83"/>
    <w:rsid w:val="1FF561AE"/>
    <w:rsid w:val="20895274"/>
    <w:rsid w:val="20EB6371"/>
    <w:rsid w:val="21C916A0"/>
    <w:rsid w:val="221B014E"/>
    <w:rsid w:val="22880EF6"/>
    <w:rsid w:val="228D26CE"/>
    <w:rsid w:val="22CA6CB9"/>
    <w:rsid w:val="232E3EB1"/>
    <w:rsid w:val="24466FD8"/>
    <w:rsid w:val="24871CE3"/>
    <w:rsid w:val="249266C1"/>
    <w:rsid w:val="24BD36C0"/>
    <w:rsid w:val="251608D7"/>
    <w:rsid w:val="25253091"/>
    <w:rsid w:val="253D09A4"/>
    <w:rsid w:val="254E4396"/>
    <w:rsid w:val="259235B1"/>
    <w:rsid w:val="25B12E4C"/>
    <w:rsid w:val="25DE714F"/>
    <w:rsid w:val="260525E1"/>
    <w:rsid w:val="268F6768"/>
    <w:rsid w:val="26D23F28"/>
    <w:rsid w:val="277246F6"/>
    <w:rsid w:val="27C9064C"/>
    <w:rsid w:val="285A12A4"/>
    <w:rsid w:val="28905E1D"/>
    <w:rsid w:val="289C18BC"/>
    <w:rsid w:val="2A0911D4"/>
    <w:rsid w:val="2A155B95"/>
    <w:rsid w:val="2A3049B2"/>
    <w:rsid w:val="2A692FCB"/>
    <w:rsid w:val="2B3771D8"/>
    <w:rsid w:val="2B726905"/>
    <w:rsid w:val="2B7A3236"/>
    <w:rsid w:val="2B98267B"/>
    <w:rsid w:val="2C1A1476"/>
    <w:rsid w:val="2D0143E4"/>
    <w:rsid w:val="2D87025A"/>
    <w:rsid w:val="2E265D03"/>
    <w:rsid w:val="2E8C0C2F"/>
    <w:rsid w:val="2E9871BD"/>
    <w:rsid w:val="2EA1280F"/>
    <w:rsid w:val="2EC63D37"/>
    <w:rsid w:val="2EE53630"/>
    <w:rsid w:val="2F1819BF"/>
    <w:rsid w:val="2F3324DF"/>
    <w:rsid w:val="2F3D6D89"/>
    <w:rsid w:val="2F405FDC"/>
    <w:rsid w:val="2FE853E7"/>
    <w:rsid w:val="30107796"/>
    <w:rsid w:val="305E5CFB"/>
    <w:rsid w:val="3062265D"/>
    <w:rsid w:val="30B654E5"/>
    <w:rsid w:val="30F1651D"/>
    <w:rsid w:val="30FF638E"/>
    <w:rsid w:val="31191A76"/>
    <w:rsid w:val="3160487E"/>
    <w:rsid w:val="31666933"/>
    <w:rsid w:val="318C2275"/>
    <w:rsid w:val="319E66A5"/>
    <w:rsid w:val="32B51EF8"/>
    <w:rsid w:val="331C5A1F"/>
    <w:rsid w:val="3331390A"/>
    <w:rsid w:val="339C4E66"/>
    <w:rsid w:val="342C40ED"/>
    <w:rsid w:val="345A2B81"/>
    <w:rsid w:val="347831DE"/>
    <w:rsid w:val="347C64B3"/>
    <w:rsid w:val="35CA19F8"/>
    <w:rsid w:val="35CB558F"/>
    <w:rsid w:val="361616A3"/>
    <w:rsid w:val="36485A52"/>
    <w:rsid w:val="36AA1648"/>
    <w:rsid w:val="370B5F4A"/>
    <w:rsid w:val="378034CD"/>
    <w:rsid w:val="379334C2"/>
    <w:rsid w:val="37E535B3"/>
    <w:rsid w:val="37F214F9"/>
    <w:rsid w:val="380D0565"/>
    <w:rsid w:val="38151FB9"/>
    <w:rsid w:val="381B277F"/>
    <w:rsid w:val="38284F1B"/>
    <w:rsid w:val="385664D9"/>
    <w:rsid w:val="385751DA"/>
    <w:rsid w:val="3872263A"/>
    <w:rsid w:val="38A357DD"/>
    <w:rsid w:val="38BF587F"/>
    <w:rsid w:val="38C0026E"/>
    <w:rsid w:val="38FB5F59"/>
    <w:rsid w:val="39721EB5"/>
    <w:rsid w:val="39BB37F3"/>
    <w:rsid w:val="39C15477"/>
    <w:rsid w:val="39EE5CF0"/>
    <w:rsid w:val="3A176FF5"/>
    <w:rsid w:val="3A353A02"/>
    <w:rsid w:val="3A5B3385"/>
    <w:rsid w:val="3A7E4E86"/>
    <w:rsid w:val="3AEA27D2"/>
    <w:rsid w:val="3AEA295B"/>
    <w:rsid w:val="3B125886"/>
    <w:rsid w:val="3B5D4EDB"/>
    <w:rsid w:val="3B632C4F"/>
    <w:rsid w:val="3B6A6CD8"/>
    <w:rsid w:val="3B88323B"/>
    <w:rsid w:val="3BF55114"/>
    <w:rsid w:val="3BFA29E3"/>
    <w:rsid w:val="3C7626F9"/>
    <w:rsid w:val="3C90308E"/>
    <w:rsid w:val="3CE54D82"/>
    <w:rsid w:val="3D5B369C"/>
    <w:rsid w:val="3E23065E"/>
    <w:rsid w:val="3E6F35EF"/>
    <w:rsid w:val="3E937104"/>
    <w:rsid w:val="3EA370A9"/>
    <w:rsid w:val="3FA13A92"/>
    <w:rsid w:val="4000052B"/>
    <w:rsid w:val="402A6DE9"/>
    <w:rsid w:val="404E573A"/>
    <w:rsid w:val="40591DBE"/>
    <w:rsid w:val="40D479EE"/>
    <w:rsid w:val="410858E9"/>
    <w:rsid w:val="411E1C2C"/>
    <w:rsid w:val="41793459"/>
    <w:rsid w:val="417F58B1"/>
    <w:rsid w:val="419F4591"/>
    <w:rsid w:val="41E27935"/>
    <w:rsid w:val="41ED7D35"/>
    <w:rsid w:val="420A2614"/>
    <w:rsid w:val="42266F3E"/>
    <w:rsid w:val="42304C9D"/>
    <w:rsid w:val="42997141"/>
    <w:rsid w:val="42D35C76"/>
    <w:rsid w:val="42EB5098"/>
    <w:rsid w:val="4359242C"/>
    <w:rsid w:val="43A35485"/>
    <w:rsid w:val="43B129A0"/>
    <w:rsid w:val="43B81849"/>
    <w:rsid w:val="44784CE1"/>
    <w:rsid w:val="44BF1C4E"/>
    <w:rsid w:val="454F1D39"/>
    <w:rsid w:val="45A2455E"/>
    <w:rsid w:val="45EE2DEC"/>
    <w:rsid w:val="46030202"/>
    <w:rsid w:val="46295F90"/>
    <w:rsid w:val="468A6DA0"/>
    <w:rsid w:val="468C2B19"/>
    <w:rsid w:val="46D4600B"/>
    <w:rsid w:val="474B29D4"/>
    <w:rsid w:val="47555600"/>
    <w:rsid w:val="47864F63"/>
    <w:rsid w:val="478868E2"/>
    <w:rsid w:val="47C562E2"/>
    <w:rsid w:val="47E652C2"/>
    <w:rsid w:val="48272AF9"/>
    <w:rsid w:val="48AB197C"/>
    <w:rsid w:val="48D93BC9"/>
    <w:rsid w:val="49553696"/>
    <w:rsid w:val="498A77E3"/>
    <w:rsid w:val="49BD450E"/>
    <w:rsid w:val="49C52F49"/>
    <w:rsid w:val="49FA6D52"/>
    <w:rsid w:val="4A174DEF"/>
    <w:rsid w:val="4AAC5537"/>
    <w:rsid w:val="4AD11442"/>
    <w:rsid w:val="4AE157C5"/>
    <w:rsid w:val="4C7B3413"/>
    <w:rsid w:val="4C8C5B1C"/>
    <w:rsid w:val="4CC17D34"/>
    <w:rsid w:val="4DB92E4D"/>
    <w:rsid w:val="4DFF23BF"/>
    <w:rsid w:val="4E460794"/>
    <w:rsid w:val="4EB26D2E"/>
    <w:rsid w:val="4ECC4362"/>
    <w:rsid w:val="4ED940DC"/>
    <w:rsid w:val="4F58769F"/>
    <w:rsid w:val="4F6446C5"/>
    <w:rsid w:val="4F6B59C1"/>
    <w:rsid w:val="505C17A8"/>
    <w:rsid w:val="50B21740"/>
    <w:rsid w:val="50D73A0F"/>
    <w:rsid w:val="512027DB"/>
    <w:rsid w:val="512B0874"/>
    <w:rsid w:val="51352C7A"/>
    <w:rsid w:val="51542485"/>
    <w:rsid w:val="51625EF3"/>
    <w:rsid w:val="527B08B5"/>
    <w:rsid w:val="52911BE2"/>
    <w:rsid w:val="52AD009F"/>
    <w:rsid w:val="52DB4C0C"/>
    <w:rsid w:val="53733096"/>
    <w:rsid w:val="53AB6CD4"/>
    <w:rsid w:val="53D02297"/>
    <w:rsid w:val="54297BF9"/>
    <w:rsid w:val="547C1FE5"/>
    <w:rsid w:val="54B904E4"/>
    <w:rsid w:val="54F85256"/>
    <w:rsid w:val="550348EE"/>
    <w:rsid w:val="55164DF1"/>
    <w:rsid w:val="55200925"/>
    <w:rsid w:val="554A6079"/>
    <w:rsid w:val="556F4664"/>
    <w:rsid w:val="55733821"/>
    <w:rsid w:val="5589464F"/>
    <w:rsid w:val="56187F25"/>
    <w:rsid w:val="563B176E"/>
    <w:rsid w:val="565F7C32"/>
    <w:rsid w:val="56914FFE"/>
    <w:rsid w:val="569854FE"/>
    <w:rsid w:val="56AD4B11"/>
    <w:rsid w:val="570C5CDB"/>
    <w:rsid w:val="57302901"/>
    <w:rsid w:val="57405985"/>
    <w:rsid w:val="575C1BDA"/>
    <w:rsid w:val="57631674"/>
    <w:rsid w:val="57CE22C0"/>
    <w:rsid w:val="57EB6F88"/>
    <w:rsid w:val="580E1B44"/>
    <w:rsid w:val="58896EB8"/>
    <w:rsid w:val="58A942B9"/>
    <w:rsid w:val="58B8154B"/>
    <w:rsid w:val="59101387"/>
    <w:rsid w:val="596159DF"/>
    <w:rsid w:val="59BC506B"/>
    <w:rsid w:val="5A04460A"/>
    <w:rsid w:val="5A3C2E1B"/>
    <w:rsid w:val="5A7616BE"/>
    <w:rsid w:val="5B2630E4"/>
    <w:rsid w:val="5B6634E0"/>
    <w:rsid w:val="5C1B42CB"/>
    <w:rsid w:val="5CEB52E4"/>
    <w:rsid w:val="5D2F51EB"/>
    <w:rsid w:val="5D2F6A57"/>
    <w:rsid w:val="5D902BE3"/>
    <w:rsid w:val="5D9E4DB7"/>
    <w:rsid w:val="5DFE37C1"/>
    <w:rsid w:val="5E1E00A2"/>
    <w:rsid w:val="5E712A21"/>
    <w:rsid w:val="5F1A0982"/>
    <w:rsid w:val="601201FF"/>
    <w:rsid w:val="60874625"/>
    <w:rsid w:val="6089214B"/>
    <w:rsid w:val="60D810D4"/>
    <w:rsid w:val="61363955"/>
    <w:rsid w:val="615D4B46"/>
    <w:rsid w:val="61734BA9"/>
    <w:rsid w:val="619E1C26"/>
    <w:rsid w:val="61DA0784"/>
    <w:rsid w:val="61FD1294"/>
    <w:rsid w:val="62141EE8"/>
    <w:rsid w:val="622C5484"/>
    <w:rsid w:val="62D96C8E"/>
    <w:rsid w:val="63744326"/>
    <w:rsid w:val="63DD7E3C"/>
    <w:rsid w:val="64013895"/>
    <w:rsid w:val="64094B4E"/>
    <w:rsid w:val="64912D5D"/>
    <w:rsid w:val="65834E15"/>
    <w:rsid w:val="6678670A"/>
    <w:rsid w:val="6683388F"/>
    <w:rsid w:val="67BD092C"/>
    <w:rsid w:val="67C41CBB"/>
    <w:rsid w:val="67D30150"/>
    <w:rsid w:val="68060525"/>
    <w:rsid w:val="683D0C30"/>
    <w:rsid w:val="68951A08"/>
    <w:rsid w:val="69117181"/>
    <w:rsid w:val="697B284D"/>
    <w:rsid w:val="69CF50ED"/>
    <w:rsid w:val="6A1C5DDE"/>
    <w:rsid w:val="6A43066D"/>
    <w:rsid w:val="6AC81E68"/>
    <w:rsid w:val="6ADC67EC"/>
    <w:rsid w:val="6AF428B7"/>
    <w:rsid w:val="6B3E1D84"/>
    <w:rsid w:val="6B63537E"/>
    <w:rsid w:val="6B6620DA"/>
    <w:rsid w:val="6B883271"/>
    <w:rsid w:val="6BF91CDC"/>
    <w:rsid w:val="6CC938CF"/>
    <w:rsid w:val="6D152C74"/>
    <w:rsid w:val="6D82064E"/>
    <w:rsid w:val="6E636D09"/>
    <w:rsid w:val="6E667C41"/>
    <w:rsid w:val="6ED60877"/>
    <w:rsid w:val="6FE31405"/>
    <w:rsid w:val="70384FF4"/>
    <w:rsid w:val="705931BC"/>
    <w:rsid w:val="705A39BC"/>
    <w:rsid w:val="70D016D0"/>
    <w:rsid w:val="71482132"/>
    <w:rsid w:val="71883D59"/>
    <w:rsid w:val="718C1A9B"/>
    <w:rsid w:val="71B763EC"/>
    <w:rsid w:val="71BE777B"/>
    <w:rsid w:val="71C76B01"/>
    <w:rsid w:val="728015ED"/>
    <w:rsid w:val="72D27981"/>
    <w:rsid w:val="73250B28"/>
    <w:rsid w:val="7394780C"/>
    <w:rsid w:val="73F6509C"/>
    <w:rsid w:val="744D3038"/>
    <w:rsid w:val="746B763B"/>
    <w:rsid w:val="74955D2B"/>
    <w:rsid w:val="74980757"/>
    <w:rsid w:val="74AA19BC"/>
    <w:rsid w:val="74E60C68"/>
    <w:rsid w:val="7510653F"/>
    <w:rsid w:val="75FB0F9D"/>
    <w:rsid w:val="760A6998"/>
    <w:rsid w:val="76742AFE"/>
    <w:rsid w:val="769E7367"/>
    <w:rsid w:val="76DE1E3E"/>
    <w:rsid w:val="770D713F"/>
    <w:rsid w:val="776B70CC"/>
    <w:rsid w:val="77C707DE"/>
    <w:rsid w:val="782F4A66"/>
    <w:rsid w:val="78503E0C"/>
    <w:rsid w:val="787D5FEB"/>
    <w:rsid w:val="7883527A"/>
    <w:rsid w:val="78864B48"/>
    <w:rsid w:val="78B60185"/>
    <w:rsid w:val="78D56D35"/>
    <w:rsid w:val="7902735F"/>
    <w:rsid w:val="79053EE1"/>
    <w:rsid w:val="79646E59"/>
    <w:rsid w:val="79BC18B0"/>
    <w:rsid w:val="79BD47BC"/>
    <w:rsid w:val="79FF4DD4"/>
    <w:rsid w:val="7B1B5C3E"/>
    <w:rsid w:val="7B2D0220"/>
    <w:rsid w:val="7BC43D6D"/>
    <w:rsid w:val="7C2715E1"/>
    <w:rsid w:val="7C622DA9"/>
    <w:rsid w:val="7C95557C"/>
    <w:rsid w:val="7C975798"/>
    <w:rsid w:val="7CAC132F"/>
    <w:rsid w:val="7DF804B8"/>
    <w:rsid w:val="7DFD162B"/>
    <w:rsid w:val="7E174685"/>
    <w:rsid w:val="7EF23159"/>
    <w:rsid w:val="7F62208D"/>
    <w:rsid w:val="7F746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qFormat="1" w:uiPriority="0" w:semiHidden="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qFormat/>
    <w:uiPriority w:val="0"/>
    <w:pPr>
      <w:widowControl/>
      <w:numPr>
        <w:ilvl w:val="0"/>
        <w:numId w:val="1"/>
      </w:numPr>
      <w:spacing w:before="100" w:beforeAutospacing="1" w:after="100" w:afterAutospacing="1"/>
      <w:jc w:val="left"/>
      <w:outlineLvl w:val="0"/>
    </w:pPr>
    <w:rPr>
      <w:rFonts w:ascii="宋体" w:hAnsi="宋体" w:cs="宋体"/>
      <w:b/>
      <w:bCs/>
      <w:kern w:val="36"/>
      <w:sz w:val="24"/>
      <w:szCs w:val="24"/>
    </w:rPr>
  </w:style>
  <w:style w:type="paragraph" w:styleId="3">
    <w:name w:val="heading 2"/>
    <w:basedOn w:val="1"/>
    <w:next w:val="1"/>
    <w:qFormat/>
    <w:uiPriority w:val="0"/>
    <w:pPr>
      <w:keepNext/>
      <w:keepLines/>
      <w:numPr>
        <w:ilvl w:val="1"/>
        <w:numId w:val="1"/>
      </w:numPr>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numPr>
        <w:ilvl w:val="2"/>
        <w:numId w:val="1"/>
      </w:numPr>
      <w:spacing w:before="260" w:after="260" w:line="416" w:lineRule="auto"/>
      <w:outlineLvl w:val="2"/>
    </w:pPr>
    <w:rPr>
      <w:rFonts w:ascii="Calibri" w:hAnsi="Calibri"/>
      <w:b/>
      <w:bCs/>
      <w:sz w:val="32"/>
      <w:szCs w:val="32"/>
    </w:rPr>
  </w:style>
  <w:style w:type="paragraph" w:styleId="5">
    <w:name w:val="heading 4"/>
    <w:basedOn w:val="1"/>
    <w:next w:val="1"/>
    <w:link w:val="36"/>
    <w:qFormat/>
    <w:uiPriority w:val="0"/>
    <w:pPr>
      <w:keepNext/>
      <w:keepLines/>
      <w:numPr>
        <w:ilvl w:val="3"/>
        <w:numId w:val="1"/>
      </w:numPr>
      <w:spacing w:before="280" w:after="290" w:line="376" w:lineRule="auto"/>
      <w:outlineLvl w:val="3"/>
    </w:pPr>
    <w:rPr>
      <w:rFonts w:ascii="Cambria" w:hAnsi="Cambria"/>
      <w:b/>
      <w:bCs/>
      <w:sz w:val="28"/>
      <w:szCs w:val="28"/>
    </w:rPr>
  </w:style>
  <w:style w:type="paragraph" w:styleId="6">
    <w:name w:val="heading 5"/>
    <w:basedOn w:val="1"/>
    <w:next w:val="1"/>
    <w:semiHidden/>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55"/>
    <w:qFormat/>
    <w:uiPriority w:val="0"/>
    <w:pPr>
      <w:spacing w:line="360" w:lineRule="auto"/>
      <w:ind w:firstLine="200" w:firstLineChars="200"/>
    </w:pPr>
    <w:rPr>
      <w:rFonts w:ascii="Arial" w:hAnsi="Arial" w:eastAsia="黑体" w:cs="Arial"/>
      <w:sz w:val="20"/>
    </w:rPr>
  </w:style>
  <w:style w:type="paragraph" w:styleId="12">
    <w:name w:val="Document Map"/>
    <w:basedOn w:val="1"/>
    <w:link w:val="34"/>
    <w:qFormat/>
    <w:uiPriority w:val="0"/>
    <w:rPr>
      <w:rFonts w:ascii="宋体"/>
      <w:sz w:val="18"/>
      <w:szCs w:val="18"/>
    </w:rPr>
  </w:style>
  <w:style w:type="paragraph" w:styleId="13">
    <w:name w:val="Body Text"/>
    <w:basedOn w:val="1"/>
    <w:link w:val="41"/>
    <w:unhideWhenUsed/>
    <w:qFormat/>
    <w:uiPriority w:val="0"/>
    <w:pPr>
      <w:spacing w:after="120"/>
    </w:pPr>
    <w:rPr>
      <w:szCs w:val="22"/>
    </w:rPr>
  </w:style>
  <w:style w:type="paragraph" w:styleId="14">
    <w:name w:val="Body Text Indent"/>
    <w:basedOn w:val="1"/>
    <w:qFormat/>
    <w:uiPriority w:val="0"/>
    <w:pPr>
      <w:adjustRightInd w:val="0"/>
      <w:spacing w:line="440" w:lineRule="exact"/>
      <w:ind w:firstLine="600"/>
      <w:jc w:val="left"/>
      <w:textAlignment w:val="baseline"/>
    </w:pPr>
    <w:rPr>
      <w:rFonts w:ascii="长城细圆体" w:eastAsia="长城细圆体"/>
      <w:spacing w:val="-4"/>
      <w:kern w:val="0"/>
      <w:sz w:val="24"/>
    </w:rPr>
  </w:style>
  <w:style w:type="paragraph" w:styleId="15">
    <w:name w:val="Date"/>
    <w:basedOn w:val="1"/>
    <w:next w:val="1"/>
    <w:link w:val="65"/>
    <w:qFormat/>
    <w:uiPriority w:val="99"/>
    <w:rPr>
      <w:sz w:val="24"/>
    </w:rPr>
  </w:style>
  <w:style w:type="paragraph" w:styleId="16">
    <w:name w:val="Body Text Indent 2"/>
    <w:basedOn w:val="1"/>
    <w:link w:val="49"/>
    <w:qFormat/>
    <w:uiPriority w:val="0"/>
    <w:pPr>
      <w:spacing w:after="120" w:line="480" w:lineRule="auto"/>
      <w:ind w:left="420" w:leftChars="200"/>
    </w:pPr>
  </w:style>
  <w:style w:type="paragraph" w:styleId="17">
    <w:name w:val="Balloon Text"/>
    <w:basedOn w:val="1"/>
    <w:link w:val="39"/>
    <w:qFormat/>
    <w:uiPriority w:val="0"/>
    <w:rPr>
      <w:sz w:val="18"/>
      <w:szCs w:val="18"/>
    </w:rPr>
  </w:style>
  <w:style w:type="paragraph" w:styleId="18">
    <w:name w:val="footer"/>
    <w:basedOn w:val="1"/>
    <w:qFormat/>
    <w:uiPriority w:val="0"/>
    <w:pPr>
      <w:tabs>
        <w:tab w:val="center" w:pos="4153"/>
        <w:tab w:val="right" w:pos="8306"/>
      </w:tabs>
      <w:snapToGrid w:val="0"/>
      <w:jc w:val="left"/>
    </w:pPr>
    <w:rPr>
      <w:sz w:val="18"/>
      <w:szCs w:val="18"/>
    </w:rPr>
  </w:style>
  <w:style w:type="paragraph" w:styleId="19">
    <w:name w:val="header"/>
    <w:basedOn w:val="1"/>
    <w:link w:val="60"/>
    <w:qFormat/>
    <w:uiPriority w:val="0"/>
    <w:pPr>
      <w:pBdr>
        <w:bottom w:val="single" w:color="auto" w:sz="6" w:space="1"/>
      </w:pBdr>
      <w:tabs>
        <w:tab w:val="center" w:pos="4153"/>
        <w:tab w:val="right" w:pos="8306"/>
      </w:tabs>
      <w:snapToGrid w:val="0"/>
      <w:jc w:val="center"/>
    </w:pPr>
    <w:rPr>
      <w:sz w:val="18"/>
      <w:szCs w:val="18"/>
    </w:rPr>
  </w:style>
  <w:style w:type="paragraph" w:styleId="20">
    <w:name w:val="Subtitle"/>
    <w:basedOn w:val="1"/>
    <w:next w:val="1"/>
    <w:link w:val="57"/>
    <w:qFormat/>
    <w:uiPriority w:val="11"/>
    <w:pPr>
      <w:spacing w:before="240" w:after="60" w:line="312" w:lineRule="auto"/>
      <w:ind w:firstLine="200" w:firstLineChars="200"/>
      <w:jc w:val="left"/>
      <w:outlineLvl w:val="1"/>
    </w:pPr>
    <w:rPr>
      <w:rFonts w:ascii="宋体" w:hAnsi="宋体" w:cstheme="majorBidi"/>
      <w:b/>
      <w:bCs/>
      <w:kern w:val="28"/>
      <w:sz w:val="30"/>
      <w:szCs w:val="32"/>
    </w:rPr>
  </w:style>
  <w:style w:type="paragraph" w:styleId="21">
    <w:name w:val="Normal (Web)"/>
    <w:basedOn w:val="1"/>
    <w:unhideWhenUsed/>
    <w:qFormat/>
    <w:uiPriority w:val="0"/>
    <w:pPr>
      <w:jc w:val="left"/>
    </w:pPr>
    <w:rPr>
      <w:kern w:val="0"/>
      <w:sz w:val="24"/>
      <w:szCs w:val="24"/>
    </w:rPr>
  </w:style>
  <w:style w:type="paragraph" w:styleId="22">
    <w:name w:val="Body Text First Indent 2"/>
    <w:basedOn w:val="14"/>
    <w:unhideWhenUsed/>
    <w:qFormat/>
    <w:uiPriority w:val="0"/>
    <w:pPr>
      <w:ind w:firstLine="420" w:firstLineChars="200"/>
    </w:p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basedOn w:val="25"/>
    <w:qFormat/>
    <w:uiPriority w:val="0"/>
  </w:style>
  <w:style w:type="character" w:styleId="27">
    <w:name w:val="Emphasis"/>
    <w:basedOn w:val="25"/>
    <w:qFormat/>
    <w:uiPriority w:val="0"/>
    <w:rPr>
      <w:i/>
      <w:iCs/>
    </w:rPr>
  </w:style>
  <w:style w:type="character" w:styleId="28">
    <w:name w:val="Hyperlink"/>
    <w:basedOn w:val="25"/>
    <w:unhideWhenUsed/>
    <w:qFormat/>
    <w:uiPriority w:val="99"/>
    <w:rPr>
      <w:color w:val="0000FF"/>
      <w:u w:val="single"/>
    </w:rPr>
  </w:style>
  <w:style w:type="character" w:customStyle="1" w:styleId="29">
    <w:name w:val="hang1"/>
    <w:basedOn w:val="25"/>
    <w:qFormat/>
    <w:uiPriority w:val="0"/>
    <w:rPr>
      <w:spacing w:val="375"/>
    </w:rPr>
  </w:style>
  <w:style w:type="paragraph" w:customStyle="1" w:styleId="30">
    <w:name w:val="Char Char Char Char Char Char Char"/>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31">
    <w:name w:val="默认段落字体 Para Char"/>
    <w:basedOn w:val="1"/>
    <w:qFormat/>
    <w:uiPriority w:val="0"/>
    <w:rPr>
      <w:spacing w:val="-8"/>
    </w:rPr>
  </w:style>
  <w:style w:type="paragraph" w:customStyle="1" w:styleId="32">
    <w:name w:val="城建正文"/>
    <w:basedOn w:val="1"/>
    <w:link w:val="33"/>
    <w:qFormat/>
    <w:uiPriority w:val="0"/>
    <w:pPr>
      <w:spacing w:line="500" w:lineRule="exact"/>
      <w:ind w:firstLine="200" w:firstLineChars="200"/>
    </w:pPr>
    <w:rPr>
      <w:sz w:val="24"/>
      <w:szCs w:val="24"/>
    </w:rPr>
  </w:style>
  <w:style w:type="character" w:customStyle="1" w:styleId="33">
    <w:name w:val="城建正文 Char"/>
    <w:link w:val="32"/>
    <w:qFormat/>
    <w:uiPriority w:val="0"/>
    <w:rPr>
      <w:rFonts w:eastAsia="宋体"/>
      <w:kern w:val="2"/>
      <w:sz w:val="24"/>
      <w:szCs w:val="24"/>
      <w:lang w:val="en-US" w:eastAsia="zh-CN" w:bidi="ar-SA"/>
    </w:rPr>
  </w:style>
  <w:style w:type="character" w:customStyle="1" w:styleId="34">
    <w:name w:val="文档结构图 字符"/>
    <w:basedOn w:val="25"/>
    <w:link w:val="12"/>
    <w:qFormat/>
    <w:uiPriority w:val="0"/>
    <w:rPr>
      <w:rFonts w:ascii="宋体"/>
      <w:kern w:val="2"/>
      <w:sz w:val="18"/>
      <w:szCs w:val="18"/>
    </w:rPr>
  </w:style>
  <w:style w:type="paragraph" w:customStyle="1" w:styleId="35">
    <w:name w:val="Char"/>
    <w:basedOn w:val="1"/>
    <w:qFormat/>
    <w:uiPriority w:val="0"/>
    <w:pPr>
      <w:spacing w:line="360" w:lineRule="auto"/>
      <w:ind w:firstLine="480" w:firstLineChars="200"/>
    </w:pPr>
    <w:rPr>
      <w:sz w:val="24"/>
      <w:szCs w:val="24"/>
    </w:rPr>
  </w:style>
  <w:style w:type="character" w:customStyle="1" w:styleId="36">
    <w:name w:val="标题 4 字符"/>
    <w:basedOn w:val="25"/>
    <w:link w:val="5"/>
    <w:qFormat/>
    <w:uiPriority w:val="0"/>
    <w:rPr>
      <w:rFonts w:ascii="Cambria" w:hAnsi="Cambria"/>
      <w:b/>
      <w:bCs/>
      <w:kern w:val="2"/>
      <w:sz w:val="28"/>
      <w:szCs w:val="28"/>
    </w:rPr>
  </w:style>
  <w:style w:type="paragraph" w:customStyle="1" w:styleId="37">
    <w:name w:val="样式 宋体 左 行距: 固定值 22 磅"/>
    <w:basedOn w:val="1"/>
    <w:qFormat/>
    <w:uiPriority w:val="0"/>
    <w:pPr>
      <w:spacing w:line="440" w:lineRule="exact"/>
      <w:ind w:firstLine="480" w:firstLineChars="200"/>
      <w:jc w:val="left"/>
    </w:pPr>
    <w:rPr>
      <w:rFonts w:ascii="宋体" w:hAnsi="宋体" w:cs="宋体"/>
      <w:sz w:val="24"/>
    </w:rPr>
  </w:style>
  <w:style w:type="paragraph" w:customStyle="1" w:styleId="38">
    <w:name w:val="Char1"/>
    <w:basedOn w:val="1"/>
    <w:qFormat/>
    <w:uiPriority w:val="0"/>
    <w:pPr>
      <w:spacing w:line="400" w:lineRule="exact"/>
    </w:pPr>
    <w:rPr>
      <w:rFonts w:ascii="Tahoma" w:hAnsi="Tahoma"/>
      <w:sz w:val="24"/>
    </w:rPr>
  </w:style>
  <w:style w:type="character" w:customStyle="1" w:styleId="39">
    <w:name w:val="批注框文本 字符"/>
    <w:basedOn w:val="25"/>
    <w:link w:val="17"/>
    <w:qFormat/>
    <w:uiPriority w:val="0"/>
    <w:rPr>
      <w:kern w:val="2"/>
      <w:sz w:val="18"/>
      <w:szCs w:val="18"/>
    </w:rPr>
  </w:style>
  <w:style w:type="character" w:customStyle="1" w:styleId="40">
    <w:name w:val="标题 3 字符"/>
    <w:basedOn w:val="25"/>
    <w:link w:val="4"/>
    <w:qFormat/>
    <w:uiPriority w:val="0"/>
    <w:rPr>
      <w:rFonts w:ascii="Calibri" w:hAnsi="Calibri"/>
      <w:b/>
      <w:bCs/>
      <w:kern w:val="2"/>
      <w:sz w:val="32"/>
      <w:szCs w:val="32"/>
    </w:rPr>
  </w:style>
  <w:style w:type="character" w:customStyle="1" w:styleId="41">
    <w:name w:val="正文文本 字符"/>
    <w:basedOn w:val="25"/>
    <w:link w:val="13"/>
    <w:qFormat/>
    <w:uiPriority w:val="0"/>
    <w:rPr>
      <w:kern w:val="2"/>
      <w:sz w:val="21"/>
      <w:szCs w:val="22"/>
    </w:rPr>
  </w:style>
  <w:style w:type="character" w:customStyle="1" w:styleId="42">
    <w:name w:val="正文文本 Char1"/>
    <w:basedOn w:val="25"/>
    <w:qFormat/>
    <w:uiPriority w:val="0"/>
    <w:rPr>
      <w:kern w:val="2"/>
      <w:sz w:val="21"/>
    </w:rPr>
  </w:style>
  <w:style w:type="paragraph" w:customStyle="1" w:styleId="43">
    <w:name w:val="Char2"/>
    <w:basedOn w:val="1"/>
    <w:qFormat/>
    <w:uiPriority w:val="0"/>
    <w:pPr>
      <w:spacing w:line="400" w:lineRule="exact"/>
    </w:pPr>
    <w:rPr>
      <w:rFonts w:ascii="Tahoma" w:hAnsi="Tahoma"/>
      <w:sz w:val="24"/>
    </w:rPr>
  </w:style>
  <w:style w:type="paragraph" w:styleId="44">
    <w:name w:val="List Paragraph"/>
    <w:basedOn w:val="1"/>
    <w:link w:val="52"/>
    <w:qFormat/>
    <w:uiPriority w:val="99"/>
    <w:pPr>
      <w:ind w:firstLine="420" w:firstLineChars="200"/>
    </w:pPr>
  </w:style>
  <w:style w:type="paragraph" w:customStyle="1" w:styleId="45">
    <w:name w:val="列表2"/>
    <w:basedOn w:val="1"/>
    <w:qFormat/>
    <w:uiPriority w:val="0"/>
    <w:pPr>
      <w:numPr>
        <w:ilvl w:val="0"/>
        <w:numId w:val="2"/>
      </w:numPr>
      <w:tabs>
        <w:tab w:val="left" w:pos="964"/>
      </w:tabs>
    </w:pPr>
    <w:rPr>
      <w:rFonts w:eastAsia="楷体_GB2312" w:cs="宋体"/>
      <w:sz w:val="24"/>
    </w:rPr>
  </w:style>
  <w:style w:type="paragraph" w:customStyle="1" w:styleId="46">
    <w:name w:val="样式 样式 样式 小四 左 首行缩进:  2 字符 + 首行缩进:  2 字符 Char + 右  0 字符1"/>
    <w:basedOn w:val="1"/>
    <w:qFormat/>
    <w:uiPriority w:val="0"/>
    <w:pPr>
      <w:ind w:firstLine="200" w:firstLineChars="200"/>
      <w:jc w:val="left"/>
    </w:pPr>
    <w:rPr>
      <w:rFonts w:eastAsia="楷体_GB2312" w:cs="宋体"/>
      <w:sz w:val="24"/>
    </w:rPr>
  </w:style>
  <w:style w:type="paragraph" w:customStyle="1" w:styleId="47">
    <w:name w:val="表格1"/>
    <w:basedOn w:val="1"/>
    <w:qFormat/>
    <w:uiPriority w:val="0"/>
    <w:pPr>
      <w:tabs>
        <w:tab w:val="left" w:pos="839"/>
      </w:tabs>
      <w:adjustRightInd w:val="0"/>
      <w:spacing w:beforeLines="19" w:line="240" w:lineRule="exact"/>
      <w:jc w:val="center"/>
    </w:pPr>
    <w:rPr>
      <w:rFonts w:ascii="宋体" w:hAnsi="宋体" w:cs="宋体"/>
      <w:kern w:val="28"/>
    </w:rPr>
  </w:style>
  <w:style w:type="table" w:customStyle="1" w:styleId="48">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49">
    <w:name w:val="正文文本缩进 2 字符"/>
    <w:basedOn w:val="25"/>
    <w:link w:val="16"/>
    <w:qFormat/>
    <w:uiPriority w:val="0"/>
    <w:rPr>
      <w:kern w:val="2"/>
      <w:sz w:val="21"/>
    </w:rPr>
  </w:style>
  <w:style w:type="paragraph" w:customStyle="1" w:styleId="50">
    <w:name w:val="0000"/>
    <w:basedOn w:val="1"/>
    <w:link w:val="51"/>
    <w:qFormat/>
    <w:uiPriority w:val="0"/>
    <w:pPr>
      <w:snapToGrid w:val="0"/>
      <w:spacing w:line="360" w:lineRule="auto"/>
      <w:ind w:firstLine="480" w:firstLineChars="200"/>
    </w:pPr>
    <w:rPr>
      <w:rFonts w:ascii="Calibri" w:hAnsi="Calibri"/>
      <w:color w:val="000000"/>
      <w:kern w:val="0"/>
      <w:sz w:val="24"/>
      <w:szCs w:val="24"/>
    </w:rPr>
  </w:style>
  <w:style w:type="character" w:customStyle="1" w:styleId="51">
    <w:name w:val="0000 Char"/>
    <w:link w:val="50"/>
    <w:qFormat/>
    <w:locked/>
    <w:uiPriority w:val="0"/>
    <w:rPr>
      <w:rFonts w:ascii="Calibri" w:hAnsi="Calibri"/>
      <w:color w:val="000000"/>
      <w:sz w:val="24"/>
      <w:szCs w:val="24"/>
    </w:rPr>
  </w:style>
  <w:style w:type="character" w:customStyle="1" w:styleId="52">
    <w:name w:val="列表段落 字符"/>
    <w:link w:val="44"/>
    <w:qFormat/>
    <w:locked/>
    <w:uiPriority w:val="34"/>
    <w:rPr>
      <w:kern w:val="2"/>
      <w:sz w:val="21"/>
    </w:rPr>
  </w:style>
  <w:style w:type="paragraph" w:customStyle="1" w:styleId="53">
    <w:name w:val="中南标题2"/>
    <w:basedOn w:val="3"/>
    <w:link w:val="54"/>
    <w:qFormat/>
    <w:uiPriority w:val="0"/>
    <w:pPr>
      <w:tabs>
        <w:tab w:val="left" w:pos="839"/>
      </w:tabs>
      <w:adjustRightInd w:val="0"/>
      <w:spacing w:before="156" w:beforeLines="50" w:after="62" w:afterLines="20" w:line="240" w:lineRule="auto"/>
      <w:jc w:val="left"/>
    </w:pPr>
    <w:rPr>
      <w:rFonts w:ascii="仿宋_GB2312" w:hAnsi="Cambria" w:eastAsia="仿宋_GB2312"/>
      <w:sz w:val="30"/>
      <w:szCs w:val="30"/>
    </w:rPr>
  </w:style>
  <w:style w:type="character" w:customStyle="1" w:styleId="54">
    <w:name w:val="中南标题2 Char"/>
    <w:link w:val="53"/>
    <w:qFormat/>
    <w:uiPriority w:val="0"/>
    <w:rPr>
      <w:rFonts w:ascii="仿宋_GB2312" w:hAnsi="Cambria" w:eastAsia="仿宋_GB2312"/>
      <w:b/>
      <w:bCs/>
      <w:kern w:val="2"/>
      <w:sz w:val="30"/>
      <w:szCs w:val="30"/>
    </w:rPr>
  </w:style>
  <w:style w:type="character" w:customStyle="1" w:styleId="55">
    <w:name w:val="题注 字符"/>
    <w:link w:val="11"/>
    <w:qFormat/>
    <w:uiPriority w:val="0"/>
    <w:rPr>
      <w:rFonts w:ascii="Arial" w:hAnsi="Arial" w:eastAsia="黑体" w:cs="Arial"/>
      <w:kern w:val="2"/>
    </w:rPr>
  </w:style>
  <w:style w:type="character" w:customStyle="1" w:styleId="56">
    <w:name w:val="标题 3 Char"/>
    <w:qFormat/>
    <w:locked/>
    <w:uiPriority w:val="0"/>
    <w:rPr>
      <w:rFonts w:ascii="Calibri" w:hAnsi="Calibri" w:cs="Times New Roman"/>
      <w:b/>
      <w:bCs/>
      <w:kern w:val="2"/>
      <w:sz w:val="32"/>
      <w:szCs w:val="32"/>
    </w:rPr>
  </w:style>
  <w:style w:type="character" w:customStyle="1" w:styleId="57">
    <w:name w:val="副标题 字符"/>
    <w:basedOn w:val="25"/>
    <w:link w:val="20"/>
    <w:qFormat/>
    <w:uiPriority w:val="11"/>
    <w:rPr>
      <w:rFonts w:ascii="宋体" w:hAnsi="宋体" w:cstheme="majorBidi"/>
      <w:b/>
      <w:bCs/>
      <w:kern w:val="28"/>
      <w:sz w:val="30"/>
      <w:szCs w:val="32"/>
    </w:rPr>
  </w:style>
  <w:style w:type="paragraph" w:customStyle="1" w:styleId="58">
    <w:name w:val="_Style 50"/>
    <w:basedOn w:val="1"/>
    <w:next w:val="44"/>
    <w:link w:val="59"/>
    <w:qFormat/>
    <w:uiPriority w:val="34"/>
    <w:pPr>
      <w:ind w:firstLine="420" w:firstLineChars="200"/>
    </w:pPr>
    <w:rPr>
      <w:rFonts w:ascii="Calibri" w:hAnsi="Calibri"/>
      <w:szCs w:val="22"/>
    </w:rPr>
  </w:style>
  <w:style w:type="character" w:customStyle="1" w:styleId="59">
    <w:name w:val="列出段落 Char"/>
    <w:link w:val="58"/>
    <w:qFormat/>
    <w:locked/>
    <w:uiPriority w:val="34"/>
    <w:rPr>
      <w:rFonts w:ascii="Calibri" w:hAnsi="Calibri"/>
      <w:kern w:val="2"/>
      <w:sz w:val="21"/>
      <w:szCs w:val="22"/>
    </w:rPr>
  </w:style>
  <w:style w:type="character" w:customStyle="1" w:styleId="60">
    <w:name w:val="页眉 字符"/>
    <w:basedOn w:val="25"/>
    <w:link w:val="19"/>
    <w:qFormat/>
    <w:uiPriority w:val="0"/>
    <w:rPr>
      <w:kern w:val="2"/>
      <w:sz w:val="18"/>
      <w:szCs w:val="18"/>
    </w:rPr>
  </w:style>
  <w:style w:type="character" w:customStyle="1" w:styleId="61">
    <w:name w:val="正文111 Char"/>
    <w:link w:val="62"/>
    <w:qFormat/>
    <w:uiPriority w:val="0"/>
    <w:rPr>
      <w:rFonts w:ascii="宋体" w:hAnsi="宋体"/>
      <w:kern w:val="2"/>
      <w:sz w:val="24"/>
      <w:szCs w:val="24"/>
    </w:rPr>
  </w:style>
  <w:style w:type="paragraph" w:customStyle="1" w:styleId="62">
    <w:name w:val="正文111"/>
    <w:basedOn w:val="1"/>
    <w:link w:val="61"/>
    <w:qFormat/>
    <w:uiPriority w:val="0"/>
    <w:pPr>
      <w:adjustRightInd w:val="0"/>
      <w:snapToGrid w:val="0"/>
      <w:spacing w:line="360" w:lineRule="auto"/>
      <w:ind w:firstLine="480" w:firstLineChars="200"/>
    </w:pPr>
    <w:rPr>
      <w:rFonts w:ascii="宋体" w:hAnsi="宋体"/>
      <w:sz w:val="24"/>
      <w:szCs w:val="24"/>
    </w:rPr>
  </w:style>
  <w:style w:type="paragraph" w:customStyle="1" w:styleId="63">
    <w:name w:val="表格，表头"/>
    <w:basedOn w:val="1"/>
    <w:next w:val="1"/>
    <w:qFormat/>
    <w:uiPriority w:val="0"/>
    <w:pPr>
      <w:jc w:val="center"/>
    </w:pPr>
    <w:rPr>
      <w:rFonts w:ascii="Helvetica" w:hAnsi="Helvetica" w:eastAsia="仿宋_GB2312" w:cs="Helvetica"/>
      <w:b/>
      <w:spacing w:val="16"/>
      <w:kern w:val="44"/>
      <w:sz w:val="28"/>
      <w:szCs w:val="24"/>
    </w:rPr>
  </w:style>
  <w:style w:type="paragraph" w:customStyle="1" w:styleId="64">
    <w:name w:val="msolistparagraph"/>
    <w:basedOn w:val="1"/>
    <w:qFormat/>
    <w:uiPriority w:val="0"/>
    <w:pPr>
      <w:ind w:firstLine="420" w:firstLineChars="200"/>
    </w:pPr>
    <w:rPr>
      <w:rFonts w:ascii="Calibri" w:hAnsi="Calibri"/>
      <w:szCs w:val="22"/>
    </w:rPr>
  </w:style>
  <w:style w:type="character" w:customStyle="1" w:styleId="65">
    <w:name w:val="日期 字符"/>
    <w:basedOn w:val="25"/>
    <w:link w:val="15"/>
    <w:qFormat/>
    <w:uiPriority w:val="99"/>
    <w:rPr>
      <w:kern w:val="2"/>
      <w:sz w:val="24"/>
    </w:rPr>
  </w:style>
  <w:style w:type="paragraph" w:customStyle="1" w:styleId="66">
    <w:name w:val="样式1"/>
    <w:basedOn w:val="1"/>
    <w:qFormat/>
    <w:uiPriority w:val="0"/>
    <w:pPr>
      <w:spacing w:line="320" w:lineRule="exact"/>
      <w:jc w:val="center"/>
    </w:pPr>
    <w:rPr>
      <w:w w:val="90"/>
      <w:sz w:val="20"/>
      <w:szCs w:val="24"/>
    </w:rPr>
  </w:style>
  <w:style w:type="paragraph" w:customStyle="1" w:styleId="67">
    <w:name w:val="表格-内容"/>
    <w:basedOn w:val="1"/>
    <w:qFormat/>
    <w:uiPriority w:val="0"/>
    <w:pPr>
      <w:jc w:val="center"/>
    </w:pPr>
    <w:rPr>
      <w:szCs w:val="21"/>
    </w:rPr>
  </w:style>
  <w:style w:type="paragraph" w:customStyle="1" w:styleId="68">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69">
    <w:name w:val="文本"/>
    <w:basedOn w:val="1"/>
    <w:qFormat/>
    <w:uiPriority w:val="0"/>
    <w:pPr>
      <w:spacing w:line="520" w:lineRule="exact"/>
      <w:ind w:firstLine="480" w:firstLineChars="200"/>
    </w:pPr>
    <w:rPr>
      <w:rFonts w:ascii="宋体" w:hAnsi="宋体"/>
      <w:sz w:val="24"/>
    </w:rPr>
  </w:style>
  <w:style w:type="paragraph" w:customStyle="1" w:styleId="70">
    <w:name w:val="标准 正文 QJJ"/>
    <w:basedOn w:val="1"/>
    <w:qFormat/>
    <w:uiPriority w:val="0"/>
    <w:pPr>
      <w:spacing w:line="520" w:lineRule="exact"/>
      <w:ind w:firstLine="480" w:firstLineChars="200"/>
    </w:pPr>
    <w:rPr>
      <w:rFonts w:ascii="宋体" w:hAnsi="Arial"/>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2.wmf"/><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C090AB-1059-4CA5-9E85-5B2E282F90AB}">
  <ds:schemaRefs/>
</ds:datastoreItem>
</file>

<file path=docProps/app.xml><?xml version="1.0" encoding="utf-8"?>
<Properties xmlns="http://schemas.openxmlformats.org/officeDocument/2006/extended-properties" xmlns:vt="http://schemas.openxmlformats.org/officeDocument/2006/docPropsVTypes">
  <Template>Normal.dotm</Template>
  <Company>岳阳市规划局</Company>
  <Pages>22</Pages>
  <Words>13375</Words>
  <Characters>14773</Characters>
  <Lines>137</Lines>
  <Paragraphs>38</Paragraphs>
  <TotalTime>14</TotalTime>
  <ScaleCrop>false</ScaleCrop>
  <LinksUpToDate>false</LinksUpToDate>
  <CharactersWithSpaces>14882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2023-10-07T01:33:00Z</dcterms:created>
  <dc:creator>政工科</dc:creator>
  <cp:lastModifiedBy>蒋福垚</cp:lastModifiedBy>
  <cp:lastPrinted>2025-03-07T01:56:00Z</cp:lastPrinted>
  <dcterms:modified xsi:type="dcterms:W3CDTF">2026-04-03T09:43:15Z</dcterms:modified>
  <dc:title>枫桥湖路新建工程初步设计说明书</dc:title>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DD644C96A9F34D3F90A1910D6ADC9CFD_13</vt:lpwstr>
  </property>
  <property fmtid="{D5CDD505-2E9C-101B-9397-08002B2CF9AE}" pid="4" name="KSOTemplateDocerSaveRecord">
    <vt:lpwstr>eyJoZGlkIjoiMDdkYmUwNDI3MzZkYjg1YWZkNjY2NTIyOGQzNzM3MTAiLCJ1c2VySWQiOiIxMTQ1OTU0OTE2In0=</vt:lpwstr>
  </property>
</Properties>
</file>