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DCFF1">
      <w:pPr>
        <w:pStyle w:val="13"/>
        <w:jc w:val="center"/>
        <w:rPr>
          <w:sz w:val="56"/>
          <w:szCs w:val="56"/>
        </w:rPr>
      </w:pPr>
    </w:p>
    <w:p w14:paraId="3BDF5AB8">
      <w:pPr>
        <w:pStyle w:val="13"/>
        <w:jc w:val="center"/>
        <w:rPr>
          <w:sz w:val="56"/>
          <w:szCs w:val="56"/>
        </w:rPr>
      </w:pPr>
    </w:p>
    <w:p w14:paraId="60CA4575">
      <w:pPr>
        <w:pStyle w:val="13"/>
        <w:jc w:val="center"/>
        <w:rPr>
          <w:sz w:val="84"/>
          <w:szCs w:val="84"/>
        </w:rPr>
      </w:pPr>
    </w:p>
    <w:p w14:paraId="215EB31D">
      <w:pPr>
        <w:pStyle w:val="13"/>
        <w:jc w:val="center"/>
        <w:rPr>
          <w:sz w:val="84"/>
          <w:szCs w:val="84"/>
        </w:rPr>
      </w:pPr>
    </w:p>
    <w:p w14:paraId="376C8602">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14:paraId="3A699C16">
      <w:pPr>
        <w:pStyle w:val="13"/>
        <w:jc w:val="center"/>
        <w:rPr>
          <w:rFonts w:hint="eastAsia" w:ascii="方正小标宋_GBK" w:hAnsi="方正小标宋_GBK" w:eastAsia="方正小标宋_GBK" w:cs="方正小标宋_GBK"/>
          <w:sz w:val="56"/>
          <w:szCs w:val="56"/>
        </w:rPr>
      </w:pPr>
      <w:r>
        <w:rPr>
          <w:rFonts w:hint="eastAsia" w:ascii="黑体" w:hAnsi="黑体" w:eastAsia="黑体"/>
          <w:color w:val="auto"/>
          <w:sz w:val="84"/>
          <w:szCs w:val="24"/>
          <w:highlight w:val="white"/>
          <w:lang w:val="zh-CN"/>
        </w:rPr>
        <w:t>岳阳市城乡建设事务中心</w:t>
      </w:r>
      <w:r>
        <w:rPr>
          <w:rFonts w:hint="eastAsia" w:ascii="黑体" w:hAnsi="黑体" w:eastAsia="黑体"/>
          <w:color w:val="000000"/>
          <w:kern w:val="0"/>
          <w:sz w:val="84"/>
          <w:szCs w:val="24"/>
          <w:highlight w:val="white"/>
          <w:lang w:val="en-US"/>
        </w:rPr>
        <w:t>部门决算</w:t>
      </w:r>
    </w:p>
    <w:p w14:paraId="72C8FB58">
      <w:pPr>
        <w:pStyle w:val="13"/>
        <w:jc w:val="center"/>
        <w:rPr>
          <w:sz w:val="56"/>
          <w:szCs w:val="56"/>
        </w:rPr>
      </w:pPr>
    </w:p>
    <w:p w14:paraId="25018D25">
      <w:pPr>
        <w:pStyle w:val="13"/>
        <w:jc w:val="center"/>
        <w:rPr>
          <w:sz w:val="56"/>
          <w:szCs w:val="56"/>
        </w:rPr>
      </w:pPr>
    </w:p>
    <w:p w14:paraId="5EE73A38">
      <w:pPr>
        <w:pStyle w:val="13"/>
        <w:jc w:val="center"/>
        <w:rPr>
          <w:sz w:val="56"/>
          <w:szCs w:val="56"/>
        </w:rPr>
      </w:pPr>
    </w:p>
    <w:p w14:paraId="297571C5">
      <w:pPr>
        <w:pStyle w:val="13"/>
        <w:jc w:val="center"/>
        <w:rPr>
          <w:sz w:val="32"/>
          <w:szCs w:val="32"/>
        </w:rPr>
      </w:pPr>
    </w:p>
    <w:p w14:paraId="08493D1E">
      <w:pPr>
        <w:pStyle w:val="13"/>
        <w:jc w:val="center"/>
        <w:rPr>
          <w:sz w:val="32"/>
          <w:szCs w:val="32"/>
        </w:rPr>
      </w:pPr>
    </w:p>
    <w:p w14:paraId="5BD6E8BD">
      <w:pPr>
        <w:pStyle w:val="13"/>
        <w:jc w:val="center"/>
        <w:rPr>
          <w:sz w:val="32"/>
          <w:szCs w:val="32"/>
        </w:rPr>
      </w:pPr>
    </w:p>
    <w:p w14:paraId="1062A3B4">
      <w:pPr>
        <w:pStyle w:val="13"/>
        <w:jc w:val="center"/>
        <w:rPr>
          <w:sz w:val="32"/>
          <w:szCs w:val="32"/>
        </w:rPr>
      </w:pPr>
    </w:p>
    <w:p w14:paraId="6311DFC7">
      <w:pPr>
        <w:pStyle w:val="13"/>
        <w:jc w:val="center"/>
        <w:rPr>
          <w:sz w:val="32"/>
          <w:szCs w:val="32"/>
        </w:rPr>
      </w:pPr>
    </w:p>
    <w:p w14:paraId="50228290">
      <w:pPr>
        <w:pStyle w:val="13"/>
        <w:spacing w:line="540" w:lineRule="exact"/>
        <w:jc w:val="center"/>
        <w:rPr>
          <w:sz w:val="56"/>
          <w:szCs w:val="56"/>
        </w:rPr>
      </w:pPr>
    </w:p>
    <w:p w14:paraId="459C483D">
      <w:pPr>
        <w:pStyle w:val="13"/>
        <w:spacing w:line="500" w:lineRule="exact"/>
        <w:jc w:val="both"/>
        <w:rPr>
          <w:b/>
          <w:sz w:val="36"/>
          <w:szCs w:val="28"/>
        </w:rPr>
      </w:pPr>
    </w:p>
    <w:p w14:paraId="24F3309B">
      <w:pPr>
        <w:pStyle w:val="13"/>
        <w:spacing w:line="500" w:lineRule="exact"/>
        <w:jc w:val="center"/>
        <w:rPr>
          <w:b/>
          <w:sz w:val="36"/>
          <w:szCs w:val="28"/>
        </w:rPr>
      </w:pPr>
      <w:r>
        <w:rPr>
          <w:rFonts w:hint="eastAsia"/>
          <w:b/>
          <w:sz w:val="36"/>
          <w:szCs w:val="28"/>
        </w:rPr>
        <w:t>目录</w:t>
      </w:r>
    </w:p>
    <w:p w14:paraId="6CBD0C22">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b/>
          <w:color w:val="auto"/>
          <w:sz w:val="28"/>
          <w:szCs w:val="24"/>
          <w:highlight w:val="white"/>
          <w:lang w:val="zh-CN"/>
        </w:rPr>
        <w:t>岳阳市城乡建设事务中心</w:t>
      </w:r>
      <w:r>
        <w:rPr>
          <w:rFonts w:hint="eastAsia" w:ascii="黑体" w:hAnsi="黑体" w:eastAsia="黑体" w:cs="黑体"/>
          <w:b w:val="0"/>
          <w:bCs/>
          <w:sz w:val="28"/>
          <w:szCs w:val="28"/>
        </w:rPr>
        <w:t>概况</w:t>
      </w:r>
    </w:p>
    <w:p w14:paraId="060CB1DC">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315E49DA">
      <w:pPr>
        <w:pStyle w:val="13"/>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3CE431DD">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4B1DE222">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28DAEA9B">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4189E141">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0621647E">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28E0B171">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0A1DA969">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62E9A333">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316661B6">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3827588">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69B4707F">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30D2819C">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2F99AFEC">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69796A8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42F5763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4551B6B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0BC2CE3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11D8554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5F6B554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14:paraId="71D9102A">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371B64F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1624E73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6C86A3E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5E15A64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5BD7D26C">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14:paraId="51852483">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7D866A9C">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2E7F14A9">
      <w:pPr>
        <w:pStyle w:val="13"/>
        <w:jc w:val="center"/>
        <w:rPr>
          <w:rFonts w:hint="eastAsia" w:ascii="方正小标宋_GBK" w:hAnsi="方正小标宋_GBK" w:eastAsia="方正小标宋_GBK" w:cs="方正小标宋_GBK"/>
          <w:sz w:val="84"/>
          <w:szCs w:val="84"/>
        </w:rPr>
      </w:pPr>
    </w:p>
    <w:p w14:paraId="1095DEAB">
      <w:pPr>
        <w:pStyle w:val="13"/>
        <w:jc w:val="center"/>
        <w:rPr>
          <w:rFonts w:hint="eastAsia" w:ascii="方正小标宋_GBK" w:hAnsi="方正小标宋_GBK" w:eastAsia="方正小标宋_GBK" w:cs="方正小标宋_GBK"/>
          <w:sz w:val="84"/>
          <w:szCs w:val="84"/>
        </w:rPr>
      </w:pPr>
    </w:p>
    <w:p w14:paraId="0DEEC249">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5C6A94F8">
      <w:pPr>
        <w:pStyle w:val="13"/>
        <w:jc w:val="center"/>
        <w:rPr>
          <w:rFonts w:hint="eastAsia" w:ascii="方正小标宋_GBK" w:hAnsi="方正小标宋_GBK" w:eastAsia="方正小标宋_GBK" w:cs="方正小标宋_GBK"/>
          <w:sz w:val="84"/>
          <w:szCs w:val="84"/>
        </w:rPr>
      </w:pPr>
    </w:p>
    <w:p w14:paraId="5F1AA948">
      <w:pPr>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lang w:val="en-US" w:eastAsia="zh-CN"/>
        </w:rPr>
        <w:t>岳阳市城乡建设事务中心</w:t>
      </w:r>
      <w:r>
        <w:rPr>
          <w:rFonts w:hint="eastAsia" w:ascii="方正小标宋_GBK" w:hAnsi="方正小标宋_GBK" w:eastAsia="方正小标宋_GBK" w:cs="方正小标宋_GBK"/>
          <w:color w:val="auto"/>
          <w:sz w:val="84"/>
          <w:szCs w:val="84"/>
        </w:rPr>
        <w:t>概况</w:t>
      </w:r>
    </w:p>
    <w:p w14:paraId="6D6C72A7">
      <w:pPr>
        <w:jc w:val="center"/>
        <w:rPr>
          <w:rFonts w:hint="eastAsia" w:ascii="方正小标宋_GBK" w:hAnsi="方正小标宋_GBK" w:eastAsia="方正小标宋_GBK" w:cs="方正小标宋_GBK"/>
          <w:sz w:val="84"/>
          <w:szCs w:val="84"/>
        </w:rPr>
      </w:pPr>
    </w:p>
    <w:p w14:paraId="77A0C778">
      <w:pPr>
        <w:pStyle w:val="8"/>
        <w:rPr>
          <w:rFonts w:hint="eastAsia" w:ascii="方正小标宋_GBK" w:hAnsi="方正小标宋_GBK" w:eastAsia="方正小标宋_GBK" w:cs="方正小标宋_GBK"/>
          <w:sz w:val="84"/>
          <w:szCs w:val="84"/>
        </w:rPr>
      </w:pPr>
    </w:p>
    <w:p w14:paraId="397AC3FB">
      <w:pPr>
        <w:pStyle w:val="4"/>
        <w:rPr>
          <w:rFonts w:hint="eastAsia" w:ascii="方正小标宋_GBK" w:hAnsi="方正小标宋_GBK" w:eastAsia="方正小标宋_GBK" w:cs="方正小标宋_GBK"/>
          <w:sz w:val="84"/>
          <w:szCs w:val="84"/>
        </w:rPr>
      </w:pPr>
    </w:p>
    <w:p w14:paraId="13F2C40A">
      <w:pPr>
        <w:rPr>
          <w:rFonts w:hint="eastAsia" w:ascii="方正小标宋_GBK" w:hAnsi="方正小标宋_GBK" w:eastAsia="方正小标宋_GBK" w:cs="方正小标宋_GBK"/>
          <w:sz w:val="84"/>
          <w:szCs w:val="84"/>
        </w:rPr>
      </w:pPr>
    </w:p>
    <w:p w14:paraId="128B0AE2">
      <w:pPr>
        <w:pStyle w:val="8"/>
        <w:rPr>
          <w:rFonts w:hint="eastAsia" w:ascii="方正小标宋_GBK" w:hAnsi="方正小标宋_GBK" w:eastAsia="方正小标宋_GBK" w:cs="方正小标宋_GBK"/>
          <w:sz w:val="84"/>
          <w:szCs w:val="84"/>
        </w:rPr>
      </w:pPr>
    </w:p>
    <w:p w14:paraId="1469560B">
      <w:pPr>
        <w:pStyle w:val="4"/>
        <w:rPr>
          <w:rFonts w:hint="eastAsia" w:ascii="方正小标宋_GBK" w:hAnsi="方正小标宋_GBK" w:eastAsia="方正小标宋_GBK" w:cs="方正小标宋_GBK"/>
          <w:sz w:val="84"/>
          <w:szCs w:val="84"/>
        </w:rPr>
      </w:pPr>
    </w:p>
    <w:p w14:paraId="55E857AF">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62B9A67C">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一)为机关提供支持保障的职能</w:t>
      </w:r>
    </w:p>
    <w:p w14:paraId="48DF858C">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1.参与拟订城乡建设事务相关的行政规章、地方性法规、规章和规范性文件相关事务性工作。</w:t>
      </w:r>
    </w:p>
    <w:p w14:paraId="2DAE8056">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2.负责市本级财政投资由市住房和城乡建设局实施的 城建项目设计、报建报批、投资管理、质量安全、竣工验收、资产移交的行政辅助工作。</w:t>
      </w:r>
    </w:p>
    <w:p w14:paraId="691FC05D">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3.负责建筑业企业、工程监理企业、质量检测企业、勘察设计企业、招标代理企业等机构的资质及执业人员管理的行政辅助工作；参与相关违法行为的调查工作。</w:t>
      </w:r>
    </w:p>
    <w:p w14:paraId="2F5A4221">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4.负责拟订中心城区(包括城陵矶新港区，下同)城建项 目计划；负责城建计划项目实施情况的调查统计、协调联络、督查考评的行政辅助工作。</w:t>
      </w:r>
    </w:p>
    <w:p w14:paraId="393CD7A2">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5.负责城市总体规划范围内城市道路、桥梁、地下管线、地下空间及房屋建筑工程等项目库的建设、维护和管理；负责城建项目储备、前期可行性研究、论证和专项课题研究工作。</w:t>
      </w:r>
    </w:p>
    <w:p w14:paraId="2A98CB95">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6.负责历史文化名城、名镇、名村、历史建筑和传统村落(民居)的申报、修缮和监督管理的行政辅助和技术支撑工作。</w:t>
      </w:r>
    </w:p>
    <w:p w14:paraId="2DB30A9A">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7.负责国有土地房屋征收项目评估报告备案、成本概算 决算审核、还建房屋资金以及房屋征收项目监管的行政辅助工作。</w:t>
      </w:r>
    </w:p>
    <w:p w14:paraId="54A59500">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8.负责建筑工程造价监督指导管理的行政辅助和技术支撑工作。</w:t>
      </w:r>
    </w:p>
    <w:p w14:paraId="2B67703F">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9.负责建筑行业职业培训监督管理和建筑施工企业安管人员、建筑施工特种作业人员考核的行政辅助工作。</w:t>
      </w:r>
    </w:p>
    <w:p w14:paraId="1F1FF33E">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10.负责海绵城市规划建设和管理的技术支撑工作。</w:t>
      </w:r>
    </w:p>
    <w:p w14:paraId="5D6F1D74">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11.负责市本级政府投资的房屋建筑和市政基础设施建设工程项目招投标监督管理的行政辅助工作。</w:t>
      </w:r>
    </w:p>
    <w:p w14:paraId="33499695">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(二)面向社会提供公益服务的职能</w:t>
      </w:r>
    </w:p>
    <w:p w14:paraId="522EFD6E">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 负责国有土地房屋征收补偿项目具体实施的事务性工作。</w:t>
      </w:r>
    </w:p>
    <w:p w14:paraId="06F7AC41">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2.负责发布建设工程造价信息，计价依据咨询和纠纷调 解的事务性工作；负责建设工程发承包计价行为、合同履约、咨询市场、工程造价数据、招标控制价和竣工结算备案等监督管理的事务性工作。</w:t>
      </w:r>
    </w:p>
    <w:p w14:paraId="2441D337">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3.负责住房和城乡建设领域施工现场专业人员、建筑工人职业培训以及岗位资格继续教育的事务性工作。</w:t>
      </w:r>
    </w:p>
    <w:p w14:paraId="7A1911E3">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 负责国有土地房屋征收、勘察设计企业、招标代理企业等机构信用评价的事务性工作。</w:t>
      </w:r>
    </w:p>
    <w:p w14:paraId="69CF7CF2">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宋体" w:hAnsi="宋体"/>
          <w:i/>
          <w:iCs/>
          <w:color w:val="auto"/>
          <w:sz w:val="32"/>
          <w:szCs w:val="24"/>
          <w:highlight w:val="white"/>
        </w:rPr>
      </w:pPr>
      <w:r>
        <w:rPr>
          <w:rFonts w:hint="eastAsia" w:ascii="仿宋_GB2312" w:hAnsi="仿宋_GB2312" w:eastAsia="仿宋_GB2312" w:cs="仿宋_GB2312"/>
          <w:color w:val="auto"/>
          <w:sz w:val="32"/>
          <w:szCs w:val="32"/>
        </w:rPr>
        <w:t>(三)完成市住房和城乡建设局交办的其它任务。</w:t>
      </w:r>
    </w:p>
    <w:p w14:paraId="585FEDF0">
      <w:pPr>
        <w:keepNext w:val="0"/>
        <w:keepLines w:val="0"/>
        <w:pageBreakBefore w:val="0"/>
        <w:widowControl/>
        <w:kinsoku/>
        <w:wordWrap/>
        <w:overflowPunct/>
        <w:topLinePunct w:val="0"/>
        <w:autoSpaceDE/>
        <w:autoSpaceDN/>
        <w:bidi w:val="0"/>
        <w:spacing w:line="560" w:lineRule="exact"/>
        <w:ind w:left="0" w:right="0" w:firstLine="640" w:firstLineChars="200"/>
        <w:jc w:val="both"/>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二、机构设置及决算单位构成</w:t>
      </w:r>
    </w:p>
    <w:p w14:paraId="1A759B57">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（一）内设机构设置。</w:t>
      </w:r>
      <w:r>
        <w:rPr>
          <w:rFonts w:hint="eastAsia" w:ascii="仿宋_GB2312" w:hAnsi="仿宋_GB2312" w:eastAsia="仿宋_GB2312" w:cs="仿宋_GB2312"/>
          <w:bCs/>
          <w:color w:val="auto"/>
          <w:kern w:val="0"/>
          <w:sz w:val="32"/>
          <w:szCs w:val="32"/>
          <w:lang w:val="en-US" w:eastAsia="zh-CN"/>
        </w:rPr>
        <w:t>岳阳市城乡建设事务中心</w:t>
      </w:r>
      <w:r>
        <w:rPr>
          <w:rFonts w:hint="eastAsia" w:ascii="仿宋_GB2312" w:hAnsi="仿宋_GB2312" w:eastAsia="仿宋_GB2312" w:cs="仿宋_GB2312"/>
          <w:bCs/>
          <w:color w:val="auto"/>
          <w:kern w:val="0"/>
          <w:sz w:val="32"/>
          <w:szCs w:val="32"/>
        </w:rPr>
        <w:t>内设机构包括：</w:t>
      </w:r>
    </w:p>
    <w:p w14:paraId="02BB641C">
      <w:pPr>
        <w:keepNext w:val="0"/>
        <w:keepLines w:val="0"/>
        <w:pageBreakBefore w:val="0"/>
        <w:kinsoku/>
        <w:wordWrap/>
        <w:overflowPunct/>
        <w:topLinePunct w:val="0"/>
        <w:autoSpaceDE/>
        <w:autoSpaceDN/>
        <w:bidi w:val="0"/>
        <w:spacing w:line="560" w:lineRule="exact"/>
        <w:ind w:left="0" w:right="0" w:firstLine="688"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2"/>
          <w:sz w:val="32"/>
          <w:szCs w:val="32"/>
        </w:rPr>
        <w:t>(</w:t>
      </w:r>
      <w:r>
        <w:rPr>
          <w:rFonts w:hint="eastAsia" w:ascii="仿宋_GB2312" w:hAnsi="仿宋_GB2312" w:eastAsia="仿宋_GB2312" w:cs="仿宋_GB2312"/>
          <w:color w:val="auto"/>
          <w:spacing w:val="12"/>
          <w:sz w:val="32"/>
          <w:szCs w:val="32"/>
          <w:lang w:val="en-US" w:eastAsia="zh-CN"/>
        </w:rPr>
        <w:t>1</w:t>
      </w:r>
      <w:r>
        <w:rPr>
          <w:rFonts w:hint="eastAsia" w:ascii="仿宋_GB2312" w:hAnsi="仿宋_GB2312" w:eastAsia="仿宋_GB2312" w:cs="仿宋_GB2312"/>
          <w:color w:val="auto"/>
          <w:spacing w:val="12"/>
          <w:sz w:val="32"/>
          <w:szCs w:val="32"/>
        </w:rPr>
        <w:t>)综合部。负责中心日常运转，承担文电、会务、</w:t>
      </w:r>
      <w:r>
        <w:rPr>
          <w:rFonts w:hint="eastAsia" w:ascii="仿宋_GB2312" w:hAnsi="仿宋_GB2312" w:eastAsia="仿宋_GB2312" w:cs="仿宋_GB2312"/>
          <w:color w:val="auto"/>
          <w:spacing w:val="5"/>
          <w:sz w:val="32"/>
          <w:szCs w:val="32"/>
        </w:rPr>
        <w:t>安全、保密、人事、宣传、信访、档案、政务公开管理等工</w:t>
      </w:r>
      <w:r>
        <w:rPr>
          <w:rFonts w:hint="eastAsia" w:ascii="仿宋_GB2312" w:hAnsi="仿宋_GB2312" w:eastAsia="仿宋_GB2312" w:cs="仿宋_GB2312"/>
          <w:color w:val="auto"/>
          <w:spacing w:val="-17"/>
          <w:sz w:val="32"/>
          <w:szCs w:val="32"/>
        </w:rPr>
        <w:t>作。</w:t>
      </w:r>
    </w:p>
    <w:p w14:paraId="5E1C536C">
      <w:pPr>
        <w:keepNext w:val="0"/>
        <w:keepLines w:val="0"/>
        <w:pageBreakBefore w:val="0"/>
        <w:kinsoku/>
        <w:wordWrap/>
        <w:overflowPunct/>
        <w:topLinePunct w:val="0"/>
        <w:autoSpaceDE/>
        <w:autoSpaceDN/>
        <w:bidi w:val="0"/>
        <w:spacing w:line="560" w:lineRule="exact"/>
        <w:ind w:left="0" w:right="0" w:firstLine="656" w:firstLineChars="200"/>
        <w:jc w:val="both"/>
        <w:textAlignment w:val="auto"/>
        <w:rPr>
          <w:rFonts w:hint="eastAsia" w:ascii="仿宋_GB2312" w:hAnsi="仿宋_GB2312" w:eastAsia="仿宋_GB2312" w:cs="仿宋_GB2312"/>
          <w:color w:val="auto"/>
          <w:spacing w:val="1"/>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2</w:t>
      </w:r>
      <w:r>
        <w:rPr>
          <w:rFonts w:hint="eastAsia" w:ascii="仿宋_GB2312" w:hAnsi="仿宋_GB2312" w:eastAsia="仿宋_GB2312" w:cs="仿宋_GB2312"/>
          <w:color w:val="auto"/>
          <w:spacing w:val="4"/>
          <w:sz w:val="32"/>
          <w:szCs w:val="32"/>
        </w:rPr>
        <w:t>)建设事务部。承担建筑业、工程监理、质量检测</w:t>
      </w:r>
      <w:r>
        <w:rPr>
          <w:rFonts w:hint="eastAsia" w:ascii="仿宋_GB2312" w:hAnsi="仿宋_GB2312" w:eastAsia="仿宋_GB2312" w:cs="仿宋_GB2312"/>
          <w:color w:val="auto"/>
          <w:spacing w:val="3"/>
          <w:sz w:val="32"/>
          <w:szCs w:val="32"/>
        </w:rPr>
        <w:t>、</w:t>
      </w:r>
      <w:r>
        <w:rPr>
          <w:rFonts w:hint="eastAsia" w:ascii="仿宋_GB2312" w:hAnsi="仿宋_GB2312" w:eastAsia="仿宋_GB2312" w:cs="仿宋_GB2312"/>
          <w:color w:val="auto"/>
          <w:spacing w:val="4"/>
          <w:sz w:val="32"/>
          <w:szCs w:val="32"/>
        </w:rPr>
        <w:t>勘察设计、招标代理企业等机构的资质及执业人员管理的行</w:t>
      </w:r>
      <w:r>
        <w:rPr>
          <w:rFonts w:hint="eastAsia" w:ascii="仿宋_GB2312" w:hAnsi="仿宋_GB2312" w:eastAsia="仿宋_GB2312" w:cs="仿宋_GB2312"/>
          <w:color w:val="auto"/>
          <w:spacing w:val="5"/>
          <w:sz w:val="32"/>
          <w:szCs w:val="32"/>
        </w:rPr>
        <w:t>政辅助工作；承担招标代理市场的管理、标后稽查以及建筑</w:t>
      </w:r>
      <w:r>
        <w:rPr>
          <w:rFonts w:hint="eastAsia" w:ascii="仿宋_GB2312" w:hAnsi="仿宋_GB2312" w:eastAsia="仿宋_GB2312" w:cs="仿宋_GB2312"/>
          <w:color w:val="auto"/>
          <w:spacing w:val="4"/>
          <w:sz w:val="32"/>
          <w:szCs w:val="32"/>
        </w:rPr>
        <w:t>市场专项整治的行政辅助工作；承担住房和城乡建设工程技</w:t>
      </w:r>
      <w:r>
        <w:rPr>
          <w:rFonts w:hint="eastAsia" w:ascii="仿宋_GB2312" w:hAnsi="仿宋_GB2312" w:eastAsia="仿宋_GB2312" w:cs="仿宋_GB2312"/>
          <w:color w:val="auto"/>
          <w:spacing w:val="5"/>
          <w:sz w:val="32"/>
          <w:szCs w:val="32"/>
        </w:rPr>
        <w:t>术管理、城市雕塑和无障碍及人性化设施工程建设活动的事务性工作；承担建筑工程勘察设计市场服务工作，组织实施</w:t>
      </w:r>
      <w:r>
        <w:rPr>
          <w:rFonts w:hint="eastAsia" w:ascii="仿宋_GB2312" w:hAnsi="仿宋_GB2312" w:eastAsia="仿宋_GB2312" w:cs="仿宋_GB2312"/>
          <w:color w:val="auto"/>
          <w:spacing w:val="4"/>
          <w:sz w:val="32"/>
          <w:szCs w:val="32"/>
        </w:rPr>
        <w:t>工程勘察外业见证、勘察设计行业统计工作；承担历史文化</w:t>
      </w:r>
      <w:r>
        <w:rPr>
          <w:rFonts w:hint="eastAsia" w:ascii="仿宋_GB2312" w:hAnsi="仿宋_GB2312" w:eastAsia="仿宋_GB2312" w:cs="仿宋_GB2312"/>
          <w:color w:val="auto"/>
          <w:spacing w:val="5"/>
          <w:sz w:val="32"/>
          <w:szCs w:val="32"/>
        </w:rPr>
        <w:t>名城、名镇、名村、历史建筑和传统村落申报、修缮的事务性工作；承担村镇建设有关事务性工作；参与业务范围内行</w:t>
      </w:r>
      <w:r>
        <w:rPr>
          <w:rFonts w:hint="eastAsia" w:ascii="仿宋_GB2312" w:hAnsi="仿宋_GB2312" w:eastAsia="仿宋_GB2312" w:cs="仿宋_GB2312"/>
          <w:color w:val="auto"/>
          <w:spacing w:val="1"/>
          <w:sz w:val="32"/>
          <w:szCs w:val="32"/>
        </w:rPr>
        <w:t>政处罚案件的调查取证工作。</w:t>
      </w:r>
    </w:p>
    <w:p w14:paraId="2926436B">
      <w:pPr>
        <w:keepNext w:val="0"/>
        <w:keepLines w:val="0"/>
        <w:pageBreakBefore w:val="0"/>
        <w:kinsoku/>
        <w:wordWrap/>
        <w:overflowPunct/>
        <w:topLinePunct w:val="0"/>
        <w:autoSpaceDE/>
        <w:autoSpaceDN/>
        <w:bidi w:val="0"/>
        <w:spacing w:line="560" w:lineRule="exact"/>
        <w:ind w:left="0" w:right="0" w:firstLine="69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3"/>
          <w:sz w:val="32"/>
          <w:szCs w:val="32"/>
        </w:rPr>
        <w:t>(</w:t>
      </w:r>
      <w:r>
        <w:rPr>
          <w:rFonts w:hint="eastAsia" w:ascii="仿宋_GB2312" w:hAnsi="仿宋_GB2312" w:eastAsia="仿宋_GB2312" w:cs="仿宋_GB2312"/>
          <w:color w:val="auto"/>
          <w:spacing w:val="13"/>
          <w:sz w:val="32"/>
          <w:szCs w:val="32"/>
          <w:lang w:val="en-US" w:eastAsia="zh-CN"/>
        </w:rPr>
        <w:t>3</w:t>
      </w:r>
      <w:r>
        <w:rPr>
          <w:rFonts w:hint="eastAsia" w:ascii="仿宋_GB2312" w:hAnsi="仿宋_GB2312" w:eastAsia="仿宋_GB2312" w:cs="仿宋_GB2312"/>
          <w:color w:val="auto"/>
          <w:spacing w:val="13"/>
          <w:sz w:val="32"/>
          <w:szCs w:val="32"/>
        </w:rPr>
        <w:t>)信息档案服务部。承担市城乡建设事务中心信息</w:t>
      </w:r>
      <w:r>
        <w:rPr>
          <w:rFonts w:hint="eastAsia" w:ascii="仿宋_GB2312" w:hAnsi="仿宋_GB2312" w:eastAsia="仿宋_GB2312" w:cs="仿宋_GB2312"/>
          <w:color w:val="auto"/>
          <w:spacing w:val="5"/>
          <w:sz w:val="32"/>
          <w:szCs w:val="32"/>
        </w:rPr>
        <w:t>化建设工作；承担国有土地房屋征收、勘察设计企业、招标代理企业等机构信用评价的事务性工作；承担城乡建设事务</w:t>
      </w:r>
      <w:r>
        <w:rPr>
          <w:rFonts w:hint="eastAsia" w:ascii="仿宋_GB2312" w:hAnsi="仿宋_GB2312" w:eastAsia="仿宋_GB2312" w:cs="仿宋_GB2312"/>
          <w:color w:val="auto"/>
          <w:spacing w:val="-2"/>
          <w:sz w:val="32"/>
          <w:szCs w:val="32"/>
        </w:rPr>
        <w:t>的数据统计分析、发布和报送等事务性工作；</w:t>
      </w:r>
      <w:r>
        <w:rPr>
          <w:rFonts w:hint="eastAsia" w:ascii="仿宋_GB2312" w:hAnsi="仿宋_GB2312" w:eastAsia="仿宋_GB2312" w:cs="仿宋_GB2312"/>
          <w:color w:val="auto"/>
          <w:spacing w:val="-3"/>
          <w:sz w:val="32"/>
          <w:szCs w:val="32"/>
        </w:rPr>
        <w:t>承担城建项目、</w:t>
      </w:r>
      <w:r>
        <w:rPr>
          <w:rFonts w:hint="eastAsia" w:ascii="仿宋_GB2312" w:hAnsi="仿宋_GB2312" w:eastAsia="仿宋_GB2312" w:cs="仿宋_GB2312"/>
          <w:color w:val="auto"/>
          <w:spacing w:val="6"/>
          <w:sz w:val="32"/>
          <w:szCs w:val="32"/>
        </w:rPr>
        <w:t>房屋征收、工程造价、城市科学研究、职业培训等档案的归</w:t>
      </w:r>
      <w:r>
        <w:rPr>
          <w:rFonts w:hint="eastAsia" w:ascii="仿宋_GB2312" w:hAnsi="仿宋_GB2312" w:eastAsia="仿宋_GB2312" w:cs="仿宋_GB2312"/>
          <w:color w:val="auto"/>
          <w:spacing w:val="5"/>
          <w:sz w:val="32"/>
          <w:szCs w:val="32"/>
        </w:rPr>
        <w:t>档和利用工作；协助做好建筑行业发展研究工作。</w:t>
      </w:r>
    </w:p>
    <w:p w14:paraId="63425F72">
      <w:pPr>
        <w:keepNext w:val="0"/>
        <w:keepLines w:val="0"/>
        <w:pageBreakBefore w:val="0"/>
        <w:kinsoku/>
        <w:wordWrap/>
        <w:overflowPunct/>
        <w:topLinePunct w:val="0"/>
        <w:autoSpaceDE/>
        <w:autoSpaceDN/>
        <w:bidi w:val="0"/>
        <w:spacing w:line="560" w:lineRule="exact"/>
        <w:ind w:left="0" w:right="0" w:firstLine="684"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1"/>
          <w:sz w:val="32"/>
          <w:szCs w:val="32"/>
        </w:rPr>
        <w:t>(</w:t>
      </w:r>
      <w:r>
        <w:rPr>
          <w:rFonts w:hint="eastAsia" w:ascii="仿宋_GB2312" w:hAnsi="仿宋_GB2312" w:eastAsia="仿宋_GB2312" w:cs="仿宋_GB2312"/>
          <w:color w:val="auto"/>
          <w:spacing w:val="11"/>
          <w:sz w:val="32"/>
          <w:szCs w:val="32"/>
          <w:lang w:val="en-US" w:eastAsia="zh-CN"/>
        </w:rPr>
        <w:t>4</w:t>
      </w:r>
      <w:r>
        <w:rPr>
          <w:rFonts w:hint="eastAsia" w:ascii="仿宋_GB2312" w:hAnsi="仿宋_GB2312" w:eastAsia="仿宋_GB2312" w:cs="仿宋_GB2312"/>
          <w:color w:val="auto"/>
          <w:spacing w:val="11"/>
          <w:sz w:val="32"/>
          <w:szCs w:val="32"/>
        </w:rPr>
        <w:t>)项目事务部。参与拟订中心城区城建项</w:t>
      </w:r>
      <w:r>
        <w:rPr>
          <w:rFonts w:hint="eastAsia" w:ascii="仿宋_GB2312" w:hAnsi="仿宋_GB2312" w:eastAsia="仿宋_GB2312" w:cs="仿宋_GB2312"/>
          <w:color w:val="auto"/>
          <w:spacing w:val="10"/>
          <w:sz w:val="32"/>
          <w:szCs w:val="32"/>
        </w:rPr>
        <w:t>目计划；</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pacing w:val="5"/>
          <w:sz w:val="32"/>
          <w:szCs w:val="32"/>
        </w:rPr>
        <w:t>承担建设、维护和管理城建项目库，收集、汇总、更新全市</w:t>
      </w:r>
      <w:r>
        <w:rPr>
          <w:rFonts w:hint="eastAsia" w:ascii="仿宋_GB2312" w:hAnsi="仿宋_GB2312" w:eastAsia="仿宋_GB2312" w:cs="仿宋_GB2312"/>
          <w:color w:val="auto"/>
          <w:spacing w:val="4"/>
          <w:sz w:val="32"/>
          <w:szCs w:val="32"/>
        </w:rPr>
        <w:t>总体规划范围内城市道路、桥梁、地下管线、地下空间及房</w:t>
      </w:r>
      <w:r>
        <w:rPr>
          <w:rFonts w:hint="eastAsia" w:ascii="仿宋_GB2312" w:hAnsi="仿宋_GB2312" w:eastAsia="仿宋_GB2312" w:cs="仿宋_GB2312"/>
          <w:color w:val="auto"/>
          <w:spacing w:val="5"/>
          <w:sz w:val="32"/>
          <w:szCs w:val="32"/>
        </w:rPr>
        <w:t>屋建筑工程等城市建设基础数据的事务性工作；组织开展市</w:t>
      </w:r>
      <w:r>
        <w:rPr>
          <w:rFonts w:hint="eastAsia" w:ascii="仿宋_GB2312" w:hAnsi="仿宋_GB2312" w:eastAsia="仿宋_GB2312" w:cs="仿宋_GB2312"/>
          <w:color w:val="auto"/>
          <w:spacing w:val="6"/>
          <w:sz w:val="32"/>
          <w:szCs w:val="32"/>
        </w:rPr>
        <w:t>本级城建项目与市政基础设施建设项目前期可</w:t>
      </w:r>
      <w:r>
        <w:rPr>
          <w:rFonts w:hint="eastAsia" w:ascii="仿宋_GB2312" w:hAnsi="仿宋_GB2312" w:eastAsia="仿宋_GB2312" w:cs="仿宋_GB2312"/>
          <w:color w:val="auto"/>
          <w:spacing w:val="5"/>
          <w:sz w:val="32"/>
          <w:szCs w:val="32"/>
        </w:rPr>
        <w:t>行性研究，承</w:t>
      </w:r>
      <w:r>
        <w:rPr>
          <w:rFonts w:hint="eastAsia" w:ascii="仿宋_GB2312" w:hAnsi="仿宋_GB2312" w:eastAsia="仿宋_GB2312" w:cs="仿宋_GB2312"/>
          <w:color w:val="auto"/>
          <w:spacing w:val="4"/>
          <w:sz w:val="32"/>
          <w:szCs w:val="32"/>
        </w:rPr>
        <w:t>担项目方案设计、设计方案评审、设计优化、技术经济方案</w:t>
      </w:r>
      <w:r>
        <w:rPr>
          <w:rFonts w:hint="eastAsia" w:ascii="仿宋_GB2312" w:hAnsi="仿宋_GB2312" w:eastAsia="仿宋_GB2312" w:cs="仿宋_GB2312"/>
          <w:color w:val="auto"/>
          <w:spacing w:val="5"/>
          <w:sz w:val="32"/>
          <w:szCs w:val="32"/>
        </w:rPr>
        <w:t>优化比选的事务性工作；组织开展大城市科学建设相关专业性课题研究，利用大数据进行战略性研究分析工作；参与城建计划项目实施情况的绩效考评，全程跟踪、调研掌握全市</w:t>
      </w:r>
      <w:r>
        <w:rPr>
          <w:rFonts w:hint="eastAsia" w:ascii="仿宋_GB2312" w:hAnsi="仿宋_GB2312" w:eastAsia="仿宋_GB2312" w:cs="仿宋_GB2312"/>
          <w:color w:val="auto"/>
          <w:spacing w:val="4"/>
          <w:sz w:val="32"/>
          <w:szCs w:val="32"/>
        </w:rPr>
        <w:t>城建计划项目实施进度与目标任务完成情况的事</w:t>
      </w:r>
      <w:r>
        <w:rPr>
          <w:rFonts w:hint="eastAsia" w:ascii="仿宋_GB2312" w:hAnsi="仿宋_GB2312" w:eastAsia="仿宋_GB2312" w:cs="仿宋_GB2312"/>
          <w:color w:val="auto"/>
          <w:spacing w:val="3"/>
          <w:sz w:val="32"/>
          <w:szCs w:val="32"/>
        </w:rPr>
        <w:t>务性工作。</w:t>
      </w:r>
    </w:p>
    <w:p w14:paraId="27E8A118">
      <w:pPr>
        <w:keepNext w:val="0"/>
        <w:keepLines w:val="0"/>
        <w:pageBreakBefore w:val="0"/>
        <w:kinsoku/>
        <w:wordWrap/>
        <w:overflowPunct/>
        <w:topLinePunct w:val="0"/>
        <w:autoSpaceDE/>
        <w:autoSpaceDN/>
        <w:bidi w:val="0"/>
        <w:spacing w:line="560" w:lineRule="exact"/>
        <w:ind w:left="0" w:right="0" w:firstLine="656"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5</w:t>
      </w:r>
      <w:r>
        <w:rPr>
          <w:rFonts w:hint="eastAsia" w:ascii="仿宋_GB2312" w:hAnsi="仿宋_GB2312" w:eastAsia="仿宋_GB2312" w:cs="仿宋_GB2312"/>
          <w:color w:val="auto"/>
          <w:spacing w:val="4"/>
          <w:sz w:val="32"/>
          <w:szCs w:val="32"/>
        </w:rPr>
        <w:t>)培训考核服务部。承担建筑施工企业主要负责人</w:t>
      </w:r>
      <w:r>
        <w:rPr>
          <w:rFonts w:hint="eastAsia" w:ascii="仿宋_GB2312" w:hAnsi="仿宋_GB2312" w:eastAsia="仿宋_GB2312" w:cs="仿宋_GB2312"/>
          <w:color w:val="auto"/>
          <w:spacing w:val="3"/>
          <w:sz w:val="32"/>
          <w:szCs w:val="32"/>
        </w:rPr>
        <w:t>、</w:t>
      </w:r>
      <w:r>
        <w:rPr>
          <w:rFonts w:hint="eastAsia" w:ascii="仿宋_GB2312" w:hAnsi="仿宋_GB2312" w:eastAsia="仿宋_GB2312" w:cs="仿宋_GB2312"/>
          <w:color w:val="auto"/>
          <w:spacing w:val="4"/>
          <w:sz w:val="32"/>
          <w:szCs w:val="32"/>
        </w:rPr>
        <w:t>项目负责人和专职安全生产管理人员、特种作业人员的考核</w:t>
      </w:r>
      <w:r>
        <w:rPr>
          <w:rFonts w:hint="eastAsia" w:ascii="仿宋_GB2312" w:hAnsi="仿宋_GB2312" w:eastAsia="仿宋_GB2312" w:cs="仿宋_GB2312"/>
          <w:color w:val="auto"/>
          <w:spacing w:val="6"/>
          <w:sz w:val="32"/>
          <w:szCs w:val="32"/>
        </w:rPr>
        <w:t>服务工作；承担住房和城乡建设领域施工现场专业</w:t>
      </w:r>
      <w:r>
        <w:rPr>
          <w:rFonts w:hint="eastAsia" w:ascii="仿宋_GB2312" w:hAnsi="仿宋_GB2312" w:eastAsia="仿宋_GB2312" w:cs="仿宋_GB2312"/>
          <w:color w:val="auto"/>
          <w:spacing w:val="5"/>
          <w:sz w:val="32"/>
          <w:szCs w:val="32"/>
        </w:rPr>
        <w:t>人员、农</w:t>
      </w:r>
      <w:r>
        <w:rPr>
          <w:rFonts w:hint="eastAsia" w:ascii="仿宋_GB2312" w:hAnsi="仿宋_GB2312" w:eastAsia="仿宋_GB2312" w:cs="仿宋_GB2312"/>
          <w:color w:val="auto"/>
          <w:spacing w:val="6"/>
          <w:sz w:val="32"/>
          <w:szCs w:val="32"/>
        </w:rPr>
        <w:t>村建筑工匠等职业培训管理的服务工作；承担住</w:t>
      </w:r>
      <w:r>
        <w:rPr>
          <w:rFonts w:hint="eastAsia" w:ascii="仿宋_GB2312" w:hAnsi="仿宋_GB2312" w:eastAsia="仿宋_GB2312" w:cs="仿宋_GB2312"/>
          <w:color w:val="auto"/>
          <w:spacing w:val="5"/>
          <w:sz w:val="32"/>
          <w:szCs w:val="32"/>
        </w:rPr>
        <w:t>房和城乡建设领域施工现场专业人员岗位资格继续教育服务工作；承担</w:t>
      </w:r>
      <w:r>
        <w:rPr>
          <w:rFonts w:hint="eastAsia" w:ascii="仿宋_GB2312" w:hAnsi="仿宋_GB2312" w:eastAsia="仿宋_GB2312" w:cs="仿宋_GB2312"/>
          <w:color w:val="auto"/>
          <w:spacing w:val="3"/>
          <w:sz w:val="32"/>
          <w:szCs w:val="32"/>
        </w:rPr>
        <w:t>建筑工人培训管理等事务性工作。</w:t>
      </w:r>
    </w:p>
    <w:p w14:paraId="7B422D42">
      <w:pPr>
        <w:keepNext w:val="0"/>
        <w:keepLines w:val="0"/>
        <w:pageBreakBefore w:val="0"/>
        <w:widowControl w:val="0"/>
        <w:kinsoku/>
        <w:wordWrap/>
        <w:overflowPunct/>
        <w:topLinePunct w:val="0"/>
        <w:autoSpaceDE/>
        <w:autoSpaceDN/>
        <w:bidi w:val="0"/>
        <w:adjustRightInd w:val="0"/>
        <w:snapToGrid w:val="0"/>
        <w:spacing w:line="560" w:lineRule="exact"/>
        <w:ind w:left="0" w:right="0" w:firstLine="656" w:firstLineChars="200"/>
        <w:jc w:val="both"/>
        <w:textAlignment w:val="auto"/>
        <w:rPr>
          <w:rFonts w:hint="eastAsia" w:ascii="仿宋_GB2312" w:hAnsi="仿宋_GB2312" w:eastAsia="仿宋_GB2312" w:cs="仿宋_GB2312"/>
          <w:color w:val="auto"/>
          <w:spacing w:val="-3"/>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6</w:t>
      </w: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31"/>
          <w:sz w:val="32"/>
          <w:szCs w:val="32"/>
        </w:rPr>
        <w:t>海绵城市建设事务部(市海绵城市建设服务中</w:t>
      </w:r>
      <w:r>
        <w:rPr>
          <w:rFonts w:hint="eastAsia" w:ascii="仿宋_GB2312" w:hAnsi="仿宋_GB2312" w:eastAsia="仿宋_GB2312" w:cs="仿宋_GB2312"/>
          <w:color w:val="auto"/>
          <w:spacing w:val="12"/>
          <w:sz w:val="32"/>
          <w:szCs w:val="32"/>
        </w:rPr>
        <w:t>心)。承担市中心城区海绵城市规划建设和管理的事务性工</w:t>
      </w:r>
      <w:r>
        <w:rPr>
          <w:rFonts w:hint="eastAsia" w:ascii="仿宋_GB2312" w:hAnsi="仿宋_GB2312" w:eastAsia="仿宋_GB2312" w:cs="仿宋_GB2312"/>
          <w:color w:val="auto"/>
          <w:spacing w:val="7"/>
          <w:sz w:val="32"/>
          <w:szCs w:val="32"/>
        </w:rPr>
        <w:t>作；承担市中心城区污水系统综合治理</w:t>
      </w:r>
      <w:r>
        <w:rPr>
          <w:rFonts w:hint="eastAsia" w:ascii="仿宋_GB2312" w:hAnsi="仿宋_GB2312" w:eastAsia="仿宋_GB2312" w:cs="仿宋_GB2312"/>
          <w:color w:val="auto"/>
          <w:sz w:val="32"/>
          <w:szCs w:val="32"/>
        </w:rPr>
        <w:t>PPP</w:t>
      </w:r>
      <w:r>
        <w:rPr>
          <w:rFonts w:hint="eastAsia" w:ascii="仿宋_GB2312" w:hAnsi="仿宋_GB2312" w:eastAsia="仿宋_GB2312" w:cs="仿宋_GB2312"/>
          <w:color w:val="auto"/>
          <w:spacing w:val="-26"/>
          <w:sz w:val="32"/>
          <w:szCs w:val="32"/>
        </w:rPr>
        <w:t xml:space="preserve"> </w:t>
      </w:r>
      <w:r>
        <w:rPr>
          <w:rFonts w:hint="eastAsia" w:ascii="仿宋_GB2312" w:hAnsi="仿宋_GB2312" w:eastAsia="仿宋_GB2312" w:cs="仿宋_GB2312"/>
          <w:color w:val="auto"/>
          <w:spacing w:val="7"/>
          <w:sz w:val="32"/>
          <w:szCs w:val="32"/>
        </w:rPr>
        <w:t>项目建成后的运</w:t>
      </w:r>
      <w:r>
        <w:rPr>
          <w:rFonts w:hint="eastAsia" w:ascii="仿宋_GB2312" w:hAnsi="仿宋_GB2312" w:eastAsia="仿宋_GB2312" w:cs="仿宋_GB2312"/>
          <w:color w:val="auto"/>
          <w:spacing w:val="5"/>
          <w:sz w:val="32"/>
          <w:szCs w:val="32"/>
        </w:rPr>
        <w:t>营监管和考核的事务性工作；承担海绵城市建设项目实施的</w:t>
      </w:r>
      <w:r>
        <w:rPr>
          <w:rFonts w:hint="eastAsia" w:ascii="仿宋_GB2312" w:hAnsi="仿宋_GB2312" w:eastAsia="仿宋_GB2312" w:cs="仿宋_GB2312"/>
          <w:color w:val="auto"/>
          <w:spacing w:val="4"/>
          <w:sz w:val="32"/>
          <w:szCs w:val="32"/>
        </w:rPr>
        <w:t>日常事务性工作；承担市海绵城市建设领导小组办公室的日</w:t>
      </w:r>
      <w:r>
        <w:rPr>
          <w:rFonts w:hint="eastAsia" w:ascii="仿宋_GB2312" w:hAnsi="仿宋_GB2312" w:eastAsia="仿宋_GB2312" w:cs="仿宋_GB2312"/>
          <w:color w:val="auto"/>
          <w:spacing w:val="-3"/>
          <w:sz w:val="32"/>
          <w:szCs w:val="32"/>
        </w:rPr>
        <w:t>常事务性工作。</w:t>
      </w:r>
    </w:p>
    <w:p w14:paraId="6E6ED17F">
      <w:pPr>
        <w:keepNext w:val="0"/>
        <w:keepLines w:val="0"/>
        <w:pageBreakBefore w:val="0"/>
        <w:widowControl w:val="0"/>
        <w:kinsoku/>
        <w:wordWrap/>
        <w:overflowPunct/>
        <w:topLinePunct w:val="0"/>
        <w:autoSpaceDE/>
        <w:autoSpaceDN/>
        <w:bidi w:val="0"/>
        <w:adjustRightInd w:val="0"/>
        <w:snapToGrid w:val="0"/>
        <w:spacing w:line="560" w:lineRule="exact"/>
        <w:ind w:left="0" w:right="0" w:firstLine="656" w:firstLineChars="200"/>
        <w:jc w:val="both"/>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7</w:t>
      </w:r>
      <w:r>
        <w:rPr>
          <w:rFonts w:hint="eastAsia" w:ascii="仿宋_GB2312" w:hAnsi="仿宋_GB2312" w:eastAsia="仿宋_GB2312" w:cs="仿宋_GB2312"/>
          <w:color w:val="auto"/>
          <w:spacing w:val="4"/>
          <w:sz w:val="32"/>
          <w:szCs w:val="32"/>
        </w:rPr>
        <w:t>)财务部。承担制定中心财务管理办法，编制预决算和资金计划；承担财务会计、资金管理、内部审计等工作。</w:t>
      </w:r>
    </w:p>
    <w:p w14:paraId="406818DA">
      <w:pPr>
        <w:keepNext w:val="0"/>
        <w:keepLines w:val="0"/>
        <w:pageBreakBefore w:val="0"/>
        <w:widowControl w:val="0"/>
        <w:kinsoku/>
        <w:wordWrap/>
        <w:overflowPunct/>
        <w:topLinePunct w:val="0"/>
        <w:autoSpaceDE/>
        <w:autoSpaceDN/>
        <w:bidi w:val="0"/>
        <w:adjustRightInd w:val="0"/>
        <w:snapToGrid w:val="0"/>
        <w:spacing w:line="560" w:lineRule="exact"/>
        <w:ind w:right="0" w:firstLine="656" w:firstLineChars="200"/>
        <w:jc w:val="both"/>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rPr>
        <w:t>（二）决算单位构成。</w:t>
      </w:r>
      <w:r>
        <w:rPr>
          <w:rFonts w:hint="eastAsia" w:ascii="仿宋_GB2312" w:hAnsi="仿宋_GB2312" w:eastAsia="仿宋_GB2312" w:cs="仿宋_GB2312"/>
          <w:color w:val="auto"/>
          <w:spacing w:val="4"/>
          <w:sz w:val="32"/>
          <w:szCs w:val="32"/>
          <w:lang w:val="en-US" w:eastAsia="zh-CN"/>
        </w:rPr>
        <w:t>本单位无独立核算的下属单位2024年度部门决算汇总公开单位，仅包括岳阳市城乡建设事务中心本级</w:t>
      </w:r>
      <w:r>
        <w:rPr>
          <w:rFonts w:hint="eastAsia" w:ascii="仿宋_GB2312" w:hAnsi="仿宋_GB2312" w:eastAsia="仿宋_GB2312" w:cs="仿宋_GB2312"/>
          <w:color w:val="auto"/>
          <w:spacing w:val="4"/>
          <w:sz w:val="32"/>
          <w:szCs w:val="32"/>
        </w:rPr>
        <w:t>。</w:t>
      </w:r>
    </w:p>
    <w:p w14:paraId="76E6A192"/>
    <w:p w14:paraId="3CE56614">
      <w:pPr>
        <w:pStyle w:val="8"/>
      </w:pPr>
    </w:p>
    <w:p w14:paraId="70B4D569">
      <w:pPr>
        <w:pStyle w:val="4"/>
      </w:pPr>
    </w:p>
    <w:p w14:paraId="5B1D6CBC"/>
    <w:p w14:paraId="7D6C31E4">
      <w:pPr>
        <w:pStyle w:val="8"/>
      </w:pPr>
    </w:p>
    <w:p w14:paraId="056E4ECA">
      <w:pPr>
        <w:pStyle w:val="4"/>
      </w:pPr>
    </w:p>
    <w:p w14:paraId="3288C9C5"/>
    <w:p w14:paraId="14507043">
      <w:pPr>
        <w:pStyle w:val="8"/>
      </w:pPr>
    </w:p>
    <w:p w14:paraId="465EA8BD">
      <w:pPr>
        <w:pStyle w:val="4"/>
      </w:pPr>
    </w:p>
    <w:p w14:paraId="49E51758"/>
    <w:p w14:paraId="3DC8C6CD">
      <w:pPr>
        <w:pStyle w:val="8"/>
      </w:pPr>
    </w:p>
    <w:p w14:paraId="36E702E5">
      <w:pPr>
        <w:pStyle w:val="4"/>
      </w:pPr>
    </w:p>
    <w:p w14:paraId="0416550A"/>
    <w:p w14:paraId="28B49BCE">
      <w:pPr>
        <w:pStyle w:val="8"/>
      </w:pPr>
    </w:p>
    <w:p w14:paraId="43291855">
      <w:pPr>
        <w:pStyle w:val="4"/>
      </w:pPr>
    </w:p>
    <w:p w14:paraId="7CD92489"/>
    <w:p w14:paraId="5267F12B">
      <w:pPr>
        <w:pStyle w:val="8"/>
      </w:pPr>
    </w:p>
    <w:p w14:paraId="28828498">
      <w:pPr>
        <w:pStyle w:val="4"/>
      </w:pPr>
    </w:p>
    <w:p w14:paraId="04E62672"/>
    <w:p w14:paraId="1D6D7A8B">
      <w:pPr>
        <w:pStyle w:val="8"/>
      </w:pPr>
    </w:p>
    <w:p w14:paraId="2E47952B">
      <w:pPr>
        <w:pStyle w:val="4"/>
      </w:pPr>
    </w:p>
    <w:p w14:paraId="18A19BE5"/>
    <w:p w14:paraId="7CCBF86D">
      <w:pPr>
        <w:pStyle w:val="8"/>
      </w:pPr>
    </w:p>
    <w:p w14:paraId="0017F5EC">
      <w:pPr>
        <w:pStyle w:val="4"/>
      </w:pPr>
    </w:p>
    <w:p w14:paraId="76181D4E"/>
    <w:p w14:paraId="1A174866">
      <w:pPr>
        <w:pStyle w:val="13"/>
        <w:jc w:val="center"/>
        <w:rPr>
          <w:rFonts w:hint="eastAsia" w:ascii="方正小标宋_GBK" w:hAnsi="方正小标宋_GBK" w:eastAsia="方正小标宋_GBK" w:cs="方正小标宋_GBK"/>
          <w:sz w:val="84"/>
          <w:szCs w:val="84"/>
        </w:rPr>
      </w:pPr>
    </w:p>
    <w:p w14:paraId="2B49F2B7">
      <w:pPr>
        <w:pStyle w:val="13"/>
        <w:jc w:val="center"/>
        <w:rPr>
          <w:rFonts w:hint="eastAsia" w:ascii="方正小标宋_GBK" w:hAnsi="方正小标宋_GBK" w:eastAsia="方正小标宋_GBK" w:cs="方正小标宋_GBK"/>
          <w:sz w:val="84"/>
          <w:szCs w:val="84"/>
        </w:rPr>
      </w:pPr>
    </w:p>
    <w:p w14:paraId="661BBFC8">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5FB02ED5">
      <w:pPr>
        <w:pStyle w:val="13"/>
        <w:jc w:val="center"/>
        <w:rPr>
          <w:rFonts w:hint="eastAsia" w:ascii="方正小标宋_GBK" w:hAnsi="方正小标宋_GBK" w:eastAsia="方正小标宋_GBK" w:cs="方正小标宋_GBK"/>
          <w:sz w:val="84"/>
          <w:szCs w:val="84"/>
        </w:rPr>
      </w:pPr>
    </w:p>
    <w:p w14:paraId="3860F185">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50A5962C">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325AF5B5">
      <w:pPr>
        <w:pStyle w:val="13"/>
        <w:jc w:val="center"/>
        <w:rPr>
          <w:rFonts w:hint="eastAsia" w:ascii="仿宋_GB2312" w:hAnsi="仿宋_GB2312" w:eastAsia="仿宋_GB2312" w:cs="仿宋_GB2312"/>
          <w:b w:val="0"/>
          <w:bCs w:val="0"/>
          <w:sz w:val="72"/>
          <w:szCs w:val="72"/>
          <w:lang w:eastAsia="zh-CN"/>
        </w:rPr>
      </w:pPr>
    </w:p>
    <w:p w14:paraId="0568D1B8">
      <w:pPr>
        <w:pStyle w:val="13"/>
        <w:jc w:val="center"/>
        <w:rPr>
          <w:rFonts w:hint="eastAsia" w:ascii="仿宋_GB2312" w:hAnsi="仿宋_GB2312" w:eastAsia="仿宋_GB2312" w:cs="仿宋_GB2312"/>
          <w:b w:val="0"/>
          <w:bCs w:val="0"/>
          <w:sz w:val="72"/>
          <w:szCs w:val="72"/>
          <w:lang w:eastAsia="zh-CN"/>
        </w:rPr>
      </w:pPr>
    </w:p>
    <w:p w14:paraId="5C65B646">
      <w:pPr>
        <w:pStyle w:val="13"/>
        <w:jc w:val="center"/>
        <w:rPr>
          <w:rFonts w:hint="eastAsia" w:ascii="仿宋_GB2312" w:hAnsi="仿宋_GB2312" w:eastAsia="仿宋_GB2312" w:cs="仿宋_GB2312"/>
          <w:b w:val="0"/>
          <w:bCs w:val="0"/>
          <w:sz w:val="72"/>
          <w:szCs w:val="72"/>
          <w:lang w:eastAsia="zh-CN"/>
        </w:rPr>
      </w:pPr>
    </w:p>
    <w:p w14:paraId="62EA5E89">
      <w:pPr>
        <w:pStyle w:val="13"/>
        <w:jc w:val="center"/>
        <w:rPr>
          <w:rFonts w:hint="eastAsia" w:ascii="仿宋_GB2312" w:hAnsi="仿宋_GB2312" w:eastAsia="仿宋_GB2312" w:cs="仿宋_GB2312"/>
          <w:b w:val="0"/>
          <w:bCs w:val="0"/>
          <w:sz w:val="72"/>
          <w:szCs w:val="72"/>
          <w:lang w:eastAsia="zh-CN"/>
        </w:rPr>
      </w:pPr>
    </w:p>
    <w:p w14:paraId="63BFFD84">
      <w:pPr>
        <w:pStyle w:val="13"/>
        <w:jc w:val="center"/>
        <w:rPr>
          <w:rFonts w:hint="eastAsia" w:ascii="仿宋_GB2312" w:hAnsi="仿宋_GB2312" w:eastAsia="仿宋_GB2312" w:cs="仿宋_GB2312"/>
          <w:b w:val="0"/>
          <w:bCs w:val="0"/>
          <w:sz w:val="72"/>
          <w:szCs w:val="72"/>
          <w:lang w:eastAsia="zh-CN"/>
        </w:rPr>
      </w:pPr>
    </w:p>
    <w:p w14:paraId="4565BABE">
      <w:pPr>
        <w:pStyle w:val="13"/>
        <w:jc w:val="center"/>
        <w:rPr>
          <w:rFonts w:hint="eastAsia" w:ascii="仿宋_GB2312" w:hAnsi="仿宋_GB2312" w:eastAsia="仿宋_GB2312" w:cs="仿宋_GB2312"/>
          <w:b w:val="0"/>
          <w:bCs w:val="0"/>
          <w:sz w:val="72"/>
          <w:szCs w:val="72"/>
          <w:lang w:eastAsia="zh-CN"/>
        </w:rPr>
      </w:pPr>
    </w:p>
    <w:p w14:paraId="6EEAB3EF">
      <w:pPr>
        <w:pStyle w:val="13"/>
        <w:jc w:val="center"/>
        <w:rPr>
          <w:rFonts w:hint="eastAsia" w:ascii="仿宋_GB2312" w:hAnsi="仿宋_GB2312" w:eastAsia="仿宋_GB2312" w:cs="仿宋_GB2312"/>
          <w:b w:val="0"/>
          <w:bCs w:val="0"/>
          <w:sz w:val="72"/>
          <w:szCs w:val="72"/>
          <w:lang w:eastAsia="zh-CN"/>
        </w:rPr>
      </w:pPr>
    </w:p>
    <w:p w14:paraId="603C04A7">
      <w:pPr>
        <w:pStyle w:val="13"/>
        <w:jc w:val="center"/>
        <w:rPr>
          <w:rFonts w:hint="eastAsia" w:ascii="方正小标宋_GBK" w:hAnsi="方正小标宋_GBK" w:eastAsia="方正小标宋_GBK" w:cs="方正小标宋_GBK"/>
          <w:sz w:val="72"/>
          <w:szCs w:val="72"/>
        </w:rPr>
      </w:pPr>
    </w:p>
    <w:p w14:paraId="7A44A82E">
      <w:pPr>
        <w:pStyle w:val="13"/>
        <w:jc w:val="center"/>
        <w:rPr>
          <w:rFonts w:hint="eastAsia" w:ascii="方正小标宋_GBK" w:hAnsi="方正小标宋_GBK" w:eastAsia="方正小标宋_GBK" w:cs="方正小标宋_GBK"/>
          <w:sz w:val="72"/>
          <w:szCs w:val="72"/>
        </w:rPr>
      </w:pPr>
    </w:p>
    <w:p w14:paraId="06211665">
      <w:pPr>
        <w:pStyle w:val="13"/>
        <w:jc w:val="both"/>
        <w:rPr>
          <w:rFonts w:hint="eastAsia" w:ascii="方正小标宋_GBK" w:hAnsi="方正小标宋_GBK" w:eastAsia="方正小标宋_GBK" w:cs="方正小标宋_GBK"/>
          <w:sz w:val="72"/>
          <w:szCs w:val="72"/>
        </w:rPr>
      </w:pPr>
    </w:p>
    <w:p w14:paraId="7804FBAA">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7D53C949">
      <w:pPr>
        <w:pStyle w:val="13"/>
        <w:jc w:val="center"/>
        <w:rPr>
          <w:rFonts w:hint="eastAsia" w:ascii="方正小标宋_GBK" w:hAnsi="方正小标宋_GBK" w:eastAsia="方正小标宋_GBK" w:cs="方正小标宋_GBK"/>
          <w:sz w:val="70"/>
          <w:szCs w:val="70"/>
        </w:rPr>
      </w:pPr>
    </w:p>
    <w:p w14:paraId="4F77A5A6">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14:paraId="17862F93">
      <w:pPr>
        <w:pStyle w:val="13"/>
        <w:jc w:val="center"/>
        <w:rPr>
          <w:rFonts w:hint="eastAsia" w:ascii="方正小标宋_GBK" w:hAnsi="方正小标宋_GBK" w:eastAsia="方正小标宋_GBK" w:cs="方正小标宋_GBK"/>
          <w:sz w:val="70"/>
          <w:szCs w:val="70"/>
        </w:rPr>
      </w:pPr>
    </w:p>
    <w:p w14:paraId="6EEC30AB">
      <w:pPr>
        <w:pStyle w:val="13"/>
        <w:jc w:val="center"/>
        <w:rPr>
          <w:rFonts w:hint="eastAsia" w:ascii="方正小标宋_GBK" w:hAnsi="方正小标宋_GBK" w:eastAsia="方正小标宋_GBK" w:cs="方正小标宋_GBK"/>
          <w:sz w:val="70"/>
          <w:szCs w:val="70"/>
        </w:rPr>
      </w:pPr>
    </w:p>
    <w:p w14:paraId="417367C1">
      <w:pPr>
        <w:pStyle w:val="13"/>
        <w:jc w:val="center"/>
        <w:rPr>
          <w:rFonts w:hint="eastAsia" w:ascii="方正小标宋_GBK" w:hAnsi="方正小标宋_GBK" w:eastAsia="方正小标宋_GBK" w:cs="方正小标宋_GBK"/>
          <w:sz w:val="70"/>
          <w:szCs w:val="70"/>
        </w:rPr>
      </w:pPr>
    </w:p>
    <w:p w14:paraId="5EF1049C">
      <w:pPr>
        <w:pStyle w:val="13"/>
        <w:jc w:val="center"/>
        <w:rPr>
          <w:rFonts w:hint="eastAsia" w:ascii="方正小标宋_GBK" w:hAnsi="方正小标宋_GBK" w:eastAsia="方正小标宋_GBK" w:cs="方正小标宋_GBK"/>
          <w:sz w:val="70"/>
          <w:szCs w:val="70"/>
        </w:rPr>
      </w:pPr>
    </w:p>
    <w:p w14:paraId="7E4B3CF9">
      <w:pPr>
        <w:pStyle w:val="13"/>
        <w:jc w:val="center"/>
        <w:rPr>
          <w:rFonts w:hint="eastAsia" w:ascii="方正小标宋_GBK" w:hAnsi="方正小标宋_GBK" w:eastAsia="方正小标宋_GBK" w:cs="方正小标宋_GBK"/>
          <w:sz w:val="70"/>
          <w:szCs w:val="70"/>
        </w:rPr>
      </w:pPr>
    </w:p>
    <w:p w14:paraId="514C0722">
      <w:pPr>
        <w:pStyle w:val="13"/>
        <w:jc w:val="center"/>
        <w:rPr>
          <w:rFonts w:hint="eastAsia" w:ascii="方正小标宋_GBK" w:hAnsi="方正小标宋_GBK" w:eastAsia="方正小标宋_GBK" w:cs="方正小标宋_GBK"/>
          <w:sz w:val="70"/>
          <w:szCs w:val="70"/>
        </w:rPr>
      </w:pPr>
    </w:p>
    <w:p w14:paraId="111D7AB8">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2411C08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09150FBA">
      <w:pPr>
        <w:keepNext/>
        <w:keepLines/>
        <w:spacing w:beforeLines="0" w:afterLines="0"/>
        <w:ind w:firstLine="641"/>
        <w:rPr>
          <w:rFonts w:hint="eastAsia" w:ascii="仿宋" w:hAnsi="仿宋" w:eastAsia="仿宋"/>
          <w:color w:val="auto"/>
          <w:sz w:val="32"/>
          <w:szCs w:val="24"/>
          <w:highlight w:val="white"/>
          <w:lang w:val="zh-CN"/>
        </w:rPr>
      </w:pPr>
      <w:r>
        <w:rPr>
          <w:rFonts w:hint="eastAsia" w:ascii="仿宋" w:hAnsi="仿宋" w:eastAsia="仿宋"/>
          <w:color w:val="auto"/>
          <w:sz w:val="32"/>
          <w:szCs w:val="24"/>
          <w:highlight w:val="white"/>
          <w:lang w:val="zh-CN"/>
        </w:rPr>
        <w:t>2024年度收、支总计均为38324.87万元，与2023年相比，收、支总计各增加36047.23万元，增长1582.66%。</w:t>
      </w:r>
      <w:r>
        <w:rPr>
          <w:rFonts w:hint="eastAsia" w:ascii="仿宋" w:hAnsi="仿宋" w:eastAsia="仿宋"/>
          <w:color w:val="000000" w:themeColor="text1"/>
          <w:sz w:val="32"/>
          <w:szCs w:val="24"/>
          <w:highlight w:val="white"/>
          <w:lang w:val="zh-CN"/>
          <w14:textFill>
            <w14:solidFill>
              <w14:schemeClr w14:val="tx1"/>
            </w14:solidFill>
          </w14:textFill>
        </w:rPr>
        <w:t>主要原因是</w:t>
      </w:r>
      <w:r>
        <w:rPr>
          <w:rFonts w:hint="eastAsia" w:ascii="仿宋" w:hAnsi="仿宋" w:eastAsia="仿宋"/>
          <w:color w:val="000000" w:themeColor="text1"/>
          <w:sz w:val="32"/>
          <w:szCs w:val="24"/>
          <w:highlight w:val="white"/>
          <w:lang w:val="en-US" w:eastAsia="zh-CN"/>
          <w14:textFill>
            <w14:solidFill>
              <w14:schemeClr w14:val="tx1"/>
            </w14:solidFill>
          </w14:textFill>
        </w:rPr>
        <w:t>增加了超长期国债项目和中央预算内项目支出</w:t>
      </w:r>
      <w:r>
        <w:rPr>
          <w:rFonts w:hint="eastAsia" w:ascii="仿宋" w:hAnsi="仿宋" w:eastAsia="仿宋"/>
          <w:color w:val="000000" w:themeColor="text1"/>
          <w:sz w:val="32"/>
          <w:szCs w:val="24"/>
          <w:highlight w:val="white"/>
          <w:lang w:val="zh-CN"/>
          <w14:textFill>
            <w14:solidFill>
              <w14:schemeClr w14:val="tx1"/>
            </w14:solidFill>
          </w14:textFill>
        </w:rPr>
        <w:t>。</w:t>
      </w:r>
    </w:p>
    <w:p w14:paraId="07DA9E3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31284672">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 w:hAnsi="仿宋" w:eastAsia="仿宋"/>
          <w:color w:val="auto"/>
          <w:sz w:val="32"/>
          <w:szCs w:val="24"/>
          <w:highlight w:val="white"/>
          <w:lang w:val="en-US"/>
        </w:rPr>
        <w:t>2024年度收入合计38324.87万元，其中：财政拨款收入38062.64万元，占99.32%；上级补助收入0万元，占0%；事业收入0万元，占0%；经营收入0万元，占0%；附属单位上缴收入0万元，占0%；其他收入262.23万元，占0.68%。</w:t>
      </w:r>
    </w:p>
    <w:p w14:paraId="2D1A2B4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481C78E9">
      <w:pPr>
        <w:keepNext/>
        <w:keepLines/>
        <w:spacing w:beforeLines="0" w:afterLines="0"/>
        <w:ind w:firstLine="640"/>
        <w:rPr>
          <w:rFonts w:hint="eastAsia" w:ascii="仿宋" w:hAnsi="仿宋" w:eastAsia="仿宋"/>
          <w:color w:val="auto"/>
          <w:sz w:val="32"/>
          <w:szCs w:val="24"/>
          <w:highlight w:val="white"/>
          <w:lang w:val="en-US"/>
        </w:rPr>
      </w:pPr>
      <w:r>
        <w:rPr>
          <w:rFonts w:hint="eastAsia" w:ascii="仿宋" w:hAnsi="仿宋" w:eastAsia="仿宋"/>
          <w:color w:val="auto"/>
          <w:sz w:val="32"/>
          <w:szCs w:val="24"/>
          <w:highlight w:val="white"/>
          <w:lang w:val="en-US"/>
        </w:rPr>
        <w:t>2024年度支出合计38256.36万元，其中：基本支出1337.87万元，占3.5%；项目支出36918.49万元，占96.5%；上缴上级支出0万元，占0%；经营支出0万元，占0%；对附属单位补助支出0万元，占0%。</w:t>
      </w:r>
    </w:p>
    <w:p w14:paraId="29300289">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p>
    <w:p w14:paraId="6985752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53E032C0">
      <w:pPr>
        <w:keepNext/>
        <w:keepLines/>
        <w:spacing w:beforeLines="0" w:afterLines="0"/>
        <w:ind w:firstLine="641"/>
        <w:rPr>
          <w:rFonts w:hint="eastAsia" w:ascii="仿宋" w:hAnsi="仿宋" w:eastAsia="仿宋"/>
          <w:color w:val="auto"/>
          <w:sz w:val="32"/>
          <w:szCs w:val="24"/>
          <w:highlight w:val="white"/>
          <w:lang w:val="zh-CN"/>
        </w:rPr>
      </w:pPr>
      <w:r>
        <w:rPr>
          <w:rFonts w:hint="eastAsia" w:ascii="仿宋" w:hAnsi="仿宋" w:eastAsia="仿宋"/>
          <w:color w:val="auto"/>
          <w:sz w:val="32"/>
          <w:szCs w:val="24"/>
          <w:highlight w:val="white"/>
          <w:lang w:val="en-US"/>
        </w:rPr>
        <w:t>2024年度财政拨款收、支总计均为38062.64万元，</w:t>
      </w:r>
      <w:r>
        <w:rPr>
          <w:rFonts w:hint="eastAsia" w:ascii="仿宋" w:hAnsi="仿宋" w:eastAsia="仿宋"/>
          <w:color w:val="auto"/>
          <w:sz w:val="32"/>
          <w:szCs w:val="24"/>
          <w:highlight w:val="white"/>
          <w:lang w:val="zh-CN"/>
        </w:rPr>
        <w:t>与2023年相比，</w:t>
      </w:r>
      <w:r>
        <w:rPr>
          <w:rFonts w:hint="eastAsia" w:ascii="仿宋" w:hAnsi="仿宋" w:eastAsia="仿宋"/>
          <w:color w:val="auto"/>
          <w:sz w:val="32"/>
          <w:szCs w:val="24"/>
          <w:highlight w:val="white"/>
          <w:lang w:val="en-US"/>
        </w:rPr>
        <w:t>财政拨款收、支总计各增加35788.36万元，增长1573.61%。</w:t>
      </w:r>
      <w:r>
        <w:rPr>
          <w:rFonts w:hint="eastAsia" w:ascii="仿宋" w:hAnsi="仿宋" w:eastAsia="仿宋"/>
          <w:color w:val="000000" w:themeColor="text1"/>
          <w:sz w:val="32"/>
          <w:szCs w:val="24"/>
          <w:highlight w:val="white"/>
          <w:lang w:val="zh-CN"/>
          <w14:textFill>
            <w14:solidFill>
              <w14:schemeClr w14:val="tx1"/>
            </w14:solidFill>
          </w14:textFill>
        </w:rPr>
        <w:t>主要原因是</w:t>
      </w:r>
      <w:r>
        <w:rPr>
          <w:rFonts w:hint="eastAsia" w:ascii="仿宋" w:hAnsi="仿宋" w:eastAsia="仿宋"/>
          <w:color w:val="000000" w:themeColor="text1"/>
          <w:sz w:val="32"/>
          <w:szCs w:val="24"/>
          <w:highlight w:val="white"/>
          <w:lang w:val="en-US" w:eastAsia="zh-CN"/>
          <w14:textFill>
            <w14:solidFill>
              <w14:schemeClr w14:val="tx1"/>
            </w14:solidFill>
          </w14:textFill>
        </w:rPr>
        <w:t>增加了超长期国债项目和中央预算内项目支出</w:t>
      </w:r>
      <w:r>
        <w:rPr>
          <w:rFonts w:hint="eastAsia" w:ascii="仿宋" w:hAnsi="仿宋" w:eastAsia="仿宋"/>
          <w:color w:val="000000" w:themeColor="text1"/>
          <w:sz w:val="32"/>
          <w:szCs w:val="24"/>
          <w:highlight w:val="white"/>
          <w:lang w:val="zh-CN"/>
          <w14:textFill>
            <w14:solidFill>
              <w14:schemeClr w14:val="tx1"/>
            </w14:solidFill>
          </w14:textFill>
        </w:rPr>
        <w:t>。</w:t>
      </w:r>
    </w:p>
    <w:p w14:paraId="58E14368">
      <w:pPr>
        <w:keepNext/>
        <w:keepLines/>
        <w:spacing w:beforeLines="0" w:afterLines="0"/>
        <w:ind w:firstLine="640"/>
        <w:rPr>
          <w:rFonts w:hint="eastAsia" w:ascii="仿宋" w:hAnsi="仿宋" w:eastAsia="仿宋"/>
          <w:color w:val="000000"/>
          <w:kern w:val="0"/>
          <w:sz w:val="32"/>
          <w:szCs w:val="24"/>
          <w:highlight w:val="white"/>
          <w:lang w:val="en-US"/>
        </w:rPr>
      </w:pPr>
    </w:p>
    <w:p w14:paraId="427BD426">
      <w:pPr>
        <w:widowControl w:val="0"/>
        <w:autoSpaceDE w:val="0"/>
        <w:autoSpaceDN w:val="0"/>
        <w:adjustRightInd w:val="0"/>
        <w:ind w:firstLine="640" w:firstLineChars="200"/>
        <w:rPr>
          <w:rFonts w:hint="eastAsia" w:ascii="楷体" w:hAnsi="楷体" w:eastAsia="楷体" w:cs="楷体"/>
          <w:i/>
          <w:iCs/>
          <w:color w:val="000000"/>
          <w:kern w:val="0"/>
          <w:sz w:val="32"/>
          <w:szCs w:val="32"/>
          <w:lang w:val="en-US" w:eastAsia="zh-CN" w:bidi="ar-SA"/>
        </w:rPr>
      </w:pPr>
    </w:p>
    <w:p w14:paraId="4BB30A6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6023283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417A5F15">
      <w:pPr>
        <w:keepNext/>
        <w:keepLines/>
        <w:spacing w:beforeLines="0" w:afterLines="0"/>
        <w:ind w:firstLine="641"/>
        <w:rPr>
          <w:rFonts w:hint="eastAsia" w:ascii="仿宋" w:hAnsi="仿宋" w:eastAsia="仿宋"/>
          <w:color w:val="auto"/>
          <w:sz w:val="32"/>
          <w:szCs w:val="24"/>
          <w:highlight w:val="white"/>
          <w:lang w:val="zh-CN"/>
        </w:rPr>
      </w:pPr>
      <w:r>
        <w:rPr>
          <w:rFonts w:hint="eastAsia" w:ascii="仿宋" w:hAnsi="仿宋" w:eastAsia="仿宋"/>
          <w:color w:val="auto"/>
          <w:sz w:val="32"/>
          <w:szCs w:val="24"/>
          <w:highlight w:val="white"/>
          <w:lang w:val="en-US"/>
        </w:rPr>
        <w:t>2024年度财政拨款收、支总计均为38062.64万元，</w:t>
      </w:r>
      <w:r>
        <w:rPr>
          <w:rFonts w:hint="eastAsia" w:ascii="仿宋" w:hAnsi="仿宋" w:eastAsia="仿宋"/>
          <w:color w:val="auto"/>
          <w:sz w:val="32"/>
          <w:szCs w:val="24"/>
          <w:highlight w:val="white"/>
          <w:lang w:val="zh-CN"/>
        </w:rPr>
        <w:t>与2023年相比，</w:t>
      </w:r>
      <w:r>
        <w:rPr>
          <w:rFonts w:hint="eastAsia" w:ascii="仿宋" w:hAnsi="仿宋" w:eastAsia="仿宋"/>
          <w:color w:val="auto"/>
          <w:sz w:val="32"/>
          <w:szCs w:val="24"/>
          <w:highlight w:val="white"/>
          <w:lang w:val="en-US"/>
        </w:rPr>
        <w:t>财政拨款收、支总计各增加35788.36万元，增长1573.61%。</w:t>
      </w:r>
      <w:r>
        <w:rPr>
          <w:rFonts w:hint="eastAsia" w:ascii="仿宋" w:hAnsi="仿宋" w:eastAsia="仿宋"/>
          <w:color w:val="000000" w:themeColor="text1"/>
          <w:sz w:val="32"/>
          <w:szCs w:val="24"/>
          <w:highlight w:val="white"/>
          <w:lang w:val="zh-CN"/>
          <w14:textFill>
            <w14:solidFill>
              <w14:schemeClr w14:val="tx1"/>
            </w14:solidFill>
          </w14:textFill>
        </w:rPr>
        <w:t>主要原因是</w:t>
      </w:r>
      <w:r>
        <w:rPr>
          <w:rFonts w:hint="eastAsia" w:ascii="仿宋" w:hAnsi="仿宋" w:eastAsia="仿宋"/>
          <w:color w:val="000000" w:themeColor="text1"/>
          <w:sz w:val="32"/>
          <w:szCs w:val="24"/>
          <w:highlight w:val="white"/>
          <w:lang w:val="en-US" w:eastAsia="zh-CN"/>
          <w14:textFill>
            <w14:solidFill>
              <w14:schemeClr w14:val="tx1"/>
            </w14:solidFill>
          </w14:textFill>
        </w:rPr>
        <w:t>增加了超长期国债项目和中央预算内项目支出</w:t>
      </w:r>
      <w:r>
        <w:rPr>
          <w:rFonts w:hint="eastAsia" w:ascii="仿宋" w:hAnsi="仿宋" w:eastAsia="仿宋"/>
          <w:color w:val="000000" w:themeColor="text1"/>
          <w:sz w:val="32"/>
          <w:szCs w:val="24"/>
          <w:highlight w:val="white"/>
          <w:lang w:val="zh-CN"/>
          <w14:textFill>
            <w14:solidFill>
              <w14:schemeClr w14:val="tx1"/>
            </w14:solidFill>
          </w14:textFill>
        </w:rPr>
        <w:t>。</w:t>
      </w:r>
    </w:p>
    <w:p w14:paraId="66C54C8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1C1FE82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 w:hAnsi="仿宋" w:eastAsia="仿宋"/>
          <w:color w:val="000000"/>
          <w:kern w:val="0"/>
          <w:sz w:val="32"/>
          <w:szCs w:val="24"/>
          <w:highlight w:val="white"/>
          <w:lang w:val="en-US" w:eastAsia="zh-CN"/>
        </w:rPr>
      </w:pPr>
      <w:r>
        <w:rPr>
          <w:rFonts w:hint="eastAsia" w:ascii="仿宋" w:hAnsi="仿宋" w:eastAsia="仿宋"/>
          <w:color w:val="000000"/>
          <w:kern w:val="0"/>
          <w:sz w:val="32"/>
          <w:szCs w:val="24"/>
          <w:highlight w:val="white"/>
          <w:lang w:val="en-US"/>
        </w:rPr>
        <w:t>2024年度财政拨款支出33213.92万元，主要用于以下方面：社会保障和就业（类）支出126.31万元，占0.38%；卫生健康（类）支出45.22万元，占0.14%；节能环保（类）支出17122.71万元，占51.55%；城乡社区（类）支出14893.48万元，占44.84%；资源勘探工业信息等（类）支出942.41万元，占2.84%；住房保障（类）支出83.79万元，占0.25%</w:t>
      </w:r>
      <w:r>
        <w:rPr>
          <w:rFonts w:hint="eastAsia" w:ascii="仿宋" w:hAnsi="仿宋" w:eastAsia="仿宋"/>
          <w:color w:val="000000"/>
          <w:kern w:val="0"/>
          <w:sz w:val="32"/>
          <w:szCs w:val="24"/>
          <w:highlight w:val="white"/>
          <w:lang w:val="en-US" w:eastAsia="zh-CN"/>
        </w:rPr>
        <w:t>。</w:t>
      </w:r>
    </w:p>
    <w:p w14:paraId="5CDBADF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1C57154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 w:hAnsi="仿宋" w:eastAsia="仿宋"/>
          <w:color w:val="000000"/>
          <w:sz w:val="32"/>
          <w:szCs w:val="24"/>
          <w:highlight w:val="white"/>
          <w:lang w:val="zh-CN"/>
        </w:rPr>
      </w:pPr>
      <w:r>
        <w:rPr>
          <w:rFonts w:hint="eastAsia" w:ascii="仿宋" w:hAnsi="仿宋" w:eastAsia="仿宋"/>
          <w:color w:val="000000"/>
          <w:sz w:val="32"/>
          <w:szCs w:val="24"/>
          <w:highlight w:val="white"/>
          <w:lang w:val="zh-CN"/>
        </w:rPr>
        <w:t>2024年度财政拨款支出年初预算为</w:t>
      </w:r>
      <w:r>
        <w:rPr>
          <w:rFonts w:hint="eastAsia" w:ascii="仿宋" w:hAnsi="仿宋" w:eastAsia="仿宋"/>
          <w:color w:val="000000"/>
          <w:sz w:val="32"/>
          <w:szCs w:val="24"/>
          <w:highlight w:val="white"/>
          <w:lang w:val="en-US" w:eastAsia="zh-CN"/>
        </w:rPr>
        <w:t>1365.75</w:t>
      </w:r>
      <w:r>
        <w:rPr>
          <w:rFonts w:hint="eastAsia" w:ascii="仿宋" w:hAnsi="仿宋" w:eastAsia="仿宋"/>
          <w:color w:val="000000"/>
          <w:sz w:val="32"/>
          <w:szCs w:val="24"/>
          <w:highlight w:val="white"/>
          <w:lang w:val="zh-CN"/>
        </w:rPr>
        <w:t>万元，支出决算为33213.92万元，完成年初预算的</w:t>
      </w:r>
      <w:r>
        <w:rPr>
          <w:rFonts w:hint="eastAsia" w:ascii="仿宋" w:hAnsi="仿宋" w:eastAsia="仿宋"/>
          <w:color w:val="000000"/>
          <w:sz w:val="32"/>
          <w:szCs w:val="24"/>
          <w:highlight w:val="white"/>
          <w:lang w:val="en-US" w:eastAsia="zh-CN"/>
        </w:rPr>
        <w:t>2431.91</w:t>
      </w:r>
      <w:r>
        <w:rPr>
          <w:rFonts w:hint="eastAsia" w:ascii="仿宋" w:hAnsi="仿宋" w:eastAsia="仿宋"/>
          <w:color w:val="000000"/>
          <w:sz w:val="32"/>
          <w:szCs w:val="24"/>
          <w:highlight w:val="white"/>
          <w:lang w:val="zh-CN"/>
        </w:rPr>
        <w:t>%。其中：</w:t>
      </w:r>
    </w:p>
    <w:p w14:paraId="45510D3D">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 w:hAnsi="仿宋" w:eastAsia="仿宋"/>
          <w:color w:val="auto"/>
          <w:sz w:val="32"/>
          <w:szCs w:val="24"/>
          <w:lang w:val="en-US"/>
        </w:rPr>
      </w:pPr>
      <w:r>
        <w:rPr>
          <w:rFonts w:hint="eastAsia" w:ascii="仿宋" w:hAnsi="仿宋" w:eastAsia="仿宋"/>
          <w:color w:val="auto"/>
          <w:sz w:val="32"/>
          <w:szCs w:val="24"/>
          <w:lang w:val="en-US"/>
        </w:rPr>
        <w:t>社会保障和就业支出（类）行政事业单位养老支出（款）机关事业单位基本养老保险缴费支出（项）。年初预算为</w:t>
      </w:r>
      <w:r>
        <w:rPr>
          <w:rFonts w:hint="eastAsia" w:ascii="仿宋" w:hAnsi="仿宋" w:eastAsia="仿宋"/>
          <w:color w:val="auto"/>
          <w:sz w:val="32"/>
          <w:szCs w:val="24"/>
          <w:lang w:val="en-US" w:eastAsia="zh-CN"/>
        </w:rPr>
        <w:t>116.4</w:t>
      </w:r>
      <w:r>
        <w:rPr>
          <w:rFonts w:hint="eastAsia" w:ascii="仿宋" w:hAnsi="仿宋" w:eastAsia="仿宋"/>
          <w:color w:val="auto"/>
          <w:sz w:val="32"/>
          <w:szCs w:val="24"/>
          <w:lang w:val="en-US"/>
        </w:rPr>
        <w:t>万元，支出决算为115.81万元，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99.49</w:t>
      </w:r>
      <w:r>
        <w:rPr>
          <w:rFonts w:hint="eastAsia" w:ascii="仿宋_GB2312" w:hAnsi="仿宋_GB2312" w:eastAsia="仿宋_GB2312" w:cs="仿宋_GB2312"/>
          <w:color w:val="auto"/>
          <w:sz w:val="32"/>
          <w:szCs w:val="32"/>
        </w:rPr>
        <w:t>%</w:t>
      </w:r>
      <w:r>
        <w:rPr>
          <w:rFonts w:hint="eastAsia" w:ascii="仿宋" w:hAnsi="仿宋" w:eastAsia="仿宋"/>
          <w:color w:val="auto"/>
          <w:sz w:val="32"/>
          <w:szCs w:val="24"/>
          <w:lang w:val="en-US"/>
        </w:rPr>
        <w:t>，主要原因是：</w:t>
      </w:r>
      <w:r>
        <w:rPr>
          <w:rFonts w:hint="eastAsia" w:ascii="仿宋_GB2312" w:hAnsi="仿宋_GB2312" w:eastAsia="仿宋_GB2312" w:cs="仿宋_GB2312"/>
          <w:color w:val="auto"/>
          <w:sz w:val="32"/>
          <w:szCs w:val="32"/>
          <w:lang w:val="en-US" w:eastAsia="zh-CN"/>
        </w:rPr>
        <w:t>落实财政“过紧日子”要求。</w:t>
      </w:r>
    </w:p>
    <w:p w14:paraId="0094B058">
      <w:pPr>
        <w:keepNext/>
        <w:keepLines/>
        <w:spacing w:beforeLines="0" w:afterLines="0"/>
        <w:ind w:firstLine="640"/>
        <w:rPr>
          <w:rFonts w:hint="eastAsia" w:ascii="仿宋" w:hAnsi="仿宋" w:eastAsia="仿宋"/>
          <w:color w:val="auto"/>
          <w:sz w:val="32"/>
          <w:szCs w:val="24"/>
          <w:lang w:val="en-US" w:eastAsia="zh-CN"/>
        </w:rPr>
      </w:pPr>
      <w:r>
        <w:rPr>
          <w:rFonts w:hint="eastAsia" w:ascii="仿宋" w:hAnsi="仿宋" w:eastAsia="仿宋"/>
          <w:color w:val="auto"/>
          <w:sz w:val="32"/>
          <w:szCs w:val="24"/>
          <w:lang w:val="en-US"/>
        </w:rPr>
        <w:t>社会保障和就业支出（类）残疾人事业（款）其他残疾人事业支出（项）。年初预算为</w:t>
      </w:r>
      <w:r>
        <w:rPr>
          <w:rFonts w:hint="eastAsia" w:ascii="仿宋" w:hAnsi="仿宋" w:eastAsia="仿宋"/>
          <w:color w:val="auto"/>
          <w:sz w:val="32"/>
          <w:szCs w:val="24"/>
          <w:lang w:val="en-US" w:eastAsia="zh-CN"/>
        </w:rPr>
        <w:t>8.36</w:t>
      </w:r>
      <w:r>
        <w:rPr>
          <w:rFonts w:hint="eastAsia" w:ascii="仿宋" w:hAnsi="仿宋" w:eastAsia="仿宋"/>
          <w:color w:val="auto"/>
          <w:sz w:val="32"/>
          <w:szCs w:val="24"/>
          <w:lang w:val="en-US"/>
        </w:rPr>
        <w:t>万元，支出决算为8.36万元，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 w:hAnsi="仿宋" w:eastAsia="仿宋"/>
          <w:color w:val="auto"/>
          <w:sz w:val="32"/>
          <w:szCs w:val="24"/>
          <w:lang w:val="en-US"/>
        </w:rPr>
        <w:t>，主要原因是：在预算执行过程中，严格按照预算进行开支</w:t>
      </w:r>
      <w:r>
        <w:rPr>
          <w:rFonts w:hint="eastAsia" w:ascii="仿宋" w:hAnsi="仿宋" w:eastAsia="仿宋"/>
          <w:color w:val="auto"/>
          <w:sz w:val="32"/>
          <w:szCs w:val="24"/>
          <w:lang w:val="en-US" w:eastAsia="zh-CN"/>
        </w:rPr>
        <w:t>。</w:t>
      </w:r>
    </w:p>
    <w:p w14:paraId="614DEE93">
      <w:pPr>
        <w:keepNext/>
        <w:keepLines/>
        <w:spacing w:beforeLines="0" w:afterLines="0"/>
        <w:ind w:firstLine="640"/>
        <w:rPr>
          <w:rFonts w:hint="eastAsia" w:ascii="仿宋" w:hAnsi="仿宋" w:eastAsia="仿宋"/>
          <w:color w:val="auto"/>
          <w:sz w:val="32"/>
          <w:szCs w:val="24"/>
          <w:lang w:val="en-US" w:eastAsia="zh-CN"/>
        </w:rPr>
      </w:pPr>
      <w:r>
        <w:rPr>
          <w:rFonts w:hint="eastAsia" w:ascii="仿宋" w:hAnsi="仿宋" w:eastAsia="仿宋"/>
          <w:color w:val="auto"/>
          <w:sz w:val="32"/>
          <w:szCs w:val="24"/>
          <w:lang w:val="en-US"/>
        </w:rPr>
        <w:t>社会保障和就业支出（类）其他社会保障和就业支出（款）其他社会保障和就业支出（项）。年初预算为</w:t>
      </w:r>
      <w:r>
        <w:rPr>
          <w:rFonts w:hint="eastAsia" w:ascii="仿宋" w:hAnsi="仿宋" w:eastAsia="仿宋"/>
          <w:color w:val="auto"/>
          <w:sz w:val="32"/>
          <w:szCs w:val="24"/>
          <w:lang w:val="en-US" w:eastAsia="zh-CN"/>
        </w:rPr>
        <w:t>2.14</w:t>
      </w:r>
      <w:r>
        <w:rPr>
          <w:rFonts w:hint="eastAsia" w:ascii="仿宋" w:hAnsi="仿宋" w:eastAsia="仿宋"/>
          <w:color w:val="auto"/>
          <w:sz w:val="32"/>
          <w:szCs w:val="24"/>
          <w:lang w:val="en-US"/>
        </w:rPr>
        <w:t>万元，支出决算为2.14万元，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 w:hAnsi="仿宋" w:eastAsia="仿宋"/>
          <w:color w:val="auto"/>
          <w:sz w:val="32"/>
          <w:szCs w:val="24"/>
          <w:lang w:val="en-US"/>
        </w:rPr>
        <w:t>，主要原因是：在预算执行过程中，严格按照预算进行开支</w:t>
      </w:r>
      <w:r>
        <w:rPr>
          <w:rFonts w:hint="eastAsia" w:ascii="仿宋" w:hAnsi="仿宋" w:eastAsia="仿宋"/>
          <w:color w:val="auto"/>
          <w:sz w:val="32"/>
          <w:szCs w:val="24"/>
          <w:lang w:val="en-US" w:eastAsia="zh-CN"/>
        </w:rPr>
        <w:t>。</w:t>
      </w:r>
    </w:p>
    <w:p w14:paraId="433C0150">
      <w:pPr>
        <w:keepNext/>
        <w:keepLines/>
        <w:spacing w:beforeLines="0" w:afterLines="0"/>
        <w:ind w:firstLine="640"/>
        <w:rPr>
          <w:rFonts w:hint="eastAsia" w:ascii="仿宋" w:hAnsi="仿宋" w:eastAsia="仿宋"/>
          <w:color w:val="auto"/>
          <w:sz w:val="32"/>
          <w:szCs w:val="24"/>
          <w:lang w:val="en-US" w:eastAsia="zh-CN"/>
        </w:rPr>
      </w:pPr>
      <w:r>
        <w:rPr>
          <w:rFonts w:hint="eastAsia" w:ascii="仿宋" w:hAnsi="仿宋" w:eastAsia="仿宋"/>
          <w:color w:val="auto"/>
          <w:sz w:val="32"/>
          <w:szCs w:val="24"/>
          <w:lang w:val="en-US"/>
        </w:rPr>
        <w:t>卫生健康支出（类）行政事业单位医疗（款）事业单位医疗（项）。年初预算为</w:t>
      </w:r>
      <w:r>
        <w:rPr>
          <w:rFonts w:hint="eastAsia" w:ascii="仿宋" w:hAnsi="仿宋" w:eastAsia="仿宋"/>
          <w:color w:val="auto"/>
          <w:sz w:val="32"/>
          <w:szCs w:val="24"/>
          <w:lang w:val="en-US" w:eastAsia="zh-CN"/>
        </w:rPr>
        <w:t>45.22</w:t>
      </w:r>
      <w:r>
        <w:rPr>
          <w:rFonts w:hint="eastAsia" w:ascii="仿宋" w:hAnsi="仿宋" w:eastAsia="仿宋"/>
          <w:color w:val="auto"/>
          <w:sz w:val="32"/>
          <w:szCs w:val="24"/>
          <w:lang w:val="en-US"/>
        </w:rPr>
        <w:t>万元，支出决算为45.22万元，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 w:hAnsi="仿宋" w:eastAsia="仿宋"/>
          <w:color w:val="auto"/>
          <w:sz w:val="32"/>
          <w:szCs w:val="24"/>
          <w:lang w:val="en-US"/>
        </w:rPr>
        <w:t>，主要原因是：在预算执行过程中，严格按照预算进行开支</w:t>
      </w:r>
      <w:r>
        <w:rPr>
          <w:rFonts w:hint="eastAsia" w:ascii="仿宋" w:hAnsi="仿宋" w:eastAsia="仿宋"/>
          <w:color w:val="auto"/>
          <w:sz w:val="32"/>
          <w:szCs w:val="24"/>
          <w:lang w:val="en-US" w:eastAsia="zh-CN"/>
        </w:rPr>
        <w:t>。</w:t>
      </w:r>
    </w:p>
    <w:p w14:paraId="3D910616">
      <w:pPr>
        <w:widowControl w:val="0"/>
        <w:autoSpaceDE w:val="0"/>
        <w:autoSpaceDN w:val="0"/>
        <w:adjustRightInd w:val="0"/>
        <w:ind w:firstLine="640" w:firstLineChars="200"/>
        <w:rPr>
          <w:rFonts w:hint="eastAsia" w:ascii="楷体" w:hAnsi="楷体" w:eastAsia="楷体" w:cs="楷体"/>
          <w:i/>
          <w:iCs/>
          <w:color w:val="auto"/>
          <w:kern w:val="0"/>
          <w:sz w:val="32"/>
          <w:szCs w:val="32"/>
          <w:lang w:val="en-US" w:eastAsia="zh-CN" w:bidi="ar-SA"/>
        </w:rPr>
      </w:pPr>
      <w:r>
        <w:rPr>
          <w:rFonts w:hint="eastAsia" w:ascii="仿宋" w:hAnsi="仿宋" w:eastAsia="仿宋"/>
          <w:color w:val="auto"/>
          <w:sz w:val="32"/>
          <w:szCs w:val="24"/>
          <w:lang w:val="en-US"/>
        </w:rPr>
        <w:t>节能环保支出（类）污染防治（款）水体（项）。年初预算为0万元，支出决算为17122.71万元，因预算数为0，无法计算百分比，主要原因是：</w:t>
      </w:r>
      <w:r>
        <w:rPr>
          <w:rFonts w:hint="eastAsia" w:ascii="仿宋" w:hAnsi="仿宋" w:eastAsia="仿宋"/>
          <w:color w:val="auto"/>
          <w:sz w:val="32"/>
          <w:szCs w:val="24"/>
          <w:lang w:val="en-US" w:eastAsia="zh-CN"/>
        </w:rPr>
        <w:t>追加了预算，增加的内容是</w:t>
      </w:r>
      <w:r>
        <w:rPr>
          <w:rFonts w:hint="eastAsia" w:ascii="仿宋_GB2312" w:hAnsi="仿宋_GB2312" w:eastAsia="仿宋_GB2312" w:cs="仿宋_GB2312"/>
          <w:color w:val="auto"/>
          <w:sz w:val="32"/>
          <w:szCs w:val="32"/>
        </w:rPr>
        <w:t>海绵城市示范项目建设的支出。</w:t>
      </w:r>
    </w:p>
    <w:p w14:paraId="2F52F82C">
      <w:pPr>
        <w:keepNext/>
        <w:keepLines/>
        <w:spacing w:beforeLines="0" w:afterLines="0"/>
        <w:ind w:firstLine="640"/>
        <w:rPr>
          <w:rFonts w:hint="eastAsia" w:ascii="仿宋" w:hAnsi="仿宋" w:eastAsia="仿宋"/>
          <w:color w:val="auto"/>
          <w:sz w:val="32"/>
          <w:szCs w:val="24"/>
          <w:lang w:val="en-US"/>
        </w:rPr>
      </w:pPr>
    </w:p>
    <w:p w14:paraId="2A2D09BB">
      <w:pPr>
        <w:keepNext/>
        <w:keepLines/>
        <w:spacing w:beforeLines="0" w:afterLines="0"/>
        <w:ind w:firstLine="640"/>
        <w:rPr>
          <w:rFonts w:hint="eastAsia" w:ascii="仿宋" w:hAnsi="仿宋" w:eastAsia="仿宋"/>
          <w:color w:val="auto"/>
          <w:sz w:val="32"/>
          <w:szCs w:val="24"/>
          <w:lang w:val="en-US" w:eastAsia="zh-CN"/>
        </w:rPr>
      </w:pPr>
      <w:r>
        <w:rPr>
          <w:rFonts w:hint="eastAsia" w:ascii="仿宋" w:hAnsi="仿宋" w:eastAsia="仿宋"/>
          <w:color w:val="auto"/>
          <w:sz w:val="32"/>
          <w:szCs w:val="24"/>
          <w:lang w:val="en-US"/>
        </w:rPr>
        <w:t>城乡社区支出（类）城乡社区管理事务（款）其他城乡社区管理事务支出（项）。年初预算为</w:t>
      </w:r>
      <w:r>
        <w:rPr>
          <w:rFonts w:hint="eastAsia" w:ascii="仿宋" w:hAnsi="仿宋" w:eastAsia="仿宋"/>
          <w:color w:val="auto"/>
          <w:sz w:val="32"/>
          <w:szCs w:val="24"/>
          <w:lang w:val="en-US" w:eastAsia="zh-CN"/>
        </w:rPr>
        <w:t>8</w:t>
      </w:r>
      <w:r>
        <w:rPr>
          <w:rFonts w:hint="eastAsia" w:ascii="仿宋" w:hAnsi="仿宋" w:eastAsia="仿宋"/>
          <w:color w:val="auto"/>
          <w:sz w:val="32"/>
          <w:szCs w:val="24"/>
          <w:lang w:val="en-US"/>
        </w:rPr>
        <w:t>万元，支出决算为1127.76万元，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14097</w:t>
      </w:r>
      <w:r>
        <w:rPr>
          <w:rFonts w:hint="eastAsia" w:ascii="仿宋_GB2312" w:hAnsi="仿宋_GB2312" w:eastAsia="仿宋_GB2312" w:cs="仿宋_GB2312"/>
          <w:color w:val="auto"/>
          <w:sz w:val="32"/>
          <w:szCs w:val="32"/>
        </w:rPr>
        <w:t>%</w:t>
      </w:r>
      <w:r>
        <w:rPr>
          <w:rFonts w:hint="eastAsia" w:ascii="仿宋" w:hAnsi="仿宋" w:eastAsia="仿宋"/>
          <w:color w:val="auto"/>
          <w:sz w:val="32"/>
          <w:szCs w:val="24"/>
          <w:lang w:val="en-US"/>
        </w:rPr>
        <w:t>，主要原因是：</w:t>
      </w:r>
      <w:r>
        <w:rPr>
          <w:rFonts w:hint="eastAsia" w:ascii="仿宋" w:hAnsi="仿宋" w:eastAsia="仿宋"/>
          <w:color w:val="auto"/>
          <w:sz w:val="32"/>
          <w:szCs w:val="24"/>
          <w:lang w:val="en-US" w:eastAsia="zh-CN"/>
        </w:rPr>
        <w:t>为了社会稳定，保障保交楼配套设施，追加了预算，增加的内容是</w:t>
      </w:r>
      <w:r>
        <w:rPr>
          <w:rFonts w:hint="eastAsia" w:ascii="仿宋" w:hAnsi="仿宋" w:eastAsia="仿宋"/>
          <w:color w:val="auto"/>
          <w:sz w:val="32"/>
          <w:szCs w:val="24"/>
          <w:lang w:val="en-US"/>
        </w:rPr>
        <w:t>保交楼配套道路及管网设施建设项目</w:t>
      </w:r>
      <w:r>
        <w:rPr>
          <w:rFonts w:hint="eastAsia" w:ascii="仿宋" w:hAnsi="仿宋" w:eastAsia="仿宋"/>
          <w:color w:val="auto"/>
          <w:sz w:val="32"/>
          <w:szCs w:val="24"/>
          <w:lang w:val="en-US" w:eastAsia="zh-CN"/>
        </w:rPr>
        <w:t>支出。</w:t>
      </w:r>
    </w:p>
    <w:p w14:paraId="23BAF162">
      <w:pPr>
        <w:keepNext/>
        <w:keepLines/>
        <w:spacing w:beforeLines="0" w:afterLines="0"/>
        <w:ind w:firstLine="640"/>
        <w:rPr>
          <w:rFonts w:hint="eastAsia" w:ascii="仿宋" w:hAnsi="仿宋" w:eastAsia="仿宋"/>
          <w:color w:val="auto"/>
          <w:sz w:val="32"/>
          <w:szCs w:val="24"/>
          <w:lang w:val="en-US" w:eastAsia="zh-CN"/>
        </w:rPr>
      </w:pPr>
      <w:r>
        <w:rPr>
          <w:rFonts w:hint="eastAsia" w:ascii="仿宋" w:hAnsi="仿宋" w:eastAsia="仿宋"/>
          <w:color w:val="auto"/>
          <w:sz w:val="32"/>
          <w:szCs w:val="24"/>
          <w:lang w:val="en-US"/>
        </w:rPr>
        <w:t>城乡社区支出（类）城乡社区规划与管理（款）城乡社区规划与管理（项）。年初预算为</w:t>
      </w:r>
      <w:r>
        <w:rPr>
          <w:rFonts w:hint="eastAsia" w:ascii="仿宋" w:hAnsi="仿宋" w:eastAsia="仿宋"/>
          <w:color w:val="auto"/>
          <w:sz w:val="32"/>
          <w:szCs w:val="24"/>
          <w:lang w:val="en-US" w:eastAsia="zh-CN"/>
        </w:rPr>
        <w:t>156</w:t>
      </w:r>
      <w:r>
        <w:rPr>
          <w:rFonts w:hint="eastAsia" w:ascii="仿宋" w:hAnsi="仿宋" w:eastAsia="仿宋"/>
          <w:color w:val="auto"/>
          <w:sz w:val="32"/>
          <w:szCs w:val="24"/>
          <w:lang w:val="en-US"/>
        </w:rPr>
        <w:t>万元，支出决算为160.52万元，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102</w:t>
      </w:r>
      <w:r>
        <w:rPr>
          <w:rFonts w:hint="eastAsia" w:ascii="仿宋_GB2312" w:hAnsi="仿宋_GB2312" w:eastAsia="仿宋_GB2312" w:cs="仿宋_GB2312"/>
          <w:color w:val="auto"/>
          <w:sz w:val="32"/>
          <w:szCs w:val="32"/>
        </w:rPr>
        <w:t>%</w:t>
      </w:r>
      <w:r>
        <w:rPr>
          <w:rFonts w:hint="eastAsia" w:ascii="仿宋" w:hAnsi="仿宋" w:eastAsia="仿宋"/>
          <w:color w:val="auto"/>
          <w:sz w:val="32"/>
          <w:szCs w:val="24"/>
          <w:lang w:val="en-US"/>
        </w:rPr>
        <w:t>，主要原因是：</w:t>
      </w:r>
      <w:r>
        <w:rPr>
          <w:rFonts w:hint="eastAsia" w:ascii="仿宋" w:hAnsi="仿宋" w:eastAsia="仿宋"/>
          <w:color w:val="auto"/>
          <w:sz w:val="32"/>
          <w:szCs w:val="24"/>
          <w:lang w:val="en-US" w:eastAsia="zh-CN"/>
        </w:rPr>
        <w:t>使用了上年度的结转资金。</w:t>
      </w:r>
    </w:p>
    <w:p w14:paraId="39820859">
      <w:pPr>
        <w:keepNext/>
        <w:keepLines/>
        <w:spacing w:beforeLines="0" w:afterLines="0"/>
        <w:ind w:firstLine="641"/>
        <w:rPr>
          <w:rFonts w:hint="eastAsia" w:ascii="仿宋" w:hAnsi="仿宋" w:eastAsia="仿宋"/>
          <w:color w:val="auto"/>
          <w:sz w:val="32"/>
          <w:szCs w:val="24"/>
          <w:highlight w:val="white"/>
          <w:lang w:val="zh-CN"/>
        </w:rPr>
      </w:pPr>
      <w:r>
        <w:rPr>
          <w:rFonts w:hint="eastAsia" w:ascii="仿宋" w:hAnsi="仿宋" w:eastAsia="仿宋"/>
          <w:color w:val="auto"/>
          <w:sz w:val="32"/>
          <w:szCs w:val="24"/>
          <w:lang w:val="en-US"/>
        </w:rPr>
        <w:t>城乡社区支出（类）其他城乡社区支出（款）其他城乡社区支出（项）。年初预算为0万元，支出决算为13605.19万元，因预算数为0，无法计算百分比，主要原因是：</w:t>
      </w:r>
      <w:r>
        <w:rPr>
          <w:rFonts w:hint="eastAsia" w:ascii="仿宋" w:hAnsi="仿宋" w:eastAsia="仿宋"/>
          <w:color w:val="000000" w:themeColor="text1"/>
          <w:sz w:val="32"/>
          <w:szCs w:val="24"/>
          <w:highlight w:val="white"/>
          <w:lang w:val="en-US" w:eastAsia="zh-CN"/>
          <w14:textFill>
            <w14:solidFill>
              <w14:schemeClr w14:val="tx1"/>
            </w14:solidFill>
          </w14:textFill>
        </w:rPr>
        <w:t>增加了超长期国债项目和中央预算内项目支出</w:t>
      </w:r>
      <w:r>
        <w:rPr>
          <w:rFonts w:hint="eastAsia" w:ascii="仿宋" w:hAnsi="仿宋" w:eastAsia="仿宋"/>
          <w:color w:val="000000" w:themeColor="text1"/>
          <w:sz w:val="32"/>
          <w:szCs w:val="24"/>
          <w:highlight w:val="white"/>
          <w:lang w:val="zh-CN"/>
          <w14:textFill>
            <w14:solidFill>
              <w14:schemeClr w14:val="tx1"/>
            </w14:solidFill>
          </w14:textFill>
        </w:rPr>
        <w:t>。</w:t>
      </w:r>
    </w:p>
    <w:p w14:paraId="429F2FFB">
      <w:pPr>
        <w:keepNext/>
        <w:keepLines/>
        <w:spacing w:beforeLines="0" w:afterLines="0"/>
        <w:ind w:firstLine="640"/>
        <w:rPr>
          <w:rFonts w:hint="eastAsia" w:ascii="仿宋" w:hAnsi="仿宋" w:eastAsia="仿宋"/>
          <w:color w:val="auto"/>
          <w:sz w:val="32"/>
          <w:szCs w:val="24"/>
          <w:lang w:val="en-US"/>
        </w:rPr>
      </w:pPr>
    </w:p>
    <w:p w14:paraId="1F114581">
      <w:pPr>
        <w:keepNext/>
        <w:keepLines/>
        <w:spacing w:beforeLines="0" w:afterLines="0"/>
        <w:ind w:firstLine="640"/>
        <w:rPr>
          <w:rFonts w:hint="eastAsia" w:ascii="仿宋" w:hAnsi="仿宋" w:eastAsia="仿宋"/>
          <w:color w:val="auto"/>
          <w:sz w:val="32"/>
          <w:szCs w:val="24"/>
          <w:lang w:val="en-US"/>
        </w:rPr>
      </w:pPr>
    </w:p>
    <w:p w14:paraId="69777494">
      <w:pPr>
        <w:keepNext/>
        <w:keepLines/>
        <w:spacing w:beforeLines="0" w:afterLines="0"/>
        <w:ind w:firstLine="640"/>
        <w:rPr>
          <w:rFonts w:hint="eastAsia" w:ascii="仿宋" w:hAnsi="仿宋" w:eastAsia="仿宋"/>
          <w:color w:val="auto"/>
          <w:sz w:val="32"/>
          <w:szCs w:val="24"/>
          <w:lang w:val="en-US"/>
        </w:rPr>
      </w:pPr>
      <w:r>
        <w:rPr>
          <w:rFonts w:hint="eastAsia" w:ascii="仿宋" w:hAnsi="仿宋" w:eastAsia="仿宋"/>
          <w:color w:val="auto"/>
          <w:sz w:val="32"/>
          <w:szCs w:val="24"/>
          <w:lang w:val="en-US"/>
        </w:rPr>
        <w:t>资源勘探工业信息等支出（类）建筑业（款）行政运行（项）。年初预算为</w:t>
      </w:r>
      <w:r>
        <w:rPr>
          <w:rFonts w:hint="eastAsia" w:ascii="仿宋" w:hAnsi="仿宋" w:eastAsia="仿宋"/>
          <w:color w:val="auto"/>
          <w:sz w:val="32"/>
          <w:szCs w:val="24"/>
          <w:lang w:val="en-US" w:eastAsia="zh-CN"/>
        </w:rPr>
        <w:t>945.75</w:t>
      </w:r>
      <w:r>
        <w:rPr>
          <w:rFonts w:hint="eastAsia" w:ascii="仿宋" w:hAnsi="仿宋" w:eastAsia="仿宋"/>
          <w:color w:val="auto"/>
          <w:sz w:val="32"/>
          <w:szCs w:val="24"/>
          <w:lang w:val="en-US"/>
        </w:rPr>
        <w:t>万元，支出决算为942.41万元，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99.64</w:t>
      </w:r>
      <w:r>
        <w:rPr>
          <w:rFonts w:hint="eastAsia" w:ascii="仿宋_GB2312" w:hAnsi="仿宋_GB2312" w:eastAsia="仿宋_GB2312" w:cs="仿宋_GB2312"/>
          <w:color w:val="auto"/>
          <w:sz w:val="32"/>
          <w:szCs w:val="32"/>
        </w:rPr>
        <w:t>%</w:t>
      </w:r>
      <w:r>
        <w:rPr>
          <w:rFonts w:hint="eastAsia" w:ascii="仿宋" w:hAnsi="仿宋" w:eastAsia="仿宋"/>
          <w:color w:val="auto"/>
          <w:sz w:val="32"/>
          <w:szCs w:val="24"/>
          <w:lang w:val="en-US"/>
        </w:rPr>
        <w:t>，主要原因是：</w:t>
      </w:r>
      <w:r>
        <w:rPr>
          <w:rFonts w:hint="eastAsia" w:ascii="仿宋_GB2312" w:hAnsi="仿宋_GB2312" w:eastAsia="仿宋_GB2312" w:cs="仿宋_GB2312"/>
          <w:color w:val="auto"/>
          <w:sz w:val="32"/>
          <w:szCs w:val="32"/>
          <w:lang w:val="en-US" w:eastAsia="zh-CN"/>
        </w:rPr>
        <w:t>落实财政“过紧日子”要求。</w:t>
      </w:r>
    </w:p>
    <w:p w14:paraId="32B3C418">
      <w:pPr>
        <w:keepNext/>
        <w:keepLines/>
        <w:spacing w:beforeLines="0" w:afterLines="0"/>
        <w:ind w:firstLine="640"/>
        <w:rPr>
          <w:rFonts w:hint="eastAsia" w:ascii="仿宋" w:hAnsi="仿宋" w:eastAsia="仿宋"/>
          <w:color w:val="auto"/>
          <w:sz w:val="32"/>
          <w:szCs w:val="24"/>
          <w:lang w:val="en-US"/>
        </w:rPr>
      </w:pPr>
      <w:r>
        <w:rPr>
          <w:rFonts w:hint="eastAsia" w:ascii="仿宋" w:hAnsi="仿宋" w:eastAsia="仿宋"/>
          <w:color w:val="auto"/>
          <w:sz w:val="32"/>
          <w:szCs w:val="24"/>
          <w:lang w:val="en-US"/>
        </w:rPr>
        <w:t>住房保障支出（类）住房改革支出（款）住房公积金（项）。年初预算为</w:t>
      </w:r>
      <w:r>
        <w:rPr>
          <w:rFonts w:hint="eastAsia" w:ascii="仿宋" w:hAnsi="仿宋" w:eastAsia="仿宋"/>
          <w:color w:val="auto"/>
          <w:sz w:val="32"/>
          <w:szCs w:val="24"/>
          <w:lang w:val="en-US" w:eastAsia="zh-CN"/>
        </w:rPr>
        <w:t>83.89</w:t>
      </w:r>
      <w:r>
        <w:rPr>
          <w:rFonts w:hint="eastAsia" w:ascii="仿宋" w:hAnsi="仿宋" w:eastAsia="仿宋"/>
          <w:color w:val="auto"/>
          <w:sz w:val="32"/>
          <w:szCs w:val="24"/>
          <w:lang w:val="en-US"/>
        </w:rPr>
        <w:t>万元，支出决算为83.79万元，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99.88</w:t>
      </w:r>
      <w:r>
        <w:rPr>
          <w:rFonts w:hint="eastAsia" w:ascii="仿宋_GB2312" w:hAnsi="仿宋_GB2312" w:eastAsia="仿宋_GB2312" w:cs="仿宋_GB2312"/>
          <w:color w:val="auto"/>
          <w:sz w:val="32"/>
          <w:szCs w:val="32"/>
        </w:rPr>
        <w:t>%</w:t>
      </w:r>
      <w:r>
        <w:rPr>
          <w:rFonts w:hint="eastAsia" w:ascii="仿宋" w:hAnsi="仿宋" w:eastAsia="仿宋"/>
          <w:color w:val="auto"/>
          <w:sz w:val="32"/>
          <w:szCs w:val="24"/>
          <w:lang w:val="en-US"/>
        </w:rPr>
        <w:t>，主要原因是：</w:t>
      </w:r>
      <w:r>
        <w:rPr>
          <w:rFonts w:hint="eastAsia" w:ascii="仿宋_GB2312" w:hAnsi="仿宋_GB2312" w:eastAsia="仿宋_GB2312" w:cs="仿宋_GB2312"/>
          <w:color w:val="auto"/>
          <w:sz w:val="32"/>
          <w:szCs w:val="32"/>
          <w:lang w:val="en-US" w:eastAsia="zh-CN"/>
        </w:rPr>
        <w:t>落实财政“过紧日子”要求。</w:t>
      </w:r>
    </w:p>
    <w:p w14:paraId="03073F96">
      <w:pPr>
        <w:keepNext/>
        <w:keepLines/>
        <w:spacing w:beforeLines="0" w:afterLines="0"/>
        <w:ind w:firstLine="640"/>
        <w:rPr>
          <w:rFonts w:hint="eastAsia" w:ascii="仿宋" w:hAnsi="仿宋" w:eastAsia="仿宋"/>
          <w:color w:val="auto"/>
          <w:sz w:val="32"/>
          <w:szCs w:val="24"/>
          <w:lang w:val="en-US"/>
        </w:rPr>
      </w:pPr>
    </w:p>
    <w:p w14:paraId="1D41969F">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p>
    <w:p w14:paraId="373E8BA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51885B62">
      <w:pPr>
        <w:keepNext/>
        <w:keepLines/>
        <w:spacing w:beforeLines="0" w:afterLines="0"/>
        <w:ind w:firstLine="640"/>
        <w:jc w:val="left"/>
        <w:rPr>
          <w:rFonts w:hint="eastAsia" w:ascii="仿宋" w:hAnsi="仿宋" w:eastAsia="仿宋"/>
          <w:color w:val="auto"/>
          <w:kern w:val="0"/>
          <w:sz w:val="32"/>
          <w:szCs w:val="24"/>
          <w:highlight w:val="white"/>
          <w:lang w:val="en-US"/>
        </w:rPr>
      </w:pPr>
      <w:r>
        <w:rPr>
          <w:rFonts w:hint="eastAsia" w:ascii="仿宋" w:hAnsi="仿宋" w:eastAsia="仿宋"/>
          <w:color w:val="auto"/>
          <w:sz w:val="32"/>
          <w:szCs w:val="24"/>
          <w:highlight w:val="white"/>
          <w:lang w:val="zh-CN"/>
        </w:rPr>
        <w:t>2024年度</w:t>
      </w:r>
      <w:r>
        <w:rPr>
          <w:rFonts w:hint="eastAsia" w:ascii="仿宋" w:hAnsi="仿宋" w:eastAsia="仿宋"/>
          <w:color w:val="auto"/>
          <w:kern w:val="0"/>
          <w:sz w:val="32"/>
          <w:szCs w:val="24"/>
          <w:highlight w:val="white"/>
          <w:lang w:val="en-US"/>
        </w:rPr>
        <w:t>财政拨款基本支出1337.65万元，其中:</w:t>
      </w:r>
    </w:p>
    <w:p w14:paraId="43A1862D">
      <w:pPr>
        <w:keepNext/>
        <w:keepLines/>
        <w:spacing w:beforeLines="0" w:afterLines="0"/>
        <w:ind w:firstLine="643"/>
        <w:jc w:val="left"/>
        <w:rPr>
          <w:rFonts w:hint="eastAsia" w:ascii="仿宋" w:hAnsi="仿宋" w:eastAsia="仿宋"/>
          <w:color w:val="auto"/>
          <w:kern w:val="0"/>
          <w:sz w:val="32"/>
          <w:szCs w:val="24"/>
          <w:highlight w:val="white"/>
          <w:lang w:val="zh-CN"/>
        </w:rPr>
      </w:pPr>
      <w:r>
        <w:rPr>
          <w:rFonts w:hint="eastAsia" w:ascii="仿宋" w:hAnsi="仿宋" w:eastAsia="仿宋"/>
          <w:b/>
          <w:color w:val="auto"/>
          <w:kern w:val="0"/>
          <w:sz w:val="32"/>
          <w:szCs w:val="24"/>
          <w:highlight w:val="white"/>
          <w:lang w:val="en-US"/>
        </w:rPr>
        <w:t>人员经费</w:t>
      </w:r>
      <w:r>
        <w:rPr>
          <w:rFonts w:hint="eastAsia" w:ascii="仿宋" w:hAnsi="仿宋" w:eastAsia="仿宋"/>
          <w:color w:val="auto"/>
          <w:kern w:val="0"/>
          <w:sz w:val="32"/>
          <w:szCs w:val="24"/>
          <w:highlight w:val="white"/>
          <w:lang w:val="en-US"/>
        </w:rPr>
        <w:t>1237.04万元，</w:t>
      </w:r>
      <w:r>
        <w:rPr>
          <w:rFonts w:hint="eastAsia" w:ascii="仿宋" w:hAnsi="仿宋" w:eastAsia="仿宋"/>
          <w:color w:val="auto"/>
          <w:sz w:val="32"/>
          <w:szCs w:val="24"/>
          <w:highlight w:val="white"/>
          <w:lang w:val="zh-CN"/>
        </w:rPr>
        <w:t>占基本支出的</w:t>
      </w:r>
      <w:r>
        <w:rPr>
          <w:rFonts w:hint="eastAsia" w:ascii="仿宋" w:hAnsi="仿宋" w:eastAsia="仿宋"/>
          <w:color w:val="auto"/>
          <w:kern w:val="0"/>
          <w:sz w:val="32"/>
          <w:szCs w:val="24"/>
          <w:highlight w:val="white"/>
          <w:lang w:val="en-US"/>
        </w:rPr>
        <w:t>92.48%，主要包括基本工资、津贴补贴、</w:t>
      </w:r>
      <w:r>
        <w:rPr>
          <w:rFonts w:hint="eastAsia" w:ascii="仿宋" w:hAnsi="仿宋" w:eastAsia="仿宋"/>
          <w:color w:val="auto"/>
          <w:kern w:val="0"/>
          <w:sz w:val="32"/>
          <w:szCs w:val="24"/>
          <w:highlight w:val="white"/>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14:paraId="742F872B">
      <w:pPr>
        <w:keepNext/>
        <w:keepLines/>
        <w:spacing w:beforeLines="0" w:afterLines="0"/>
        <w:ind w:firstLine="643"/>
        <w:jc w:val="left"/>
        <w:rPr>
          <w:rFonts w:hint="eastAsia" w:ascii="仿宋" w:hAnsi="仿宋" w:eastAsia="仿宋"/>
          <w:color w:val="auto"/>
          <w:sz w:val="32"/>
          <w:szCs w:val="24"/>
          <w:lang w:val="en-US"/>
        </w:rPr>
      </w:pPr>
      <w:r>
        <w:rPr>
          <w:rFonts w:hint="eastAsia" w:ascii="仿宋" w:hAnsi="仿宋" w:eastAsia="仿宋"/>
          <w:b/>
          <w:color w:val="auto"/>
          <w:kern w:val="0"/>
          <w:sz w:val="32"/>
          <w:szCs w:val="24"/>
          <w:highlight w:val="white"/>
          <w:lang w:val="en-US"/>
        </w:rPr>
        <w:t>公用经费</w:t>
      </w:r>
      <w:r>
        <w:rPr>
          <w:rFonts w:hint="eastAsia" w:ascii="仿宋" w:hAnsi="仿宋" w:eastAsia="仿宋"/>
          <w:color w:val="auto"/>
          <w:kern w:val="0"/>
          <w:sz w:val="32"/>
          <w:szCs w:val="24"/>
          <w:highlight w:val="white"/>
          <w:lang w:val="en-US"/>
        </w:rPr>
        <w:t>100.61万元，</w:t>
      </w:r>
      <w:r>
        <w:rPr>
          <w:rFonts w:hint="eastAsia" w:ascii="仿宋" w:hAnsi="仿宋" w:eastAsia="仿宋"/>
          <w:color w:val="auto"/>
          <w:sz w:val="32"/>
          <w:szCs w:val="24"/>
          <w:highlight w:val="white"/>
          <w:lang w:val="zh-CN"/>
        </w:rPr>
        <w:t>占基本支出的</w:t>
      </w:r>
      <w:r>
        <w:rPr>
          <w:rFonts w:hint="eastAsia" w:ascii="仿宋" w:hAnsi="仿宋" w:eastAsia="仿宋"/>
          <w:color w:val="auto"/>
          <w:kern w:val="0"/>
          <w:sz w:val="32"/>
          <w:szCs w:val="24"/>
          <w:highlight w:val="white"/>
          <w:lang w:val="en-US"/>
        </w:rPr>
        <w:t>7.52%，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14:paraId="238B276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7A8C91E0">
      <w:pPr>
        <w:keepNext/>
        <w:keepLines/>
        <w:spacing w:beforeLines="0" w:afterLines="0"/>
        <w:ind w:firstLine="640"/>
        <w:rPr>
          <w:rFonts w:hint="eastAsia" w:ascii="仿宋" w:hAnsi="仿宋" w:eastAsia="仿宋"/>
          <w:b/>
          <w:color w:val="auto"/>
          <w:sz w:val="32"/>
          <w:szCs w:val="24"/>
          <w:highlight w:val="white"/>
          <w:lang w:val="zh-CN"/>
        </w:rPr>
      </w:pPr>
      <w:r>
        <w:rPr>
          <w:rFonts w:hint="eastAsia" w:ascii="仿宋" w:hAnsi="仿宋" w:eastAsia="仿宋"/>
          <w:color w:val="auto"/>
          <w:sz w:val="32"/>
          <w:szCs w:val="24"/>
          <w:highlight w:val="white"/>
          <w:lang w:val="zh-CN"/>
        </w:rPr>
        <w:t>2024年政府性基金预算财政拨款收入4848.72万元,年初结转和结余0元万元,本年支出4848.72万元,其中：基本支出0元万元,项目支出4848.72万元,年末结转和结余0元万元,具体情况如下：</w:t>
      </w:r>
    </w:p>
    <w:p w14:paraId="776B52A5">
      <w:pPr>
        <w:pStyle w:val="13"/>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b/>
          <w:bCs/>
          <w:i/>
          <w:color w:val="auto"/>
          <w:kern w:val="0"/>
          <w:sz w:val="32"/>
          <w:szCs w:val="32"/>
          <w:lang w:val="en-US" w:eastAsia="zh-CN" w:bidi="ar-SA"/>
        </w:rPr>
      </w:pPr>
    </w:p>
    <w:p w14:paraId="2977F211">
      <w:pPr>
        <w:keepNext/>
        <w:keepLines/>
        <w:spacing w:beforeLines="0" w:afterLines="0"/>
        <w:ind w:firstLine="640"/>
        <w:rPr>
          <w:rFonts w:hint="eastAsia" w:ascii="仿宋" w:hAnsi="仿宋" w:eastAsia="仿宋"/>
          <w:color w:val="auto"/>
          <w:sz w:val="32"/>
          <w:szCs w:val="24"/>
          <w:lang w:val="en-US"/>
        </w:rPr>
      </w:pPr>
      <w:r>
        <w:rPr>
          <w:rFonts w:hint="eastAsia" w:ascii="仿宋" w:hAnsi="仿宋" w:eastAsia="仿宋"/>
          <w:color w:val="auto"/>
          <w:sz w:val="32"/>
          <w:szCs w:val="24"/>
          <w:lang w:val="en-US"/>
        </w:rPr>
        <w:t>城乡社区支出（类）超长期特别国债安排的支出（款）其他城乡社区支出（项）。年初预算为0万元，支出决算为3000万元，因预算数为0，无法计算百分比，主要原因是：</w:t>
      </w:r>
      <w:r>
        <w:rPr>
          <w:rFonts w:hint="eastAsia" w:ascii="仿宋" w:hAnsi="仿宋" w:eastAsia="仿宋"/>
          <w:color w:val="000000" w:themeColor="text1"/>
          <w:sz w:val="32"/>
          <w:szCs w:val="24"/>
          <w:highlight w:val="white"/>
          <w:lang w:val="en-US" w:eastAsia="zh-CN"/>
          <w14:textFill>
            <w14:solidFill>
              <w14:schemeClr w14:val="tx1"/>
            </w14:solidFill>
          </w14:textFill>
        </w:rPr>
        <w:t>增加了超长期国债项目和中央预算内项目支出</w:t>
      </w:r>
      <w:r>
        <w:rPr>
          <w:rFonts w:hint="eastAsia" w:ascii="仿宋" w:hAnsi="仿宋" w:eastAsia="仿宋"/>
          <w:color w:val="000000" w:themeColor="text1"/>
          <w:sz w:val="32"/>
          <w:szCs w:val="24"/>
          <w:highlight w:val="white"/>
          <w:lang w:val="zh-CN"/>
          <w14:textFill>
            <w14:solidFill>
              <w14:schemeClr w14:val="tx1"/>
            </w14:solidFill>
          </w14:textFill>
        </w:rPr>
        <w:t>。</w:t>
      </w:r>
    </w:p>
    <w:p w14:paraId="04972349">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仿宋_GB2312" w:hAnsi="仿宋_GB2312" w:eastAsia="仿宋_GB2312" w:cs="仿宋_GB2312"/>
          <w:i/>
          <w:color w:val="FF0000"/>
          <w:kern w:val="0"/>
          <w:sz w:val="32"/>
          <w:szCs w:val="32"/>
          <w:lang w:val="en-US" w:eastAsia="zh-CN" w:bidi="ar-SA"/>
        </w:rPr>
      </w:pPr>
    </w:p>
    <w:p w14:paraId="1D4CC7AB">
      <w:pPr>
        <w:keepNext/>
        <w:keepLines/>
        <w:spacing w:beforeLines="0" w:afterLines="0"/>
        <w:ind w:firstLine="640"/>
        <w:rPr>
          <w:rFonts w:hint="eastAsia" w:ascii="仿宋" w:hAnsi="仿宋" w:eastAsia="仿宋"/>
          <w:color w:val="auto"/>
          <w:sz w:val="32"/>
          <w:szCs w:val="24"/>
          <w:lang w:val="en-US"/>
        </w:rPr>
      </w:pPr>
    </w:p>
    <w:p w14:paraId="14861A07">
      <w:pPr>
        <w:keepNext/>
        <w:keepLines/>
        <w:spacing w:beforeLines="0" w:afterLines="0"/>
        <w:ind w:firstLine="640"/>
        <w:rPr>
          <w:rFonts w:hint="eastAsia" w:ascii="仿宋" w:hAnsi="仿宋" w:eastAsia="仿宋"/>
          <w:color w:val="auto"/>
          <w:sz w:val="32"/>
          <w:szCs w:val="24"/>
          <w:lang w:val="en-US"/>
        </w:rPr>
      </w:pPr>
      <w:r>
        <w:rPr>
          <w:rFonts w:hint="eastAsia" w:ascii="仿宋" w:hAnsi="仿宋" w:eastAsia="仿宋"/>
          <w:color w:val="auto"/>
          <w:sz w:val="32"/>
          <w:szCs w:val="24"/>
          <w:lang w:val="en-US"/>
        </w:rPr>
        <w:t>其他支出（类）其他政府性基金及对应专项债务收入安排的支出（款）其他地方自行试点项目收益专项债券收入安排的支出（项）。年初预算为0万元，支出决算为1848.72万元，因预算数为0，无法计算百分比，主要原因是：</w:t>
      </w:r>
      <w:r>
        <w:rPr>
          <w:rFonts w:hint="eastAsia" w:ascii="仿宋" w:hAnsi="仿宋" w:eastAsia="仿宋"/>
          <w:color w:val="000000" w:themeColor="text1"/>
          <w:sz w:val="32"/>
          <w:szCs w:val="24"/>
          <w:highlight w:val="white"/>
          <w:lang w:val="en-US" w:eastAsia="zh-CN"/>
          <w14:textFill>
            <w14:solidFill>
              <w14:schemeClr w14:val="tx1"/>
            </w14:solidFill>
          </w14:textFill>
        </w:rPr>
        <w:t>增加了超长期国债项目和中央预算内项目支出</w:t>
      </w:r>
      <w:r>
        <w:rPr>
          <w:rFonts w:hint="eastAsia" w:ascii="仿宋" w:hAnsi="仿宋" w:eastAsia="仿宋"/>
          <w:color w:val="000000" w:themeColor="text1"/>
          <w:sz w:val="32"/>
          <w:szCs w:val="24"/>
          <w:highlight w:val="white"/>
          <w:lang w:val="zh-CN"/>
          <w14:textFill>
            <w14:solidFill>
              <w14:schemeClr w14:val="tx1"/>
            </w14:solidFill>
          </w14:textFill>
        </w:rPr>
        <w:t>。</w:t>
      </w:r>
    </w:p>
    <w:p w14:paraId="377B4500">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仿宋_GB2312" w:hAnsi="仿宋_GB2312" w:eastAsia="仿宋_GB2312" w:cs="仿宋_GB2312"/>
          <w:i/>
          <w:color w:val="FF0000"/>
          <w:kern w:val="0"/>
          <w:sz w:val="32"/>
          <w:szCs w:val="32"/>
          <w:lang w:val="en-US" w:eastAsia="zh-CN" w:bidi="ar-SA"/>
        </w:rPr>
      </w:pPr>
    </w:p>
    <w:p w14:paraId="62106B85">
      <w:pPr>
        <w:keepNext/>
        <w:keepLines/>
        <w:spacing w:beforeLines="0" w:afterLines="0"/>
        <w:ind w:firstLine="640"/>
        <w:rPr>
          <w:rFonts w:hint="eastAsia" w:ascii="黑体" w:hAnsi="黑体" w:eastAsia="黑体"/>
          <w:color w:val="auto"/>
          <w:sz w:val="32"/>
          <w:szCs w:val="24"/>
          <w:highlight w:val="white"/>
          <w:lang w:val="zh-CN"/>
        </w:rPr>
      </w:pPr>
      <w:r>
        <w:rPr>
          <w:rFonts w:hint="eastAsia" w:ascii="黑体" w:hAnsi="黑体" w:eastAsia="黑体"/>
          <w:color w:val="auto"/>
          <w:sz w:val="32"/>
          <w:szCs w:val="24"/>
          <w:highlight w:val="white"/>
          <w:lang w:val="zh-CN"/>
        </w:rPr>
        <w:t>八、国有资本经营预算财政拨款支出决算情况</w:t>
      </w:r>
    </w:p>
    <w:p w14:paraId="7C764B4F">
      <w:pPr>
        <w:keepNext/>
        <w:keepLines/>
        <w:spacing w:beforeLines="0" w:afterLines="0"/>
        <w:ind w:firstLine="640"/>
        <w:rPr>
          <w:rFonts w:hint="eastAsia" w:ascii="黑体" w:hAnsi="黑体" w:eastAsia="黑体"/>
          <w:color w:val="auto"/>
          <w:sz w:val="32"/>
          <w:szCs w:val="24"/>
          <w:highlight w:val="white"/>
          <w:lang w:val="zh-CN"/>
        </w:rPr>
      </w:pPr>
      <w:r>
        <w:rPr>
          <w:rFonts w:hint="eastAsia" w:ascii="仿宋" w:hAnsi="仿宋" w:eastAsia="仿宋"/>
          <w:color w:val="auto"/>
          <w:sz w:val="32"/>
          <w:szCs w:val="24"/>
          <w:highlight w:val="white"/>
          <w:lang w:val="zh-CN"/>
        </w:rPr>
        <w:t>2024年度国有资本经营预算财政拨款收入0万元；年初结转和结余0万；支出0万元，其中：基本支出0万元，项目支出0万元；年末结转和结余0万元。</w:t>
      </w:r>
    </w:p>
    <w:p w14:paraId="5876C25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6298EF1D">
      <w:pPr>
        <w:pStyle w:val="13"/>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经费财政拨款支出决算总体情况说明</w:t>
      </w:r>
    </w:p>
    <w:p w14:paraId="65B7314C">
      <w:pPr>
        <w:pStyle w:val="13"/>
        <w:overflowPunct w:val="0"/>
        <w:autoSpaceDE/>
        <w:autoSpaceDN/>
        <w:spacing w:line="600" w:lineRule="exact"/>
        <w:ind w:firstLine="640" w:firstLineChars="200"/>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2024年度“三公”经费财政拨款支出预算为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小</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于预算数</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，主要原因是按有关政策厉行节约，严控“三公经费”支出。</w:t>
      </w:r>
    </w:p>
    <w:p w14:paraId="0DC75A4B">
      <w:pPr>
        <w:pStyle w:val="13"/>
        <w:overflowPunct w:val="0"/>
        <w:autoSpaceDE/>
        <w:autoSpaceDN/>
        <w:spacing w:line="600" w:lineRule="exact"/>
        <w:ind w:firstLine="640" w:firstLineChars="200"/>
        <w:jc w:val="both"/>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（二）</w:t>
      </w:r>
      <w:r>
        <w:rPr>
          <w:rFonts w:hint="eastAsia" w:ascii="Times New Roman" w:hAnsi="Times New Roman" w:eastAsia="楷体_GB2312" w:cs="Times New Roman"/>
          <w:b/>
          <w:color w:val="000000" w:themeColor="text1"/>
          <w:sz w:val="32"/>
          <w:szCs w:val="32"/>
          <w:lang w:eastAsia="zh-CN"/>
          <w14:textFill>
            <w14:solidFill>
              <w14:schemeClr w14:val="tx1"/>
            </w14:solidFill>
          </w14:textFill>
        </w:rPr>
        <w:t>“三公”</w:t>
      </w:r>
      <w:r>
        <w:rPr>
          <w:rFonts w:ascii="Times New Roman" w:hAnsi="Times New Roman" w:eastAsia="楷体_GB2312" w:cs="Times New Roman"/>
          <w:b/>
          <w:color w:val="000000" w:themeColor="text1"/>
          <w:sz w:val="32"/>
          <w:szCs w:val="32"/>
          <w14:textFill>
            <w14:solidFill>
              <w14:schemeClr w14:val="tx1"/>
            </w14:solidFill>
          </w14:textFill>
        </w:rPr>
        <w:t>经费财政拨款支出决算具体情况说明</w:t>
      </w:r>
    </w:p>
    <w:p w14:paraId="442CCBD3">
      <w:pPr>
        <w:pStyle w:val="13"/>
        <w:overflowPunct w:val="0"/>
        <w:autoSpaceDE/>
        <w:autoSpaceDN/>
        <w:spacing w:line="600" w:lineRule="exact"/>
        <w:ind w:firstLine="640" w:firstLineChars="200"/>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1.因公出国（境）费支出预算为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决算数等于预算数</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，主要原因是未安排因公出国（境）活动。</w:t>
      </w:r>
      <w:r>
        <w:rPr>
          <w:rFonts w:ascii="Times New Roman" w:hAnsi="Times New Roman" w:eastAsia="仿宋_GB2312" w:cs="Times New Roman"/>
          <w:color w:val="000000" w:themeColor="text1"/>
          <w:sz w:val="32"/>
          <w:szCs w:val="32"/>
          <w14:textFill>
            <w14:solidFill>
              <w14:schemeClr w14:val="tx1"/>
            </w14:solidFill>
          </w14:textFill>
        </w:rPr>
        <w:t>2024年度安排因公出国（境）团组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个，累计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人次</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14:paraId="17718729">
      <w:pPr>
        <w:pStyle w:val="13"/>
        <w:overflowPunct w:val="0"/>
        <w:autoSpaceDE/>
        <w:autoSpaceDN/>
        <w:spacing w:line="600"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2.公务用车购置费及运行维护费支出预算为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决算数等于预算数</w:t>
      </w:r>
      <w:r>
        <w:rPr>
          <w:rFonts w:ascii="Times New Roman" w:hAnsi="Times New Roman" w:eastAsia="仿宋_GB2312" w:cs="Times New Roman"/>
          <w:color w:val="000000" w:themeColor="text1"/>
          <w:sz w:val="32"/>
          <w:szCs w:val="32"/>
          <w14:textFill>
            <w14:solidFill>
              <w14:schemeClr w14:val="tx1"/>
            </w14:solidFill>
          </w14:textFill>
        </w:rPr>
        <w:t>；其中：</w:t>
      </w:r>
    </w:p>
    <w:p w14:paraId="4C69D5C3">
      <w:pPr>
        <w:pStyle w:val="13"/>
        <w:overflowPunct w:val="0"/>
        <w:autoSpaceDE/>
        <w:autoSpaceDN/>
        <w:spacing w:line="600" w:lineRule="exact"/>
        <w:ind w:firstLine="640" w:firstLineChars="200"/>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公务用车购置费支出预算为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决算数等于预算数，主要原因是两年均未购置公务用车。本单位</w:t>
      </w:r>
      <w:r>
        <w:rPr>
          <w:rFonts w:ascii="Times New Roman" w:hAnsi="Times New Roman" w:eastAsia="仿宋_GB2312" w:cs="Times New Roman"/>
          <w:color w:val="000000" w:themeColor="text1"/>
          <w:sz w:val="32"/>
          <w:szCs w:val="32"/>
          <w14:textFill>
            <w14:solidFill>
              <w14:schemeClr w14:val="tx1"/>
            </w14:solidFill>
          </w14:textFill>
        </w:rPr>
        <w:t>更新公务用车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14:paraId="4BF51028">
      <w:pPr>
        <w:pStyle w:val="13"/>
        <w:overflowPunct w:val="0"/>
        <w:autoSpaceDE/>
        <w:autoSpaceDN/>
        <w:spacing w:line="600" w:lineRule="exact"/>
        <w:ind w:firstLine="640" w:firstLineChars="200"/>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公</w:t>
      </w:r>
      <w:r>
        <w:rPr>
          <w:rFonts w:ascii="Times New Roman" w:hAnsi="Times New Roman" w:eastAsia="仿宋_GB2312" w:cs="Times New Roman"/>
          <w:color w:val="000000" w:themeColor="text1"/>
          <w:sz w:val="32"/>
          <w:szCs w:val="32"/>
          <w14:textFill>
            <w14:solidFill>
              <w14:schemeClr w14:val="tx1"/>
            </w14:solidFill>
          </w14:textFill>
        </w:rPr>
        <w:t>务用车运行维护费支出预算为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决算数等于预算数，主要原因是两年均无公务用车需要运行维护。 </w:t>
      </w:r>
      <w:r>
        <w:rPr>
          <w:rFonts w:ascii="Times New Roman" w:hAnsi="Times New Roman" w:eastAsia="仿宋_GB2312" w:cs="Times New Roman"/>
          <w:color w:val="000000" w:themeColor="text1"/>
          <w:sz w:val="32"/>
          <w:szCs w:val="32"/>
          <w14:textFill>
            <w14:solidFill>
              <w14:schemeClr w14:val="tx1"/>
            </w14:solidFill>
          </w14:textFill>
        </w:rPr>
        <w:t>截止</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到</w:t>
      </w:r>
      <w:r>
        <w:rPr>
          <w:rFonts w:ascii="Times New Roman" w:hAnsi="Times New Roman" w:eastAsia="仿宋_GB2312" w:cs="Times New Roman"/>
          <w:color w:val="000000" w:themeColor="text1"/>
          <w:sz w:val="32"/>
          <w:szCs w:val="32"/>
          <w14:textFill>
            <w14:solidFill>
              <w14:schemeClr w14:val="tx1"/>
            </w14:solidFill>
          </w14:textFill>
        </w:rPr>
        <w:t>2024年12月31日，我单位开支财政拨款的公务用车保有量为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辆。</w:t>
      </w:r>
    </w:p>
    <w:p w14:paraId="2B2A2579">
      <w:pPr>
        <w:pStyle w:val="13"/>
        <w:overflowPunct w:val="0"/>
        <w:autoSpaceDE/>
        <w:autoSpaceDN/>
        <w:spacing w:line="600" w:lineRule="exact"/>
        <w:ind w:firstLine="640" w:firstLineChars="200"/>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公务接待费支出预算为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决算数小于预算数，主要原因是按有关政策厉行节约，严控公务接待支出。</w:t>
      </w:r>
      <w:r>
        <w:rPr>
          <w:rFonts w:ascii="Times New Roman" w:hAnsi="Times New Roman" w:eastAsia="仿宋_GB2312" w:cs="Times New Roman"/>
          <w:color w:val="000000" w:themeColor="text1"/>
          <w:sz w:val="32"/>
          <w:szCs w:val="32"/>
          <w14:textFill>
            <w14:solidFill>
              <w14:schemeClr w14:val="tx1"/>
            </w14:solidFill>
          </w14:textFill>
        </w:rPr>
        <w:t>2024年度共接待来访团组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个、来宾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人次</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14:paraId="039328F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color w:val="auto"/>
          <w:sz w:val="32"/>
          <w:szCs w:val="32"/>
          <w:lang w:eastAsia="zh-CN"/>
        </w:rPr>
      </w:pPr>
    </w:p>
    <w:p w14:paraId="3D06ACE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1CE39F49">
      <w:pPr>
        <w:keepNext/>
        <w:keepLines/>
        <w:spacing w:beforeLines="0" w:afterLines="0"/>
        <w:ind w:firstLine="640"/>
        <w:rPr>
          <w:rFonts w:hint="eastAsia" w:ascii="仿宋" w:hAnsi="仿宋" w:eastAsia="仿宋"/>
          <w:color w:val="auto"/>
          <w:sz w:val="32"/>
          <w:szCs w:val="24"/>
          <w:highlight w:val="white"/>
          <w:lang w:val="en-US"/>
        </w:rPr>
      </w:pPr>
      <w:r>
        <w:rPr>
          <w:rFonts w:hint="eastAsia" w:ascii="仿宋" w:hAnsi="仿宋" w:eastAsia="仿宋"/>
          <w:color w:val="auto"/>
          <w:sz w:val="32"/>
          <w:szCs w:val="24"/>
          <w:highlight w:val="white"/>
          <w:lang w:val="zh-CN"/>
        </w:rPr>
        <w:t>本级和所属单位均为事业单位，按照机关运行经费的口径，本年度机关运行经费为0。</w:t>
      </w:r>
    </w:p>
    <w:p w14:paraId="39684EF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2FD79CE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olor w:val="000000" w:themeColor="text1"/>
          <w:kern w:val="0"/>
          <w:sz w:val="32"/>
          <w:szCs w:val="24"/>
          <w:highlight w:val="white"/>
          <w:lang w:val="en-US" w:eastAsia="zh-CN"/>
          <w14:textFill>
            <w14:solidFill>
              <w14:schemeClr w14:val="tx1"/>
            </w14:solidFill>
          </w14:textFill>
        </w:rPr>
      </w:pPr>
      <w:r>
        <w:rPr>
          <w:rFonts w:hint="eastAsia" w:ascii="仿宋" w:hAnsi="仿宋" w:eastAsia="仿宋"/>
          <w:color w:val="000000" w:themeColor="text1"/>
          <w:kern w:val="0"/>
          <w:sz w:val="32"/>
          <w:szCs w:val="24"/>
          <w:highlight w:val="white"/>
          <w:lang w:val="en-US"/>
          <w14:textFill>
            <w14:solidFill>
              <w14:schemeClr w14:val="tx1"/>
            </w14:solidFill>
          </w14:textFill>
        </w:rPr>
        <w:t>2024年本部门开支会议费0万元；开支培训费5.56万元，用于开展</w:t>
      </w:r>
      <w:r>
        <w:rPr>
          <w:rFonts w:hint="eastAsia" w:ascii="仿宋" w:hAnsi="仿宋" w:eastAsia="仿宋"/>
          <w:color w:val="000000" w:themeColor="text1"/>
          <w:kern w:val="0"/>
          <w:sz w:val="32"/>
          <w:szCs w:val="24"/>
          <w:highlight w:val="white"/>
          <w:lang w:val="en-US" w:eastAsia="zh-CN"/>
          <w14:textFill>
            <w14:solidFill>
              <w14:schemeClr w14:val="tx1"/>
            </w14:solidFill>
          </w14:textFill>
        </w:rPr>
        <w:t>建筑施工企业主要负责人、项目负责人和专职安全生产管理人员及建筑施工特种作业人员</w:t>
      </w:r>
      <w:r>
        <w:rPr>
          <w:rFonts w:hint="eastAsia" w:ascii="仿宋" w:hAnsi="仿宋" w:eastAsia="仿宋"/>
          <w:color w:val="000000" w:themeColor="text1"/>
          <w:kern w:val="0"/>
          <w:sz w:val="32"/>
          <w:szCs w:val="24"/>
          <w:highlight w:val="white"/>
          <w:lang w:val="en-US"/>
          <w14:textFill>
            <w14:solidFill>
              <w14:schemeClr w14:val="tx1"/>
            </w14:solidFill>
          </w14:textFill>
        </w:rPr>
        <w:t>培训，</w:t>
      </w:r>
      <w:r>
        <w:rPr>
          <w:rFonts w:hint="eastAsia" w:ascii="仿宋" w:hAnsi="仿宋" w:eastAsia="仿宋"/>
          <w:color w:val="000000" w:themeColor="text1"/>
          <w:kern w:val="0"/>
          <w:sz w:val="32"/>
          <w:szCs w:val="24"/>
          <w:highlight w:val="white"/>
          <w:lang w:val="en-US" w:eastAsia="zh-CN"/>
          <w14:textFill>
            <w14:solidFill>
              <w14:schemeClr w14:val="tx1"/>
            </w14:solidFill>
          </w14:textFill>
        </w:rPr>
        <w:t>人数14536</w:t>
      </w:r>
      <w:r>
        <w:rPr>
          <w:rFonts w:hint="eastAsia" w:ascii="仿宋" w:hAnsi="仿宋" w:eastAsia="仿宋"/>
          <w:color w:val="000000" w:themeColor="text1"/>
          <w:kern w:val="0"/>
          <w:sz w:val="32"/>
          <w:szCs w:val="24"/>
          <w:highlight w:val="white"/>
          <w:lang w:val="en-US"/>
          <w14:textFill>
            <w14:solidFill>
              <w14:schemeClr w14:val="tx1"/>
            </w14:solidFill>
          </w14:textFill>
        </w:rPr>
        <w:t>人，内容为</w:t>
      </w:r>
      <w:r>
        <w:rPr>
          <w:rFonts w:hint="eastAsia" w:ascii="仿宋" w:hAnsi="仿宋" w:eastAsia="仿宋"/>
          <w:color w:val="000000" w:themeColor="text1"/>
          <w:kern w:val="0"/>
          <w:sz w:val="32"/>
          <w:szCs w:val="24"/>
          <w:highlight w:val="white"/>
          <w:lang w:val="en-US" w:eastAsia="zh-CN"/>
          <w14:textFill>
            <w14:solidFill>
              <w14:schemeClr w14:val="tx1"/>
            </w14:solidFill>
          </w14:textFill>
        </w:rPr>
        <w:t>发放</w:t>
      </w:r>
      <w:r>
        <w:rPr>
          <w:rFonts w:hint="eastAsia" w:ascii="仿宋" w:hAnsi="仿宋" w:eastAsia="仿宋"/>
          <w:color w:val="000000" w:themeColor="text1"/>
          <w:kern w:val="0"/>
          <w:sz w:val="32"/>
          <w:szCs w:val="24"/>
          <w:highlight w:val="white"/>
          <w:lang w:val="en-US"/>
          <w14:textFill>
            <w14:solidFill>
              <w14:schemeClr w14:val="tx1"/>
            </w14:solidFill>
          </w14:textFill>
        </w:rPr>
        <w:t>培训</w:t>
      </w:r>
      <w:r>
        <w:rPr>
          <w:rFonts w:hint="eastAsia" w:ascii="仿宋" w:hAnsi="仿宋" w:eastAsia="仿宋"/>
          <w:color w:val="000000" w:themeColor="text1"/>
          <w:kern w:val="0"/>
          <w:sz w:val="32"/>
          <w:szCs w:val="24"/>
          <w:highlight w:val="white"/>
          <w:lang w:val="en-US" w:eastAsia="zh-CN"/>
          <w14:textFill>
            <w14:solidFill>
              <w14:schemeClr w14:val="tx1"/>
            </w14:solidFill>
          </w14:textFill>
        </w:rPr>
        <w:t>相关资料</w:t>
      </w:r>
      <w:r>
        <w:rPr>
          <w:rFonts w:hint="eastAsia" w:ascii="仿宋" w:hAnsi="仿宋" w:eastAsia="仿宋"/>
          <w:color w:val="000000" w:themeColor="text1"/>
          <w:kern w:val="0"/>
          <w:sz w:val="32"/>
          <w:szCs w:val="24"/>
          <w:highlight w:val="white"/>
          <w:lang w:val="en-US"/>
          <w14:textFill>
            <w14:solidFill>
              <w14:schemeClr w14:val="tx1"/>
            </w14:solidFill>
          </w14:textFill>
        </w:rPr>
        <w:t>；</w:t>
      </w:r>
      <w:r>
        <w:rPr>
          <w:rFonts w:hint="eastAsia" w:ascii="仿宋" w:hAnsi="仿宋" w:eastAsia="仿宋"/>
          <w:color w:val="000000" w:themeColor="text1"/>
          <w:kern w:val="0"/>
          <w:sz w:val="32"/>
          <w:szCs w:val="24"/>
          <w:highlight w:val="white"/>
          <w:lang w:val="en-US" w:eastAsia="zh-CN"/>
          <w14:textFill>
            <w14:solidFill>
              <w14:schemeClr w14:val="tx1"/>
            </w14:solidFill>
          </w14:textFill>
        </w:rPr>
        <w:t>本单位无举办节庆、晚会、论坛、赛事等活动的预算和支出决算数。</w:t>
      </w:r>
    </w:p>
    <w:p w14:paraId="210C0479">
      <w:pPr>
        <w:keepNext/>
        <w:keepLines/>
        <w:spacing w:beforeLines="0" w:afterLines="0"/>
        <w:ind w:firstLine="640"/>
        <w:rPr>
          <w:rFonts w:hint="eastAsia" w:ascii="仿宋" w:hAnsi="仿宋" w:eastAsia="仿宋"/>
          <w:color w:val="FF0000"/>
          <w:kern w:val="0"/>
          <w:sz w:val="32"/>
          <w:szCs w:val="24"/>
          <w:highlight w:val="white"/>
          <w:lang w:val="en-US"/>
        </w:rPr>
      </w:pPr>
    </w:p>
    <w:p w14:paraId="252D0BE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66B7D92F">
      <w:pPr>
        <w:keepNext/>
        <w:keepLines/>
        <w:spacing w:beforeLines="0" w:afterLines="0"/>
        <w:ind w:firstLine="641"/>
        <w:rPr>
          <w:rFonts w:hint="eastAsia" w:ascii="仿宋" w:hAnsi="仿宋" w:eastAsia="仿宋"/>
          <w:color w:val="auto"/>
          <w:sz w:val="32"/>
          <w:szCs w:val="24"/>
          <w:highlight w:val="white"/>
          <w:lang w:val="en-US"/>
        </w:rPr>
      </w:pPr>
      <w:r>
        <w:rPr>
          <w:rFonts w:hint="eastAsia" w:ascii="仿宋" w:hAnsi="仿宋" w:eastAsia="仿宋"/>
          <w:color w:val="auto"/>
          <w:sz w:val="32"/>
          <w:szCs w:val="24"/>
          <w:highlight w:val="white"/>
          <w:lang w:val="en-US"/>
        </w:rPr>
        <w:t>2024年度政府采购支出总额19415.2万元，其中：政府采购货物支出48.34万元；政府采购工程支出18784.35万元；政府采购服务支出582.51万元；授予中小企业合同金额19415.2万元，占政府采购支出总额的100%，</w:t>
      </w:r>
    </w:p>
    <w:p w14:paraId="330330C5">
      <w:pPr>
        <w:keepNext/>
        <w:keepLines/>
        <w:spacing w:beforeLines="0" w:afterLines="0"/>
        <w:ind w:firstLine="641"/>
        <w:rPr>
          <w:rFonts w:hint="eastAsia" w:ascii="仿宋" w:hAnsi="仿宋" w:eastAsia="仿宋"/>
          <w:color w:val="auto"/>
          <w:sz w:val="32"/>
          <w:szCs w:val="24"/>
          <w:highlight w:val="white"/>
          <w:lang w:val="en-US"/>
        </w:rPr>
      </w:pPr>
      <w:r>
        <w:rPr>
          <w:rFonts w:hint="eastAsia" w:ascii="仿宋" w:hAnsi="仿宋" w:eastAsia="仿宋"/>
          <w:color w:val="auto"/>
          <w:sz w:val="32"/>
          <w:szCs w:val="24"/>
          <w:highlight w:val="white"/>
          <w:lang w:val="en-US"/>
        </w:rPr>
        <w:t>其中：授予小微企业合同金额19415.2万元，占授予中小企业合同金额的100%。货物采购授予中小企业合同金额占货物支出金额的0.25%。工程采购授予中小企业合同金额占工程支出金额的96.75%。服务采购授予中小企业合同金额占服务支出金额的3%。</w:t>
      </w:r>
    </w:p>
    <w:p w14:paraId="246A0DF6">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33A004F1">
      <w:pPr>
        <w:keepNext/>
        <w:keepLines/>
        <w:spacing w:beforeLines="0" w:afterLines="0"/>
        <w:ind w:firstLine="640"/>
        <w:rPr>
          <w:rFonts w:hint="eastAsia" w:ascii="仿宋" w:hAnsi="仿宋" w:eastAsia="仿宋"/>
          <w:color w:val="auto"/>
          <w:sz w:val="32"/>
          <w:szCs w:val="24"/>
          <w:highlight w:val="white"/>
          <w:lang w:val="zh-CN"/>
        </w:rPr>
      </w:pPr>
      <w:r>
        <w:rPr>
          <w:rFonts w:hint="eastAsia" w:ascii="仿宋" w:hAnsi="仿宋" w:eastAsia="仿宋"/>
          <w:color w:val="auto"/>
          <w:sz w:val="32"/>
          <w:szCs w:val="24"/>
          <w:highlight w:val="white"/>
          <w:lang w:val="en-US"/>
        </w:rPr>
        <w:t>截至2024年12月31日，部门（单位）共有车辆0辆。副部（省）级及以上领导用车0辆、主要负责人用车0辆、机要通信用车0辆、应急保障用车0辆、执法执勤用车0辆、特种专业技术用车0国辆、离退休干部服务用车0辆、其他用车0辆，单位价值100万元（含）以上设备0台（套）。</w:t>
      </w:r>
    </w:p>
    <w:p w14:paraId="6800A37C">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p>
    <w:p w14:paraId="0044E386">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p>
    <w:p w14:paraId="0A8224AC">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14:paraId="0EB60D67">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14:paraId="372CEA0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hint="eastAsia" w:ascii="仿宋_GB2312" w:hAnsi="仿宋_GB2312" w:eastAsia="仿宋_GB2312" w:cs="仿宋_GB2312"/>
          <w:b w:val="0"/>
          <w:bCs w:val="0"/>
          <w:color w:val="auto"/>
          <w:kern w:val="0"/>
          <w:sz w:val="32"/>
          <w:szCs w:val="32"/>
          <w:lang w:val="en-US" w:eastAsia="zh-CN" w:bidi="ar-SA"/>
        </w:rPr>
        <w:t>根据预算绩效管理要求，我们组织对2024年度整体支出和项目资金实施了全覆盖性的绩效评价，撰写了绩效自评报告。</w:t>
      </w:r>
    </w:p>
    <w:p w14:paraId="377CAF93">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争资争项方面，</w:t>
      </w:r>
      <w:r>
        <w:rPr>
          <w:rFonts w:hint="eastAsia" w:ascii="仿宋" w:hAnsi="仿宋" w:eastAsia="仿宋" w:cs="仿宋"/>
          <w:color w:val="auto"/>
          <w:sz w:val="32"/>
          <w:szCs w:val="32"/>
        </w:rPr>
        <w:t>谋划15个中央预算内投资和超长期国债项目（</w:t>
      </w:r>
      <w:r>
        <w:rPr>
          <w:rFonts w:hint="eastAsia" w:ascii="仿宋" w:hAnsi="仿宋" w:eastAsia="仿宋" w:cs="仿宋"/>
          <w:color w:val="auto"/>
          <w:sz w:val="32"/>
          <w:szCs w:val="32"/>
          <w:lang w:eastAsia="zh-CN"/>
        </w:rPr>
        <w:t>其中</w:t>
      </w:r>
      <w:r>
        <w:rPr>
          <w:rFonts w:hint="eastAsia" w:ascii="仿宋" w:hAnsi="仿宋" w:eastAsia="仿宋" w:cs="仿宋"/>
          <w:color w:val="auto"/>
          <w:sz w:val="32"/>
          <w:szCs w:val="32"/>
        </w:rPr>
        <w:t>排水防涝3个、地下管网4个、污水管网4个、污水处理厂设备更新2个、流域治理2个），总投资32.7亿元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其中，</w:t>
      </w:r>
      <w:r>
        <w:rPr>
          <w:rFonts w:hint="eastAsia" w:ascii="仿宋" w:hAnsi="仿宋" w:eastAsia="仿宋" w:cs="仿宋"/>
          <w:color w:val="auto"/>
          <w:sz w:val="32"/>
          <w:szCs w:val="32"/>
        </w:rPr>
        <w:t>申报13个</w:t>
      </w:r>
      <w:r>
        <w:rPr>
          <w:rFonts w:hint="eastAsia" w:ascii="仿宋" w:hAnsi="仿宋" w:eastAsia="仿宋" w:cs="仿宋"/>
          <w:color w:val="auto"/>
          <w:sz w:val="32"/>
          <w:szCs w:val="32"/>
          <w:lang w:val="en-US" w:eastAsia="zh-CN"/>
        </w:rPr>
        <w:t>项目</w:t>
      </w:r>
      <w:r>
        <w:rPr>
          <w:rFonts w:hint="eastAsia" w:ascii="仿宋" w:hAnsi="仿宋" w:eastAsia="仿宋" w:cs="仿宋"/>
          <w:color w:val="auto"/>
          <w:sz w:val="32"/>
          <w:szCs w:val="32"/>
          <w:lang w:eastAsia="zh-CN"/>
        </w:rPr>
        <w:t>获批</w:t>
      </w:r>
      <w:r>
        <w:rPr>
          <w:rFonts w:hint="eastAsia" w:ascii="仿宋" w:hAnsi="仿宋" w:eastAsia="仿宋" w:cs="仿宋"/>
          <w:color w:val="auto"/>
          <w:sz w:val="32"/>
          <w:szCs w:val="32"/>
          <w:lang w:val="en-US" w:eastAsia="zh-CN"/>
        </w:rPr>
        <w:t>8个</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总投资约16亿元，获得中央支持资金约7.8亿元。谋划第二批15个项目，总投资约23亿元，其中12个作为拟申报项目，总投资约19.8亿元，目前正在办理前期手续。</w:t>
      </w:r>
      <w:r>
        <w:rPr>
          <w:rFonts w:hint="eastAsia" w:ascii="仿宋" w:hAnsi="仿宋" w:eastAsia="仿宋" w:cs="仿宋"/>
          <w:b/>
          <w:bCs/>
          <w:color w:val="auto"/>
          <w:sz w:val="32"/>
          <w:szCs w:val="32"/>
          <w:lang w:val="en-US" w:eastAsia="zh-CN"/>
        </w:rPr>
        <w:t>项目建设方面，</w:t>
      </w:r>
      <w:r>
        <w:rPr>
          <w:rFonts w:hint="eastAsia" w:ascii="仿宋" w:hAnsi="仿宋" w:eastAsia="仿宋" w:cs="仿宋"/>
          <w:b w:val="0"/>
          <w:bCs w:val="0"/>
          <w:color w:val="auto"/>
          <w:kern w:val="2"/>
          <w:sz w:val="32"/>
          <w:szCs w:val="32"/>
          <w:lang w:bidi="ar-SA"/>
        </w:rPr>
        <w:t>海绵、国债和</w:t>
      </w:r>
      <w:r>
        <w:rPr>
          <w:rFonts w:hint="eastAsia" w:ascii="仿宋" w:hAnsi="仿宋" w:eastAsia="仿宋" w:cs="仿宋"/>
          <w:b w:val="0"/>
          <w:bCs w:val="0"/>
          <w:color w:val="auto"/>
          <w:kern w:val="2"/>
          <w:sz w:val="32"/>
          <w:szCs w:val="32"/>
          <w:lang w:val="en-US" w:eastAsia="zh-CN" w:bidi="ar-SA"/>
        </w:rPr>
        <w:t>市本级</w:t>
      </w:r>
      <w:r>
        <w:rPr>
          <w:rFonts w:hint="eastAsia" w:ascii="仿宋" w:hAnsi="仿宋" w:eastAsia="仿宋" w:cs="仿宋"/>
          <w:b w:val="0"/>
          <w:bCs w:val="0"/>
          <w:color w:val="auto"/>
          <w:kern w:val="2"/>
          <w:sz w:val="32"/>
          <w:szCs w:val="32"/>
          <w:lang w:bidi="ar-SA"/>
        </w:rPr>
        <w:t>17个项目总投资8.34亿元。</w:t>
      </w:r>
      <w:r>
        <w:rPr>
          <w:rFonts w:hint="eastAsia" w:ascii="仿宋" w:hAnsi="仿宋" w:eastAsia="仿宋" w:cs="仿宋"/>
          <w:b w:val="0"/>
          <w:bCs w:val="0"/>
          <w:color w:val="auto"/>
          <w:kern w:val="2"/>
          <w:sz w:val="32"/>
          <w:szCs w:val="32"/>
          <w:lang w:val="en-US" w:eastAsia="zh-CN" w:bidi="ar-SA"/>
        </w:rPr>
        <w:t>目前</w:t>
      </w:r>
      <w:r>
        <w:rPr>
          <w:rFonts w:hint="eastAsia" w:ascii="仿宋" w:hAnsi="仿宋" w:eastAsia="仿宋" w:cs="仿宋"/>
          <w:b w:val="0"/>
          <w:bCs w:val="0"/>
          <w:color w:val="auto"/>
          <w:kern w:val="2"/>
          <w:sz w:val="32"/>
          <w:szCs w:val="32"/>
          <w:lang w:bidi="ar-SA"/>
        </w:rPr>
        <w:t>完工9个，其余</w:t>
      </w:r>
      <w:r>
        <w:rPr>
          <w:rFonts w:hint="eastAsia" w:ascii="仿宋" w:hAnsi="仿宋" w:eastAsia="仿宋" w:cs="仿宋"/>
          <w:b w:val="0"/>
          <w:bCs w:val="0"/>
          <w:color w:val="auto"/>
          <w:kern w:val="2"/>
          <w:sz w:val="32"/>
          <w:szCs w:val="32"/>
          <w:lang w:val="en-US" w:eastAsia="zh-CN" w:bidi="ar-SA"/>
        </w:rPr>
        <w:t>加速</w:t>
      </w:r>
      <w:r>
        <w:rPr>
          <w:rFonts w:hint="eastAsia" w:ascii="仿宋" w:hAnsi="仿宋" w:eastAsia="仿宋" w:cs="仿宋"/>
          <w:b w:val="0"/>
          <w:bCs w:val="0"/>
          <w:color w:val="auto"/>
          <w:kern w:val="2"/>
          <w:sz w:val="32"/>
          <w:szCs w:val="32"/>
          <w:lang w:bidi="ar-SA"/>
        </w:rPr>
        <w:t>推进</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val="en-US" w:eastAsia="zh-CN" w:bidi="ar-SA"/>
        </w:rPr>
        <w:t>完成总投资约</w:t>
      </w:r>
      <w:r>
        <w:rPr>
          <w:rFonts w:hint="eastAsia" w:ascii="仿宋" w:hAnsi="仿宋" w:eastAsia="仿宋" w:cs="仿宋"/>
          <w:color w:val="auto"/>
          <w:sz w:val="32"/>
          <w:szCs w:val="32"/>
          <w:lang w:val="en-US" w:eastAsia="zh-CN"/>
        </w:rPr>
        <w:t>4.22</w:t>
      </w:r>
      <w:r>
        <w:rPr>
          <w:rFonts w:hint="eastAsia" w:ascii="仿宋" w:hAnsi="仿宋" w:eastAsia="仿宋" w:cs="仿宋"/>
          <w:b w:val="0"/>
          <w:bCs w:val="0"/>
          <w:color w:val="auto"/>
          <w:kern w:val="2"/>
          <w:sz w:val="32"/>
          <w:szCs w:val="32"/>
          <w:lang w:val="en-US" w:eastAsia="zh-CN" w:bidi="ar-SA"/>
        </w:rPr>
        <w:t>亿元</w:t>
      </w:r>
      <w:r>
        <w:rPr>
          <w:rFonts w:hint="eastAsia" w:ascii="仿宋" w:hAnsi="仿宋" w:eastAsia="仿宋" w:cs="仿宋"/>
          <w:b w:val="0"/>
          <w:bCs w:val="0"/>
          <w:color w:val="auto"/>
          <w:kern w:val="2"/>
          <w:sz w:val="32"/>
          <w:szCs w:val="32"/>
          <w:lang w:bidi="ar-SA"/>
        </w:rPr>
        <w:t>。这些项目将</w:t>
      </w:r>
      <w:r>
        <w:rPr>
          <w:rFonts w:hint="eastAsia" w:ascii="仿宋" w:hAnsi="仿宋" w:eastAsia="仿宋" w:cs="仿宋"/>
          <w:b w:val="0"/>
          <w:bCs w:val="0"/>
          <w:color w:val="auto"/>
          <w:kern w:val="2"/>
          <w:sz w:val="32"/>
          <w:szCs w:val="32"/>
          <w:lang w:val="en-US" w:eastAsia="zh-CN" w:bidi="ar-SA"/>
        </w:rPr>
        <w:t>有效</w:t>
      </w:r>
      <w:r>
        <w:rPr>
          <w:rFonts w:hint="eastAsia" w:ascii="仿宋" w:hAnsi="仿宋" w:eastAsia="仿宋" w:cs="仿宋"/>
          <w:b w:val="0"/>
          <w:bCs w:val="0"/>
          <w:color w:val="auto"/>
          <w:kern w:val="2"/>
          <w:sz w:val="32"/>
          <w:szCs w:val="32"/>
          <w:lang w:bidi="ar-SA"/>
        </w:rPr>
        <w:t>解决</w:t>
      </w:r>
      <w:r>
        <w:rPr>
          <w:rFonts w:hint="eastAsia" w:ascii="仿宋" w:hAnsi="仿宋" w:eastAsia="仿宋" w:cs="仿宋"/>
          <w:b w:val="0"/>
          <w:bCs w:val="0"/>
          <w:color w:val="auto"/>
          <w:kern w:val="2"/>
          <w:sz w:val="32"/>
          <w:szCs w:val="32"/>
          <w:lang w:val="en-US" w:eastAsia="zh-CN" w:bidi="ar-SA"/>
        </w:rPr>
        <w:t>部分</w:t>
      </w:r>
      <w:r>
        <w:rPr>
          <w:rFonts w:hint="eastAsia" w:ascii="仿宋" w:hAnsi="仿宋" w:eastAsia="仿宋" w:cs="仿宋"/>
          <w:b w:val="0"/>
          <w:bCs w:val="0"/>
          <w:color w:val="auto"/>
          <w:kern w:val="2"/>
          <w:sz w:val="32"/>
          <w:szCs w:val="32"/>
          <w:lang w:bidi="ar-SA"/>
        </w:rPr>
        <w:t>城市地下管网、箱涵过流能力、历史管网错接乱接及污水处理厂设备更新问题。</w:t>
      </w:r>
      <w:r>
        <w:rPr>
          <w:rFonts w:hint="eastAsia" w:ascii="仿宋" w:hAnsi="仿宋" w:eastAsia="仿宋" w:cs="仿宋"/>
          <w:b w:val="0"/>
          <w:bCs w:val="0"/>
          <w:color w:val="auto"/>
          <w:kern w:val="2"/>
          <w:sz w:val="32"/>
          <w:szCs w:val="32"/>
          <w:lang w:val="en-US" w:eastAsia="zh-CN" w:bidi="ar-SA"/>
        </w:rPr>
        <w:t>特别是备受社会关注，投资近3亿元，集片区污水治理、城市防洪和亲水休憩于一体的标志性项目西环线片区海绵项目即将竣工，一座新型城市生态公园将展现在大众面前。</w:t>
      </w:r>
      <w:r>
        <w:rPr>
          <w:rFonts w:hint="eastAsia" w:ascii="仿宋" w:hAnsi="仿宋" w:eastAsia="仿宋" w:cs="仿宋"/>
          <w:b/>
          <w:bCs/>
          <w:color w:val="auto"/>
          <w:sz w:val="32"/>
          <w:szCs w:val="32"/>
          <w:lang w:val="en-US" w:eastAsia="zh-CN"/>
        </w:rPr>
        <w:t>征收服务方面，</w:t>
      </w:r>
      <w:r>
        <w:rPr>
          <w:rFonts w:hint="eastAsia" w:ascii="仿宋" w:hAnsi="仿宋" w:eastAsia="仿宋" w:cs="仿宋"/>
          <w:b w:val="0"/>
          <w:bCs w:val="0"/>
          <w:color w:val="auto"/>
          <w:sz w:val="32"/>
          <w:szCs w:val="32"/>
          <w:lang w:val="en-US" w:eastAsia="zh-CN"/>
        </w:rPr>
        <w:t>修订了</w:t>
      </w:r>
      <w:r>
        <w:rPr>
          <w:rFonts w:hint="eastAsia" w:ascii="仿宋" w:hAnsi="仿宋" w:eastAsia="仿宋" w:cs="仿宋"/>
          <w:b w:val="0"/>
          <w:bCs w:val="0"/>
          <w:color w:val="auto"/>
          <w:kern w:val="2"/>
          <w:sz w:val="32"/>
          <w:szCs w:val="32"/>
          <w:lang w:bidi="ar-SA"/>
        </w:rPr>
        <w:t>《岳阳市国有土地上房屋征收与补偿实施办法》</w:t>
      </w:r>
      <w:r>
        <w:rPr>
          <w:rFonts w:hint="eastAsia" w:ascii="仿宋" w:hAnsi="仿宋" w:eastAsia="仿宋" w:cs="仿宋"/>
          <w:b w:val="0"/>
          <w:bCs w:val="0"/>
          <w:color w:val="auto"/>
          <w:kern w:val="2"/>
          <w:sz w:val="32"/>
          <w:szCs w:val="32"/>
          <w:lang w:val="en-US" w:eastAsia="zh-CN" w:bidi="ar-SA"/>
        </w:rPr>
        <w:t>经市政府第33次常务会研究通过并</w:t>
      </w:r>
      <w:r>
        <w:rPr>
          <w:rFonts w:hint="eastAsia" w:ascii="仿宋" w:hAnsi="仿宋" w:eastAsia="仿宋" w:cs="仿宋"/>
          <w:b w:val="0"/>
          <w:bCs w:val="0"/>
          <w:color w:val="auto"/>
          <w:kern w:val="2"/>
          <w:sz w:val="32"/>
          <w:szCs w:val="32"/>
          <w:lang w:bidi="ar-SA"/>
        </w:rPr>
        <w:t>颁布</w:t>
      </w:r>
      <w:r>
        <w:rPr>
          <w:rFonts w:hint="eastAsia" w:ascii="仿宋" w:hAnsi="仿宋" w:eastAsia="仿宋" w:cs="仿宋"/>
          <w:b w:val="0"/>
          <w:bCs w:val="0"/>
          <w:color w:val="auto"/>
          <w:kern w:val="2"/>
          <w:sz w:val="32"/>
          <w:szCs w:val="32"/>
          <w:lang w:val="en-US" w:eastAsia="zh-CN" w:bidi="ar-SA"/>
        </w:rPr>
        <w:t>实施</w:t>
      </w:r>
      <w:r>
        <w:rPr>
          <w:rFonts w:hint="eastAsia" w:ascii="仿宋" w:hAnsi="仿宋" w:eastAsia="仿宋" w:cs="仿宋"/>
          <w:b w:val="0"/>
          <w:bCs w:val="0"/>
          <w:color w:val="auto"/>
          <w:kern w:val="2"/>
          <w:sz w:val="32"/>
          <w:szCs w:val="32"/>
          <w:lang w:bidi="ar-SA"/>
        </w:rPr>
        <w:t>。</w:t>
      </w:r>
      <w:r>
        <w:rPr>
          <w:rFonts w:hint="eastAsia" w:ascii="仿宋" w:hAnsi="仿宋" w:eastAsia="仿宋" w:cs="仿宋"/>
          <w:b w:val="0"/>
          <w:bCs w:val="0"/>
          <w:color w:val="auto"/>
          <w:kern w:val="2"/>
          <w:sz w:val="32"/>
          <w:szCs w:val="32"/>
          <w:lang w:val="en-US" w:eastAsia="zh-CN" w:bidi="ar-SA"/>
        </w:rPr>
        <w:t>会同</w:t>
      </w:r>
      <w:r>
        <w:rPr>
          <w:rFonts w:hint="eastAsia" w:ascii="仿宋" w:hAnsi="仿宋" w:eastAsia="仿宋" w:cs="仿宋"/>
          <w:b w:val="0"/>
          <w:bCs w:val="0"/>
          <w:color w:val="auto"/>
          <w:kern w:val="2"/>
          <w:sz w:val="32"/>
          <w:szCs w:val="32"/>
          <w:lang w:bidi="ar-SA"/>
        </w:rPr>
        <w:t>相关部门单位签订了岳纺土地收储项目土地收储协议，完成项目备案，</w:t>
      </w:r>
      <w:r>
        <w:rPr>
          <w:rFonts w:hint="eastAsia" w:ascii="仿宋" w:hAnsi="仿宋" w:eastAsia="仿宋" w:cs="仿宋"/>
          <w:b w:val="0"/>
          <w:bCs w:val="0"/>
          <w:color w:val="auto"/>
          <w:kern w:val="2"/>
          <w:sz w:val="32"/>
          <w:szCs w:val="32"/>
          <w:lang w:val="en-US" w:eastAsia="zh-CN" w:bidi="ar-SA"/>
        </w:rPr>
        <w:t>落实项目资金</w:t>
      </w:r>
      <w:r>
        <w:rPr>
          <w:rFonts w:hint="eastAsia" w:ascii="仿宋" w:hAnsi="仿宋" w:eastAsia="仿宋" w:cs="仿宋"/>
          <w:b w:val="0"/>
          <w:bCs w:val="0"/>
          <w:color w:val="auto"/>
          <w:kern w:val="2"/>
          <w:sz w:val="32"/>
          <w:szCs w:val="32"/>
          <w:lang w:bidi="ar-SA"/>
        </w:rPr>
        <w:t>1068万元。加</w:t>
      </w:r>
      <w:r>
        <w:rPr>
          <w:rFonts w:hint="eastAsia" w:ascii="仿宋" w:hAnsi="仿宋" w:eastAsia="仿宋" w:cs="仿宋"/>
          <w:b w:val="0"/>
          <w:bCs w:val="0"/>
          <w:color w:val="auto"/>
          <w:kern w:val="2"/>
          <w:sz w:val="32"/>
          <w:szCs w:val="32"/>
          <w:lang w:val="en-US" w:eastAsia="zh-CN" w:bidi="ar-SA"/>
        </w:rPr>
        <w:t>快</w:t>
      </w:r>
      <w:r>
        <w:rPr>
          <w:rFonts w:hint="eastAsia" w:ascii="仿宋" w:hAnsi="仿宋" w:eastAsia="仿宋" w:cs="仿宋"/>
          <w:b w:val="0"/>
          <w:bCs w:val="0"/>
          <w:color w:val="auto"/>
          <w:kern w:val="2"/>
          <w:sz w:val="32"/>
          <w:szCs w:val="32"/>
          <w:lang w:bidi="ar-SA"/>
        </w:rPr>
        <w:t>己内酰胺厂内片区项目房屋征收</w:t>
      </w:r>
      <w:r>
        <w:rPr>
          <w:rFonts w:hint="eastAsia" w:ascii="仿宋" w:hAnsi="仿宋" w:eastAsia="仿宋" w:cs="仿宋"/>
          <w:b w:val="0"/>
          <w:bCs w:val="0"/>
          <w:color w:val="auto"/>
          <w:kern w:val="2"/>
          <w:sz w:val="32"/>
          <w:szCs w:val="32"/>
          <w:lang w:val="en-US" w:eastAsia="zh-CN" w:bidi="ar-SA"/>
        </w:rPr>
        <w:t>服务</w:t>
      </w:r>
      <w:r>
        <w:rPr>
          <w:rFonts w:hint="eastAsia" w:ascii="仿宋" w:hAnsi="仿宋" w:eastAsia="仿宋" w:cs="仿宋"/>
          <w:b w:val="0"/>
          <w:bCs w:val="0"/>
          <w:color w:val="auto"/>
          <w:kern w:val="2"/>
          <w:sz w:val="32"/>
          <w:szCs w:val="32"/>
          <w:lang w:bidi="ar-SA"/>
        </w:rPr>
        <w:t>，</w:t>
      </w:r>
      <w:r>
        <w:rPr>
          <w:rFonts w:hint="eastAsia" w:ascii="仿宋" w:hAnsi="仿宋" w:eastAsia="仿宋" w:cs="仿宋"/>
          <w:b w:val="0"/>
          <w:bCs w:val="0"/>
          <w:color w:val="auto"/>
          <w:kern w:val="2"/>
          <w:sz w:val="32"/>
          <w:szCs w:val="32"/>
          <w:lang w:val="en-US" w:eastAsia="zh-CN" w:bidi="ar-SA"/>
        </w:rPr>
        <w:t>助力</w:t>
      </w:r>
      <w:r>
        <w:rPr>
          <w:rFonts w:hint="eastAsia" w:ascii="仿宋" w:hAnsi="仿宋" w:eastAsia="仿宋" w:cs="仿宋"/>
          <w:b w:val="0"/>
          <w:bCs w:val="0"/>
          <w:color w:val="auto"/>
          <w:kern w:val="2"/>
          <w:sz w:val="32"/>
          <w:szCs w:val="32"/>
          <w:lang w:bidi="ar-SA"/>
        </w:rPr>
        <w:t>项目建设</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val="en-US" w:eastAsia="zh-CN" w:bidi="ar-SA"/>
        </w:rPr>
        <w:t>12家搬迁企业中有9家完成了签约</w:t>
      </w:r>
      <w:r>
        <w:rPr>
          <w:rFonts w:hint="eastAsia" w:ascii="仿宋" w:hAnsi="仿宋" w:eastAsia="仿宋" w:cs="仿宋"/>
          <w:b w:val="0"/>
          <w:bCs w:val="0"/>
          <w:color w:val="auto"/>
          <w:kern w:val="2"/>
          <w:sz w:val="32"/>
          <w:szCs w:val="32"/>
          <w:lang w:bidi="ar-SA"/>
        </w:rPr>
        <w:t>。</w:t>
      </w:r>
      <w:r>
        <w:rPr>
          <w:rFonts w:hint="eastAsia" w:ascii="仿宋" w:hAnsi="仿宋" w:eastAsia="仿宋" w:cs="仿宋"/>
          <w:b/>
          <w:bCs/>
          <w:color w:val="auto"/>
          <w:kern w:val="2"/>
          <w:sz w:val="32"/>
          <w:szCs w:val="32"/>
          <w:lang w:val="en-US" w:eastAsia="zh-CN" w:bidi="ar-SA"/>
        </w:rPr>
        <w:t>争先进位方面，</w:t>
      </w:r>
      <w:r>
        <w:rPr>
          <w:rFonts w:hint="eastAsia" w:ascii="仿宋" w:hAnsi="仿宋" w:eastAsia="仿宋" w:cs="仿宋"/>
          <w:b w:val="0"/>
          <w:bCs w:val="0"/>
          <w:color w:val="auto"/>
          <w:kern w:val="2"/>
          <w:sz w:val="32"/>
          <w:szCs w:val="32"/>
          <w:lang w:val="en-US" w:eastAsia="zh-CN" w:bidi="ar-SA"/>
        </w:rPr>
        <w:t>成功通过省住建厅评审并授权开展特种作业建筑电工考核工作，岳阳成为继长沙之后全省第二个获此授权的城市。打造成全省一流的建筑施工特种作业考核基地，省住建厅将《湖南省建筑施工特种作业考核细则》论证会选在我市基地召开。组队参加全省住建行业技能（管工）比赛，获团体二等奖，3名队员中2人获二等奖，1人获三等奖，为历史最好成绩。</w:t>
      </w:r>
    </w:p>
    <w:p w14:paraId="1AB54FE7">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bCs/>
          <w:color w:val="auto"/>
          <w:sz w:val="32"/>
          <w:szCs w:val="32"/>
          <w:lang w:val="en-US" w:eastAsia="zh-CN"/>
        </w:rPr>
        <w:t>名城保护方面，</w:t>
      </w:r>
      <w:r>
        <w:rPr>
          <w:rFonts w:hint="eastAsia" w:ascii="仿宋" w:hAnsi="仿宋" w:eastAsia="仿宋" w:cs="仿宋"/>
          <w:b w:val="0"/>
          <w:bCs w:val="0"/>
          <w:color w:val="auto"/>
          <w:kern w:val="2"/>
          <w:sz w:val="32"/>
          <w:szCs w:val="32"/>
          <w:lang w:val="en-US" w:eastAsia="zh-CN" w:bidi="ar-SA"/>
        </w:rPr>
        <w:t>通过多项举措对业态数量、分布从全局进行把握，协同局名城科</w:t>
      </w:r>
      <w:r>
        <w:rPr>
          <w:rFonts w:hint="eastAsia" w:ascii="仿宋" w:hAnsi="仿宋" w:eastAsia="仿宋" w:cs="仿宋"/>
          <w:b w:val="0"/>
          <w:bCs w:val="0"/>
          <w:color w:val="auto"/>
          <w:kern w:val="2"/>
          <w:sz w:val="32"/>
          <w:szCs w:val="32"/>
          <w:lang w:bidi="ar-SA"/>
        </w:rPr>
        <w:t>对145栋历史建筑走访调研并挂牌</w:t>
      </w:r>
      <w:r>
        <w:rPr>
          <w:rFonts w:hint="eastAsia" w:ascii="仿宋" w:hAnsi="仿宋" w:eastAsia="仿宋" w:cs="仿宋"/>
          <w:b w:val="0"/>
          <w:bCs w:val="0"/>
          <w:color w:val="auto"/>
          <w:kern w:val="2"/>
          <w:sz w:val="32"/>
          <w:szCs w:val="32"/>
          <w:lang w:val="en-US" w:eastAsia="zh-CN" w:bidi="ar-SA"/>
        </w:rPr>
        <w:t>保护</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bidi="ar-SA"/>
        </w:rPr>
        <w:t>组织8次方案评审会，完成多个保护规划市级评审。加强传统建筑宣传推广，与相关部门合作推广历史文化名镇名村旅游，发行两期旅游期刊，提升知名度和影响力，使名镇名村焕发新活力。</w:t>
      </w:r>
      <w:r>
        <w:rPr>
          <w:rFonts w:hint="eastAsia" w:ascii="仿宋" w:hAnsi="仿宋" w:eastAsia="仿宋" w:cs="仿宋"/>
          <w:b/>
          <w:bCs/>
          <w:color w:val="auto"/>
          <w:sz w:val="32"/>
          <w:szCs w:val="32"/>
          <w:lang w:val="en-US" w:eastAsia="zh-CN"/>
        </w:rPr>
        <w:t>新质生产力方面，</w:t>
      </w:r>
      <w:r>
        <w:rPr>
          <w:rFonts w:hint="eastAsia" w:ascii="仿宋" w:hAnsi="仿宋" w:eastAsia="仿宋" w:cs="仿宋"/>
          <w:b w:val="0"/>
          <w:bCs w:val="0"/>
          <w:color w:val="auto"/>
          <w:sz w:val="32"/>
          <w:szCs w:val="32"/>
          <w:lang w:val="en-US" w:eastAsia="zh-CN"/>
        </w:rPr>
        <w:t>严格执行新颁布的《无障碍环境建设法》，</w:t>
      </w:r>
      <w:r>
        <w:rPr>
          <w:rFonts w:hint="eastAsia" w:ascii="仿宋" w:hAnsi="仿宋" w:eastAsia="仿宋" w:cs="仿宋"/>
          <w:b w:val="0"/>
          <w:bCs w:val="0"/>
          <w:color w:val="auto"/>
          <w:kern w:val="2"/>
          <w:sz w:val="32"/>
          <w:szCs w:val="32"/>
          <w:lang w:bidi="ar-SA"/>
        </w:rPr>
        <w:t>重点</w:t>
      </w:r>
      <w:r>
        <w:rPr>
          <w:rFonts w:hint="eastAsia" w:ascii="仿宋" w:hAnsi="仿宋" w:eastAsia="仿宋" w:cs="仿宋"/>
          <w:b w:val="0"/>
          <w:bCs w:val="0"/>
          <w:color w:val="auto"/>
          <w:kern w:val="2"/>
          <w:sz w:val="32"/>
          <w:szCs w:val="32"/>
          <w:lang w:val="en-US" w:eastAsia="zh-CN" w:bidi="ar-SA"/>
        </w:rPr>
        <w:t>对</w:t>
      </w:r>
      <w:r>
        <w:rPr>
          <w:rFonts w:hint="eastAsia" w:ascii="仿宋" w:hAnsi="仿宋" w:eastAsia="仿宋" w:cs="仿宋"/>
          <w:b w:val="0"/>
          <w:bCs w:val="0"/>
          <w:color w:val="auto"/>
          <w:kern w:val="2"/>
          <w:sz w:val="32"/>
          <w:szCs w:val="32"/>
          <w:lang w:bidi="ar-SA"/>
        </w:rPr>
        <w:t>新建房屋</w:t>
      </w:r>
      <w:r>
        <w:rPr>
          <w:rFonts w:hint="eastAsia" w:ascii="仿宋" w:hAnsi="仿宋" w:eastAsia="仿宋" w:cs="仿宋"/>
          <w:b w:val="0"/>
          <w:bCs w:val="0"/>
          <w:color w:val="auto"/>
          <w:kern w:val="2"/>
          <w:sz w:val="32"/>
          <w:szCs w:val="32"/>
          <w:lang w:val="en-US" w:eastAsia="zh-CN" w:bidi="ar-SA"/>
        </w:rPr>
        <w:t>和</w:t>
      </w:r>
      <w:r>
        <w:rPr>
          <w:rFonts w:hint="eastAsia" w:ascii="仿宋" w:hAnsi="仿宋" w:eastAsia="仿宋" w:cs="仿宋"/>
          <w:b w:val="0"/>
          <w:bCs w:val="0"/>
          <w:color w:val="auto"/>
          <w:kern w:val="2"/>
          <w:sz w:val="32"/>
          <w:szCs w:val="32"/>
          <w:lang w:bidi="ar-SA"/>
        </w:rPr>
        <w:t>市政</w:t>
      </w:r>
      <w:r>
        <w:rPr>
          <w:rFonts w:hint="eastAsia" w:ascii="仿宋" w:hAnsi="仿宋" w:eastAsia="仿宋" w:cs="仿宋"/>
          <w:b w:val="0"/>
          <w:bCs w:val="0"/>
          <w:color w:val="auto"/>
          <w:kern w:val="2"/>
          <w:sz w:val="32"/>
          <w:szCs w:val="32"/>
          <w:lang w:val="en-US" w:eastAsia="zh-CN" w:bidi="ar-SA"/>
        </w:rPr>
        <w:t>工程</w:t>
      </w:r>
      <w:r>
        <w:rPr>
          <w:rFonts w:hint="eastAsia" w:ascii="仿宋" w:hAnsi="仿宋" w:eastAsia="仿宋" w:cs="仿宋"/>
          <w:b w:val="0"/>
          <w:bCs w:val="0"/>
          <w:color w:val="auto"/>
          <w:kern w:val="2"/>
          <w:sz w:val="32"/>
          <w:szCs w:val="32"/>
          <w:lang w:bidi="ar-SA"/>
        </w:rPr>
        <w:t>、老旧小区改造及保障性住房</w:t>
      </w:r>
      <w:r>
        <w:rPr>
          <w:rFonts w:hint="eastAsia" w:ascii="仿宋" w:hAnsi="仿宋" w:eastAsia="仿宋" w:cs="仿宋"/>
          <w:b w:val="0"/>
          <w:bCs w:val="0"/>
          <w:color w:val="auto"/>
          <w:kern w:val="2"/>
          <w:sz w:val="32"/>
          <w:szCs w:val="32"/>
          <w:lang w:val="en-US" w:eastAsia="zh-CN" w:bidi="ar-SA"/>
        </w:rPr>
        <w:t>项目</w:t>
      </w:r>
      <w:r>
        <w:rPr>
          <w:rFonts w:hint="eastAsia" w:ascii="仿宋" w:hAnsi="仿宋" w:eastAsia="仿宋" w:cs="仿宋"/>
          <w:b w:val="0"/>
          <w:bCs w:val="0"/>
          <w:color w:val="auto"/>
          <w:kern w:val="2"/>
          <w:sz w:val="32"/>
          <w:szCs w:val="32"/>
          <w:lang w:bidi="ar-SA"/>
        </w:rPr>
        <w:t>实施无障碍标准，新开工项目无障碍设施达标率100%</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val="en-US" w:eastAsia="zh-CN" w:bidi="ar-SA"/>
        </w:rPr>
        <w:t>承办</w:t>
      </w:r>
      <w:r>
        <w:rPr>
          <w:rFonts w:hint="eastAsia" w:ascii="仿宋" w:hAnsi="仿宋" w:eastAsia="仿宋" w:cs="仿宋"/>
          <w:b w:val="0"/>
          <w:bCs w:val="0"/>
          <w:color w:val="auto"/>
          <w:kern w:val="2"/>
          <w:sz w:val="32"/>
          <w:szCs w:val="32"/>
          <w:lang w:bidi="ar-SA"/>
        </w:rPr>
        <w:t>“岳阳市无障碍环境建设观摩体验活动”，邀请市检察院、</w:t>
      </w:r>
      <w:r>
        <w:rPr>
          <w:rFonts w:hint="eastAsia" w:ascii="仿宋" w:hAnsi="仿宋" w:eastAsia="仿宋" w:cs="仿宋"/>
          <w:b w:val="0"/>
          <w:bCs w:val="0"/>
          <w:color w:val="auto"/>
          <w:kern w:val="2"/>
          <w:sz w:val="32"/>
          <w:szCs w:val="32"/>
          <w:lang w:eastAsia="zh-CN" w:bidi="ar-SA"/>
        </w:rPr>
        <w:t>中级人民法院、市</w:t>
      </w:r>
      <w:r>
        <w:rPr>
          <w:rFonts w:hint="eastAsia" w:ascii="仿宋" w:hAnsi="仿宋" w:eastAsia="仿宋" w:cs="仿宋"/>
          <w:b w:val="0"/>
          <w:bCs w:val="0"/>
          <w:color w:val="auto"/>
          <w:kern w:val="2"/>
          <w:sz w:val="32"/>
          <w:szCs w:val="32"/>
          <w:lang w:val="en-US" w:eastAsia="zh-CN" w:bidi="ar-SA"/>
        </w:rPr>
        <w:t>残联等单位以及</w:t>
      </w:r>
      <w:r>
        <w:rPr>
          <w:rFonts w:hint="eastAsia" w:ascii="仿宋" w:hAnsi="仿宋" w:eastAsia="仿宋" w:cs="仿宋"/>
          <w:b w:val="0"/>
          <w:bCs w:val="0"/>
          <w:color w:val="auto"/>
          <w:kern w:val="2"/>
          <w:sz w:val="32"/>
          <w:szCs w:val="32"/>
          <w:lang w:bidi="ar-SA"/>
        </w:rPr>
        <w:t>残疾人</w:t>
      </w:r>
      <w:r>
        <w:rPr>
          <w:rFonts w:hint="eastAsia" w:ascii="仿宋" w:hAnsi="仿宋" w:eastAsia="仿宋" w:cs="仿宋"/>
          <w:b w:val="0"/>
          <w:bCs w:val="0"/>
          <w:color w:val="auto"/>
          <w:kern w:val="2"/>
          <w:sz w:val="32"/>
          <w:szCs w:val="32"/>
          <w:lang w:val="en-US" w:eastAsia="zh-CN" w:bidi="ar-SA"/>
        </w:rPr>
        <w:t>代表</w:t>
      </w:r>
      <w:r>
        <w:rPr>
          <w:rFonts w:hint="eastAsia" w:ascii="仿宋" w:hAnsi="仿宋" w:eastAsia="仿宋" w:cs="仿宋"/>
          <w:b w:val="0"/>
          <w:bCs w:val="0"/>
          <w:color w:val="auto"/>
          <w:kern w:val="2"/>
          <w:sz w:val="32"/>
          <w:szCs w:val="32"/>
          <w:lang w:bidi="ar-SA"/>
        </w:rPr>
        <w:t>参与，</w:t>
      </w:r>
      <w:r>
        <w:rPr>
          <w:rFonts w:hint="eastAsia" w:ascii="仿宋" w:hAnsi="仿宋" w:eastAsia="仿宋" w:cs="仿宋"/>
          <w:b w:val="0"/>
          <w:bCs w:val="0"/>
          <w:color w:val="auto"/>
          <w:kern w:val="2"/>
          <w:sz w:val="32"/>
          <w:szCs w:val="32"/>
          <w:lang w:val="en-US" w:eastAsia="zh-CN" w:bidi="ar-SA"/>
        </w:rPr>
        <w:t>获得良好社会反响</w:t>
      </w:r>
      <w:r>
        <w:rPr>
          <w:rFonts w:hint="eastAsia" w:ascii="仿宋" w:hAnsi="仿宋" w:eastAsia="仿宋" w:cs="仿宋"/>
          <w:b w:val="0"/>
          <w:bCs w:val="0"/>
          <w:color w:val="auto"/>
          <w:kern w:val="2"/>
          <w:sz w:val="32"/>
          <w:szCs w:val="32"/>
          <w:lang w:eastAsia="zh-CN" w:bidi="ar-SA"/>
        </w:rPr>
        <w:t>。</w:t>
      </w:r>
      <w:r>
        <w:rPr>
          <w:rFonts w:hint="eastAsia" w:ascii="仿宋" w:hAnsi="仿宋" w:eastAsia="仿宋" w:cs="仿宋"/>
          <w:b w:val="0"/>
          <w:bCs w:val="0"/>
          <w:color w:val="auto"/>
          <w:kern w:val="2"/>
          <w:sz w:val="32"/>
          <w:szCs w:val="32"/>
          <w:lang w:val="en-US" w:eastAsia="zh-CN" w:bidi="ar-SA"/>
        </w:rPr>
        <w:t>目前基本</w:t>
      </w:r>
      <w:r>
        <w:rPr>
          <w:rFonts w:hint="eastAsia" w:ascii="仿宋" w:hAnsi="仿宋" w:eastAsia="仿宋" w:cs="仿宋"/>
          <w:b w:val="0"/>
          <w:bCs w:val="0"/>
          <w:color w:val="auto"/>
          <w:kern w:val="2"/>
          <w:sz w:val="32"/>
          <w:szCs w:val="32"/>
          <w:lang w:bidi="ar-SA"/>
        </w:rPr>
        <w:t>形成全社会共同参与、各环节有序、各要素系统连接的工作格局。</w:t>
      </w:r>
      <w:r>
        <w:rPr>
          <w:rFonts w:hint="eastAsia" w:ascii="仿宋" w:hAnsi="仿宋" w:eastAsia="仿宋" w:cs="仿宋"/>
          <w:b/>
          <w:bCs/>
          <w:color w:val="auto"/>
          <w:sz w:val="32"/>
          <w:szCs w:val="32"/>
          <w:lang w:val="en-US" w:eastAsia="zh-CN"/>
        </w:rPr>
        <w:t>造价管理方面，</w:t>
      </w:r>
      <w:r>
        <w:rPr>
          <w:rFonts w:hint="eastAsia" w:ascii="仿宋" w:hAnsi="仿宋" w:eastAsia="仿宋" w:cs="仿宋"/>
          <w:b w:val="0"/>
          <w:bCs w:val="0"/>
          <w:color w:val="auto"/>
          <w:kern w:val="2"/>
          <w:sz w:val="32"/>
          <w:szCs w:val="32"/>
          <w:lang w:val="en-US" w:eastAsia="zh-CN" w:bidi="ar-SA"/>
        </w:rPr>
        <w:t>探索</w:t>
      </w:r>
      <w:r>
        <w:rPr>
          <w:rFonts w:hint="eastAsia" w:ascii="仿宋" w:hAnsi="仿宋" w:eastAsia="仿宋" w:cs="仿宋"/>
          <w:b w:val="0"/>
          <w:bCs w:val="0"/>
          <w:color w:val="auto"/>
          <w:kern w:val="2"/>
          <w:sz w:val="32"/>
          <w:szCs w:val="32"/>
          <w:lang w:bidi="ar-SA"/>
        </w:rPr>
        <w:t>“信用+信息化”监管，</w:t>
      </w:r>
      <w:r>
        <w:rPr>
          <w:rFonts w:hint="eastAsia" w:ascii="仿宋" w:hAnsi="仿宋" w:eastAsia="仿宋" w:cs="仿宋"/>
          <w:b w:val="0"/>
          <w:bCs w:val="0"/>
          <w:color w:val="auto"/>
          <w:kern w:val="2"/>
          <w:sz w:val="32"/>
          <w:szCs w:val="32"/>
          <w:lang w:val="en-US" w:eastAsia="zh-CN" w:bidi="ar-SA"/>
        </w:rPr>
        <w:t>配合省造价总站制定</w:t>
      </w:r>
      <w:r>
        <w:rPr>
          <w:rFonts w:hint="eastAsia" w:ascii="仿宋" w:hAnsi="仿宋" w:eastAsia="仿宋" w:cs="仿宋"/>
          <w:b w:val="0"/>
          <w:bCs w:val="0"/>
          <w:color w:val="auto"/>
          <w:kern w:val="2"/>
          <w:sz w:val="32"/>
          <w:szCs w:val="32"/>
          <w:lang w:bidi="ar-SA"/>
        </w:rPr>
        <w:t>全省工程造价信用管理制度。</w:t>
      </w:r>
      <w:r>
        <w:rPr>
          <w:rFonts w:hint="eastAsia" w:ascii="仿宋" w:hAnsi="仿宋" w:eastAsia="仿宋" w:cs="仿宋"/>
          <w:b w:val="0"/>
          <w:bCs w:val="0"/>
          <w:color w:val="auto"/>
          <w:kern w:val="2"/>
          <w:sz w:val="32"/>
          <w:szCs w:val="32"/>
          <w:lang w:val="en-US" w:eastAsia="zh-CN" w:bidi="ar-SA"/>
        </w:rPr>
        <w:t>清理核实在</w:t>
      </w:r>
      <w:r>
        <w:rPr>
          <w:rFonts w:hint="eastAsia" w:ascii="仿宋" w:hAnsi="仿宋" w:eastAsia="仿宋" w:cs="仿宋"/>
          <w:b w:val="0"/>
          <w:bCs w:val="0"/>
          <w:color w:val="auto"/>
          <w:kern w:val="2"/>
          <w:sz w:val="32"/>
          <w:szCs w:val="32"/>
          <w:lang w:bidi="ar-SA"/>
        </w:rPr>
        <w:t>岳注册的100余家</w:t>
      </w:r>
      <w:r>
        <w:rPr>
          <w:rFonts w:hint="eastAsia" w:ascii="仿宋" w:hAnsi="仿宋" w:eastAsia="仿宋" w:cs="仿宋"/>
          <w:b w:val="0"/>
          <w:bCs w:val="0"/>
          <w:color w:val="auto"/>
          <w:kern w:val="2"/>
          <w:sz w:val="32"/>
          <w:szCs w:val="32"/>
          <w:lang w:val="en-US" w:eastAsia="zh-CN" w:bidi="ar-SA"/>
        </w:rPr>
        <w:t>造价咨询</w:t>
      </w:r>
      <w:r>
        <w:rPr>
          <w:rFonts w:hint="eastAsia" w:ascii="仿宋" w:hAnsi="仿宋" w:eastAsia="仿宋" w:cs="仿宋"/>
          <w:b w:val="0"/>
          <w:bCs w:val="0"/>
          <w:color w:val="auto"/>
          <w:kern w:val="2"/>
          <w:sz w:val="32"/>
          <w:szCs w:val="32"/>
          <w:lang w:bidi="ar-SA"/>
        </w:rPr>
        <w:t>企业信息</w:t>
      </w:r>
      <w:r>
        <w:rPr>
          <w:rFonts w:hint="eastAsia" w:ascii="仿宋" w:hAnsi="仿宋" w:eastAsia="仿宋" w:cs="仿宋"/>
          <w:b w:val="0"/>
          <w:bCs w:val="0"/>
          <w:color w:val="auto"/>
          <w:kern w:val="2"/>
          <w:sz w:val="32"/>
          <w:szCs w:val="32"/>
          <w:lang w:val="en-US" w:eastAsia="zh-CN" w:bidi="ar-SA"/>
        </w:rPr>
        <w:t>并</w:t>
      </w:r>
      <w:r>
        <w:rPr>
          <w:rFonts w:hint="eastAsia" w:ascii="仿宋" w:hAnsi="仿宋" w:eastAsia="仿宋" w:cs="仿宋"/>
          <w:b w:val="0"/>
          <w:bCs w:val="0"/>
          <w:color w:val="auto"/>
          <w:kern w:val="2"/>
          <w:sz w:val="32"/>
          <w:szCs w:val="32"/>
          <w:lang w:bidi="ar-SA"/>
        </w:rPr>
        <w:t>分批公示。开展2024年工程造价咨询成果文件质量评价</w:t>
      </w:r>
      <w:r>
        <w:rPr>
          <w:rFonts w:hint="eastAsia" w:ascii="仿宋" w:hAnsi="仿宋" w:eastAsia="仿宋" w:cs="仿宋"/>
          <w:b w:val="0"/>
          <w:bCs w:val="0"/>
          <w:color w:val="auto"/>
          <w:kern w:val="2"/>
          <w:sz w:val="32"/>
          <w:szCs w:val="32"/>
          <w:lang w:val="en-US" w:eastAsia="zh-CN" w:bidi="ar-SA"/>
        </w:rPr>
        <w:t>并</w:t>
      </w:r>
      <w:r>
        <w:rPr>
          <w:rFonts w:hint="eastAsia" w:ascii="仿宋" w:hAnsi="仿宋" w:eastAsia="仿宋" w:cs="仿宋"/>
          <w:b w:val="0"/>
          <w:bCs w:val="0"/>
          <w:color w:val="auto"/>
          <w:kern w:val="2"/>
          <w:sz w:val="32"/>
          <w:szCs w:val="32"/>
          <w:lang w:bidi="ar-SA"/>
        </w:rPr>
        <w:t>抽查15家企业，建立分级评分机制和评审结果，促进行业自律和信用体系建设。完成2024年</w:t>
      </w:r>
      <w:r>
        <w:rPr>
          <w:rFonts w:hint="eastAsia" w:ascii="仿宋" w:hAnsi="仿宋" w:eastAsia="仿宋" w:cs="仿宋"/>
          <w:b w:val="0"/>
          <w:bCs w:val="0"/>
          <w:color w:val="auto"/>
          <w:kern w:val="2"/>
          <w:sz w:val="32"/>
          <w:szCs w:val="32"/>
          <w:lang w:val="en-US" w:eastAsia="zh-CN" w:bidi="ar-SA"/>
        </w:rPr>
        <w:t>全</w:t>
      </w:r>
      <w:r>
        <w:rPr>
          <w:rFonts w:hint="eastAsia" w:ascii="仿宋" w:hAnsi="仿宋" w:eastAsia="仿宋" w:cs="仿宋"/>
          <w:b w:val="0"/>
          <w:bCs w:val="0"/>
          <w:color w:val="auto"/>
          <w:kern w:val="2"/>
          <w:sz w:val="32"/>
          <w:szCs w:val="32"/>
          <w:lang w:bidi="ar-SA"/>
        </w:rPr>
        <w:t>市建设工程人工费指数的公示、上报与发布。关注新材料和价格波动，</w:t>
      </w:r>
      <w:r>
        <w:rPr>
          <w:rFonts w:hint="eastAsia" w:ascii="仿宋" w:hAnsi="仿宋" w:eastAsia="仿宋" w:cs="仿宋"/>
          <w:b w:val="0"/>
          <w:bCs w:val="0"/>
          <w:color w:val="auto"/>
          <w:kern w:val="2"/>
          <w:sz w:val="32"/>
          <w:szCs w:val="32"/>
          <w:lang w:val="en-US" w:eastAsia="zh-CN" w:bidi="ar-SA"/>
        </w:rPr>
        <w:t>动态</w:t>
      </w:r>
      <w:r>
        <w:rPr>
          <w:rFonts w:hint="eastAsia" w:ascii="仿宋" w:hAnsi="仿宋" w:eastAsia="仿宋" w:cs="仿宋"/>
          <w:b w:val="0"/>
          <w:bCs w:val="0"/>
          <w:color w:val="auto"/>
          <w:kern w:val="2"/>
          <w:sz w:val="32"/>
          <w:szCs w:val="32"/>
          <w:lang w:bidi="ar-SA"/>
        </w:rPr>
        <w:t>发布12期材料价格信息，</w:t>
      </w:r>
      <w:r>
        <w:rPr>
          <w:rFonts w:hint="eastAsia" w:ascii="仿宋" w:hAnsi="仿宋" w:eastAsia="仿宋" w:cs="仿宋"/>
          <w:b w:val="0"/>
          <w:bCs w:val="0"/>
          <w:color w:val="auto"/>
          <w:kern w:val="2"/>
          <w:sz w:val="32"/>
          <w:szCs w:val="32"/>
          <w:lang w:val="en-US" w:eastAsia="zh-CN" w:bidi="ar-SA"/>
        </w:rPr>
        <w:t>高效</w:t>
      </w:r>
      <w:r>
        <w:rPr>
          <w:rFonts w:hint="eastAsia" w:ascii="仿宋" w:hAnsi="仿宋" w:eastAsia="仿宋" w:cs="仿宋"/>
          <w:b w:val="0"/>
          <w:bCs w:val="0"/>
          <w:color w:val="auto"/>
          <w:kern w:val="2"/>
          <w:sz w:val="32"/>
          <w:szCs w:val="32"/>
          <w:lang w:bidi="ar-SA"/>
        </w:rPr>
        <w:t>服务建设主体。</w:t>
      </w:r>
      <w:r>
        <w:rPr>
          <w:rFonts w:hint="eastAsia" w:ascii="仿宋" w:hAnsi="仿宋" w:eastAsia="仿宋" w:cs="仿宋"/>
          <w:b/>
          <w:bCs/>
          <w:color w:val="auto"/>
          <w:sz w:val="32"/>
          <w:szCs w:val="32"/>
          <w:lang w:val="en-US" w:eastAsia="zh-CN"/>
        </w:rPr>
        <w:t>海绵管控方面，</w:t>
      </w:r>
      <w:r>
        <w:rPr>
          <w:rFonts w:hint="eastAsia" w:ascii="仿宋" w:hAnsi="仿宋" w:eastAsia="仿宋" w:cs="仿宋"/>
          <w:b w:val="0"/>
          <w:bCs w:val="0"/>
          <w:color w:val="auto"/>
          <w:sz w:val="32"/>
          <w:szCs w:val="32"/>
          <w:lang w:val="en-US" w:eastAsia="zh-CN"/>
        </w:rPr>
        <w:t>协同市海绵办</w:t>
      </w:r>
      <w:r>
        <w:rPr>
          <w:rFonts w:hint="eastAsia" w:ascii="仿宋" w:hAnsi="仿宋" w:eastAsia="仿宋" w:cs="仿宋"/>
          <w:color w:val="auto"/>
          <w:sz w:val="32"/>
          <w:szCs w:val="32"/>
        </w:rPr>
        <w:t>从规划设计、建设管控、片区示范、典型项目等方面进行总结提炼，打造长江流域低山丘陵地区海绵城市建设经验示范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组织</w:t>
      </w:r>
      <w:r>
        <w:rPr>
          <w:rFonts w:hint="eastAsia" w:ascii="仿宋" w:hAnsi="仿宋" w:eastAsia="仿宋" w:cs="仿宋"/>
          <w:color w:val="auto"/>
          <w:sz w:val="32"/>
          <w:szCs w:val="32"/>
          <w:lang w:eastAsia="zh-CN"/>
        </w:rPr>
        <w:t>编制了</w:t>
      </w:r>
      <w:r>
        <w:rPr>
          <w:rFonts w:hint="eastAsia" w:ascii="仿宋" w:hAnsi="仿宋" w:eastAsia="仿宋" w:cs="仿宋"/>
          <w:color w:val="auto"/>
          <w:sz w:val="32"/>
          <w:szCs w:val="32"/>
        </w:rPr>
        <w:t>《南方山地河谷丘陵城市系统化全域海绵城市建设的岳阳实践报告》</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下发海绵城市方案审查意见书55份，巡查项目230余次，下发整改通知单29份，编制月度巡查报告11份，完成海绵城市效果评价项目48个。</w:t>
      </w:r>
      <w:r>
        <w:rPr>
          <w:rFonts w:hint="eastAsia" w:ascii="仿宋" w:hAnsi="仿宋" w:eastAsia="仿宋" w:cs="仿宋"/>
          <w:b/>
          <w:bCs/>
          <w:color w:val="auto"/>
          <w:kern w:val="2"/>
          <w:sz w:val="32"/>
          <w:szCs w:val="32"/>
          <w:lang w:val="en-US" w:eastAsia="zh-CN" w:bidi="ar-SA"/>
        </w:rPr>
        <w:t>建筑市场方面，</w:t>
      </w:r>
      <w:r>
        <w:rPr>
          <w:rFonts w:hint="eastAsia" w:ascii="仿宋" w:hAnsi="仿宋" w:eastAsia="仿宋" w:cs="仿宋"/>
          <w:color w:val="auto"/>
          <w:sz w:val="32"/>
          <w:szCs w:val="32"/>
          <w:lang w:val="en-US" w:eastAsia="zh-CN"/>
        </w:rPr>
        <w:t>累计完成建设行业培训和考试考核14536人次。其中，“安管人员”考核 2335 人次、特种作业人员考核和延期复核515人次（其中新取证考核422人）、住建领域施工现场专业人员培训测试720人次以及继续教育2499人次、建筑工人职业培训 7036 人次、土建初中级职称考试1431人次。累计受理安管人员初始申报、变更、延期、注销等 7732 人次。</w:t>
      </w:r>
      <w:r>
        <w:rPr>
          <w:rFonts w:hint="eastAsia" w:ascii="仿宋" w:hAnsi="仿宋" w:eastAsia="仿宋" w:cs="仿宋"/>
          <w:color w:val="auto"/>
          <w:kern w:val="2"/>
          <w:sz w:val="32"/>
          <w:szCs w:val="32"/>
          <w:lang w:val="en-US" w:eastAsia="zh-CN" w:bidi="ar-SA"/>
        </w:rPr>
        <w:t>同时，协同局有关科室高效开展</w:t>
      </w:r>
      <w:r>
        <w:rPr>
          <w:rFonts w:hint="eastAsia" w:ascii="仿宋" w:hAnsi="仿宋" w:eastAsia="仿宋" w:cs="仿宋"/>
          <w:color w:val="auto"/>
          <w:kern w:val="2"/>
          <w:sz w:val="32"/>
          <w:szCs w:val="32"/>
          <w:lang w:bidi="ar-SA"/>
        </w:rPr>
        <w:t>国务院农民工工资支付考核</w:t>
      </w:r>
      <w:r>
        <w:rPr>
          <w:rFonts w:hint="eastAsia" w:ascii="仿宋" w:hAnsi="仿宋" w:eastAsia="仿宋" w:cs="仿宋"/>
          <w:color w:val="auto"/>
          <w:kern w:val="2"/>
          <w:sz w:val="32"/>
          <w:szCs w:val="32"/>
          <w:lang w:val="en-US" w:eastAsia="zh-CN" w:bidi="ar-SA"/>
        </w:rPr>
        <w:t>迎检</w:t>
      </w:r>
      <w:r>
        <w:rPr>
          <w:rFonts w:hint="eastAsia" w:ascii="仿宋" w:hAnsi="仿宋" w:eastAsia="仿宋" w:cs="仿宋"/>
          <w:color w:val="auto"/>
          <w:kern w:val="2"/>
          <w:sz w:val="32"/>
          <w:szCs w:val="32"/>
          <w:lang w:bidi="ar-SA"/>
        </w:rPr>
        <w:t>、</w:t>
      </w:r>
      <w:r>
        <w:rPr>
          <w:rFonts w:hint="eastAsia" w:ascii="仿宋" w:hAnsi="仿宋" w:eastAsia="仿宋" w:cs="仿宋"/>
          <w:color w:val="auto"/>
          <w:kern w:val="2"/>
          <w:sz w:val="32"/>
          <w:szCs w:val="32"/>
          <w:lang w:val="en-US" w:eastAsia="zh-CN" w:bidi="ar-SA"/>
        </w:rPr>
        <w:t>落实省住建厅</w:t>
      </w:r>
      <w:r>
        <w:rPr>
          <w:rFonts w:hint="eastAsia" w:ascii="仿宋" w:hAnsi="仿宋" w:eastAsia="仿宋" w:cs="仿宋"/>
          <w:color w:val="auto"/>
          <w:kern w:val="2"/>
          <w:sz w:val="32"/>
          <w:szCs w:val="32"/>
          <w:lang w:bidi="ar-SA"/>
        </w:rPr>
        <w:t>安全生产证书</w:t>
      </w:r>
      <w:r>
        <w:rPr>
          <w:rFonts w:hint="eastAsia" w:ascii="仿宋" w:hAnsi="仿宋" w:eastAsia="仿宋" w:cs="仿宋"/>
          <w:color w:val="auto"/>
          <w:kern w:val="2"/>
          <w:sz w:val="32"/>
          <w:szCs w:val="32"/>
          <w:lang w:val="en-US" w:eastAsia="zh-CN" w:bidi="ar-SA"/>
        </w:rPr>
        <w:t>涉假专项</w:t>
      </w:r>
      <w:r>
        <w:rPr>
          <w:rFonts w:hint="eastAsia" w:ascii="仿宋" w:hAnsi="仿宋" w:eastAsia="仿宋" w:cs="仿宋"/>
          <w:color w:val="auto"/>
          <w:kern w:val="2"/>
          <w:sz w:val="32"/>
          <w:szCs w:val="32"/>
          <w:lang w:bidi="ar-SA"/>
        </w:rPr>
        <w:t>治理</w:t>
      </w:r>
      <w:r>
        <w:rPr>
          <w:rFonts w:hint="eastAsia" w:ascii="仿宋" w:hAnsi="仿宋" w:eastAsia="仿宋" w:cs="仿宋"/>
          <w:color w:val="auto"/>
          <w:kern w:val="2"/>
          <w:sz w:val="32"/>
          <w:szCs w:val="32"/>
          <w:lang w:val="en-US" w:eastAsia="zh-CN" w:bidi="ar-SA"/>
        </w:rPr>
        <w:t>以及全省土建工程初中级职称考试岳阳考区考试工作</w:t>
      </w:r>
      <w:r>
        <w:rPr>
          <w:rFonts w:hint="eastAsia" w:ascii="仿宋" w:hAnsi="仿宋" w:eastAsia="仿宋" w:cs="仿宋"/>
          <w:color w:val="auto"/>
          <w:kern w:val="2"/>
          <w:sz w:val="32"/>
          <w:szCs w:val="32"/>
          <w:lang w:eastAsia="zh-CN" w:bidi="ar-SA"/>
        </w:rPr>
        <w:t>，</w:t>
      </w:r>
      <w:r>
        <w:rPr>
          <w:rFonts w:hint="eastAsia" w:ascii="仿宋" w:hAnsi="仿宋" w:eastAsia="仿宋" w:cs="仿宋"/>
          <w:color w:val="auto"/>
          <w:kern w:val="2"/>
          <w:sz w:val="32"/>
          <w:szCs w:val="32"/>
          <w:lang w:val="en-US" w:eastAsia="zh-CN" w:bidi="ar-SA"/>
        </w:rPr>
        <w:t>并参与全市</w:t>
      </w:r>
      <w:r>
        <w:rPr>
          <w:rFonts w:hint="eastAsia" w:ascii="仿宋" w:hAnsi="仿宋" w:eastAsia="仿宋" w:cs="仿宋"/>
          <w:color w:val="auto"/>
          <w:kern w:val="2"/>
          <w:sz w:val="32"/>
          <w:szCs w:val="32"/>
          <w:lang w:bidi="ar-SA"/>
        </w:rPr>
        <w:t>建设工程质量安全督查。</w:t>
      </w:r>
    </w:p>
    <w:p w14:paraId="2509A60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kern w:val="2"/>
          <w:sz w:val="32"/>
          <w:szCs w:val="32"/>
          <w:lang w:val="en-US" w:eastAsia="zh-CN" w:bidi="ar-SA"/>
        </w:rPr>
        <w:t>信访诉求方面，</w:t>
      </w:r>
      <w:r>
        <w:rPr>
          <w:rFonts w:hint="eastAsia" w:ascii="仿宋" w:hAnsi="仿宋" w:eastAsia="仿宋" w:cs="仿宋"/>
          <w:color w:val="auto"/>
          <w:kern w:val="2"/>
          <w:sz w:val="32"/>
          <w:szCs w:val="32"/>
          <w:lang w:bidi="ar-SA"/>
        </w:rPr>
        <w:t>高度重视九华山棚改、洞庭渔都</w:t>
      </w:r>
      <w:r>
        <w:rPr>
          <w:rFonts w:hint="eastAsia" w:ascii="仿宋" w:hAnsi="仿宋" w:eastAsia="仿宋" w:cs="仿宋"/>
          <w:color w:val="auto"/>
          <w:kern w:val="2"/>
          <w:sz w:val="32"/>
          <w:szCs w:val="32"/>
          <w:lang w:val="en-US" w:eastAsia="zh-CN" w:bidi="ar-SA"/>
        </w:rPr>
        <w:t>和</w:t>
      </w:r>
      <w:r>
        <w:rPr>
          <w:rFonts w:hint="eastAsia" w:ascii="仿宋" w:hAnsi="仿宋" w:eastAsia="仿宋" w:cs="仿宋"/>
          <w:color w:val="auto"/>
          <w:kern w:val="2"/>
          <w:sz w:val="32"/>
          <w:szCs w:val="32"/>
          <w:lang w:bidi="ar-SA"/>
        </w:rPr>
        <w:t>幕阜山房屋</w:t>
      </w:r>
      <w:r>
        <w:rPr>
          <w:rFonts w:hint="eastAsia" w:ascii="仿宋" w:hAnsi="仿宋" w:eastAsia="仿宋" w:cs="仿宋"/>
          <w:color w:val="auto"/>
          <w:kern w:val="2"/>
          <w:sz w:val="32"/>
          <w:szCs w:val="32"/>
          <w:lang w:val="en-US" w:eastAsia="zh-CN" w:bidi="ar-SA"/>
        </w:rPr>
        <w:t>征收</w:t>
      </w:r>
      <w:r>
        <w:rPr>
          <w:rFonts w:hint="eastAsia" w:ascii="仿宋" w:hAnsi="仿宋" w:eastAsia="仿宋" w:cs="仿宋"/>
          <w:color w:val="auto"/>
          <w:kern w:val="2"/>
          <w:sz w:val="32"/>
          <w:szCs w:val="32"/>
          <w:lang w:bidi="ar-SA"/>
        </w:rPr>
        <w:t>信访事项，迅速成立专班，与相关部门保持紧密合作，深入调查信访事项</w:t>
      </w:r>
      <w:r>
        <w:rPr>
          <w:rFonts w:hint="eastAsia" w:ascii="仿宋" w:hAnsi="仿宋" w:eastAsia="仿宋" w:cs="仿宋"/>
          <w:color w:val="auto"/>
          <w:kern w:val="2"/>
          <w:sz w:val="32"/>
          <w:szCs w:val="32"/>
          <w:lang w:eastAsia="zh-CN" w:bidi="ar-SA"/>
        </w:rPr>
        <w:t>，</w:t>
      </w:r>
      <w:r>
        <w:rPr>
          <w:rFonts w:hint="eastAsia" w:ascii="仿宋" w:hAnsi="仿宋" w:eastAsia="仿宋" w:cs="仿宋"/>
          <w:color w:val="auto"/>
          <w:kern w:val="2"/>
          <w:sz w:val="32"/>
          <w:szCs w:val="32"/>
          <w:lang w:bidi="ar-SA"/>
        </w:rPr>
        <w:t>认真听取群众诉求，耐心沟通解释。为查明事实，多次查阅案卷，</w:t>
      </w:r>
      <w:r>
        <w:rPr>
          <w:rFonts w:hint="eastAsia" w:ascii="仿宋" w:hAnsi="仿宋" w:eastAsia="仿宋" w:cs="仿宋"/>
          <w:color w:val="auto"/>
          <w:kern w:val="2"/>
          <w:sz w:val="32"/>
          <w:szCs w:val="32"/>
          <w:lang w:val="en-US" w:eastAsia="zh-CN" w:bidi="ar-SA"/>
        </w:rPr>
        <w:t>聘请</w:t>
      </w:r>
      <w:r>
        <w:rPr>
          <w:rFonts w:hint="eastAsia" w:ascii="仿宋" w:hAnsi="仿宋" w:eastAsia="仿宋" w:cs="仿宋"/>
          <w:color w:val="auto"/>
          <w:kern w:val="2"/>
          <w:sz w:val="32"/>
          <w:szCs w:val="32"/>
          <w:lang w:bidi="ar-SA"/>
        </w:rPr>
        <w:t>法律团队研究解决方案，及时处理矛盾，并向信访人反馈，确保</w:t>
      </w:r>
      <w:r>
        <w:rPr>
          <w:rFonts w:hint="eastAsia" w:ascii="仿宋" w:hAnsi="仿宋" w:eastAsia="仿宋" w:cs="仿宋"/>
          <w:color w:val="auto"/>
          <w:kern w:val="2"/>
          <w:sz w:val="32"/>
          <w:szCs w:val="32"/>
          <w:lang w:val="en-US" w:eastAsia="zh-CN" w:bidi="ar-SA"/>
        </w:rPr>
        <w:t>“件件有着落，事事有回音”。</w:t>
      </w:r>
      <w:r>
        <w:rPr>
          <w:rFonts w:hint="eastAsia" w:ascii="仿宋" w:hAnsi="仿宋" w:eastAsia="仿宋" w:cs="仿宋"/>
          <w:b/>
          <w:bCs/>
          <w:color w:val="auto"/>
          <w:sz w:val="32"/>
          <w:szCs w:val="32"/>
          <w:lang w:val="en-US" w:eastAsia="zh-CN"/>
        </w:rPr>
        <w:t>造价争议方面，</w:t>
      </w:r>
      <w:r>
        <w:rPr>
          <w:rFonts w:hint="eastAsia" w:ascii="仿宋" w:hAnsi="仿宋" w:eastAsia="仿宋" w:cs="仿宋"/>
          <w:color w:val="auto"/>
          <w:kern w:val="2"/>
          <w:sz w:val="32"/>
          <w:szCs w:val="32"/>
          <w:lang w:val="en-US" w:eastAsia="zh-CN" w:bidi="ar-SA"/>
        </w:rPr>
        <w:t>接待造价争议来电咨询160余次、来人咨询30余次，完成己内酰胺产业链搬迁与升级转型发展项目第二批第四标段（全厂外管）等项目工程造价争议调解工作，有效维护工程建设各方主体合法权益。</w:t>
      </w:r>
    </w:p>
    <w:p w14:paraId="509A597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组织开展整体支出绩效评价，涉及一般公共预算支出33213.91万元，政府性基金预算支出4848.72万元，国有资本经营预算支出0万元。从评价情况来看，整体支出绩效评价中，2024年整体支出38256.36万元，其中：基本支出1337.87万元，项目支出36918.48万元，本单位整体支出绩效自评综合评分91分，评价结果等次为优秀。</w:t>
      </w:r>
    </w:p>
    <w:p w14:paraId="4100CAB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olor w:val="auto"/>
          <w:sz w:val="32"/>
          <w:szCs w:val="32"/>
          <w:highlight w:val="none"/>
        </w:rPr>
      </w:pPr>
      <w:r>
        <w:rPr>
          <w:rFonts w:hint="eastAsia" w:ascii="仿宋_GB2312" w:hAnsi="仿宋_GB2312" w:eastAsia="仿宋_GB2312" w:cs="仿宋_GB2312"/>
          <w:b w:val="0"/>
          <w:bCs w:val="0"/>
          <w:color w:val="auto"/>
          <w:kern w:val="0"/>
          <w:sz w:val="32"/>
          <w:szCs w:val="32"/>
          <w:lang w:val="en-US" w:eastAsia="zh-CN" w:bidi="ar-SA"/>
        </w:rPr>
        <w:t>组织对一般公共预算项目支出全面开展绩效自评，项目2个，</w:t>
      </w:r>
      <w:r>
        <w:rPr>
          <w:rFonts w:hint="eastAsia" w:ascii="Times New Roman" w:hAnsi="Times New Roman" w:eastAsia="仿宋_GB2312"/>
          <w:color w:val="auto"/>
          <w:sz w:val="32"/>
          <w:szCs w:val="32"/>
          <w:highlight w:val="none"/>
        </w:rPr>
        <w:t>项目绩效自评得分</w:t>
      </w:r>
      <w:r>
        <w:rPr>
          <w:rFonts w:hint="eastAsia" w:ascii="Times New Roman" w:hAnsi="Times New Roman" w:eastAsia="仿宋_GB2312"/>
          <w:color w:val="auto"/>
          <w:sz w:val="32"/>
          <w:szCs w:val="32"/>
          <w:highlight w:val="none"/>
          <w:lang w:val="en-US" w:eastAsia="zh-CN"/>
        </w:rPr>
        <w:t>分别为100分和99</w:t>
      </w:r>
      <w:r>
        <w:rPr>
          <w:rFonts w:hint="eastAsia" w:ascii="Times New Roman" w:hAnsi="Times New Roman" w:eastAsia="仿宋_GB2312"/>
          <w:color w:val="auto"/>
          <w:sz w:val="32"/>
          <w:szCs w:val="32"/>
          <w:highlight w:val="none"/>
        </w:rPr>
        <w:t>分，评价结果等次为</w:t>
      </w:r>
      <w:r>
        <w:rPr>
          <w:rFonts w:hint="eastAsia" w:ascii="Times New Roman" w:hAnsi="Times New Roman" w:eastAsia="仿宋_GB2312"/>
          <w:color w:val="auto"/>
          <w:sz w:val="32"/>
          <w:szCs w:val="32"/>
          <w:highlight w:val="none"/>
          <w:lang w:val="en-US" w:eastAsia="zh-CN"/>
        </w:rPr>
        <w:t>优</w:t>
      </w:r>
      <w:r>
        <w:rPr>
          <w:rFonts w:hint="eastAsia" w:ascii="Times New Roman" w:hAnsi="Times New Roman" w:eastAsia="仿宋_GB2312"/>
          <w:color w:val="auto"/>
          <w:sz w:val="32"/>
          <w:szCs w:val="32"/>
          <w:highlight w:val="none"/>
        </w:rPr>
        <w:t>。</w:t>
      </w:r>
    </w:p>
    <w:p w14:paraId="7DF10E06">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ascii="Times New Roman" w:hAnsi="Times New Roman" w:eastAsia="仿宋_GB2312" w:cs="Times New Roman"/>
          <w:b/>
          <w:bCs/>
          <w:color w:val="000000" w:themeColor="text1"/>
          <w:kern w:val="0"/>
          <w:sz w:val="32"/>
          <w:szCs w:val="32"/>
          <w14:textFill>
            <w14:solidFill>
              <w14:schemeClr w14:val="tx1"/>
            </w14:solidFill>
          </w14:textFill>
        </w:rPr>
        <w:t>部门评价开展情况</w:t>
      </w:r>
      <w:r>
        <w:rPr>
          <w:rFonts w:hint="eastAsia" w:ascii="Times New Roman" w:hAnsi="Times New Roman" w:eastAsia="仿宋_GB2312" w:cs="Times New Roman"/>
          <w:b/>
          <w:bCs/>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本单位为二级预算单位，部门评价开展情况可详见上级部门决算公开说明；</w:t>
      </w:r>
    </w:p>
    <w:p w14:paraId="59B61BD4">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firstLine="640" w:firstLineChars="200"/>
        <w:jc w:val="left"/>
        <w:textAlignment w:val="auto"/>
        <w:rPr>
          <w:rFonts w:ascii="Times New Roman" w:hAnsi="Times New Roman" w:eastAsia="楷体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kern w:val="0"/>
          <w:sz w:val="32"/>
          <w:szCs w:val="32"/>
          <w14:textFill>
            <w14:solidFill>
              <w14:schemeClr w14:val="tx1"/>
            </w14:solidFill>
          </w14:textFill>
        </w:rPr>
        <w:t>事前绩效评估开展情况</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。本单位为二级预算单位，事前绩效评估开展情况可详见上级部门决算公开说明；</w:t>
      </w:r>
    </w:p>
    <w:p w14:paraId="004D01B3">
      <w:pPr>
        <w:overflowPunct w:val="0"/>
        <w:spacing w:line="600" w:lineRule="exact"/>
        <w:rPr>
          <w:rFonts w:ascii="Times New Roman" w:hAnsi="Times New Roman" w:eastAsia="楷体" w:cs="Times New Roman"/>
          <w:b/>
          <w:bCs/>
          <w:sz w:val="32"/>
          <w:szCs w:val="32"/>
        </w:rPr>
      </w:pPr>
    </w:p>
    <w:p w14:paraId="20BD13AC">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14:paraId="49212B25">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ascii="仿宋_GB2312" w:hAnsi="仿宋_GB2312" w:eastAsia="仿宋_GB2312" w:cs="仿宋_GB2312"/>
          <w:color w:val="333333"/>
          <w:sz w:val="32"/>
          <w:szCs w:val="32"/>
          <w:shd w:val="clear" w:color="auto" w:fill="FFFFFF"/>
        </w:rPr>
      </w:pP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b/>
          <w:bCs/>
          <w:kern w:val="0"/>
          <w:sz w:val="32"/>
          <w:szCs w:val="32"/>
        </w:rPr>
        <w:t>绩效自评结果。</w:t>
      </w:r>
      <w:r>
        <w:rPr>
          <w:rFonts w:ascii="Times New Roman" w:hAnsi="Times New Roman" w:eastAsia="仿宋_GB2312" w:cs="Times New Roman"/>
          <w:kern w:val="0"/>
          <w:sz w:val="32"/>
          <w:szCs w:val="32"/>
        </w:rPr>
        <w:t>2024年度本部门（单位）整体支出</w:t>
      </w:r>
      <w:r>
        <w:rPr>
          <w:rFonts w:ascii="Times New Roman" w:hAnsi="Times New Roman" w:eastAsia="仿宋_GB2312" w:cs="Times New Roman"/>
          <w:sz w:val="32"/>
          <w:szCs w:val="32"/>
        </w:rPr>
        <w:t>全年预算数</w:t>
      </w:r>
      <w:r>
        <w:rPr>
          <w:rFonts w:hint="eastAsia" w:ascii="Times New Roman" w:hAnsi="Times New Roman" w:eastAsia="仿宋_GB2312" w:cs="Times New Roman"/>
          <w:sz w:val="32"/>
          <w:szCs w:val="32"/>
          <w:lang w:val="en-US" w:eastAsia="zh-CN"/>
        </w:rPr>
        <w:t>75600.67</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38256.36</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50</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，绩效自评得分</w:t>
      </w:r>
      <w:r>
        <w:rPr>
          <w:rFonts w:hint="eastAsia" w:ascii="Times New Roman" w:hAnsi="Times New Roman" w:eastAsia="仿宋_GB2312" w:cs="Times New Roman"/>
          <w:sz w:val="32"/>
          <w:szCs w:val="32"/>
          <w:lang w:val="en-US" w:eastAsia="zh-CN"/>
        </w:rPr>
        <w:t>91</w:t>
      </w:r>
      <w:r>
        <w:rPr>
          <w:rFonts w:ascii="Times New Roman" w:hAnsi="Times New Roman" w:eastAsia="仿宋_GB2312" w:cs="Times New Roman"/>
          <w:sz w:val="32"/>
          <w:szCs w:val="32"/>
        </w:rPr>
        <w:t>分</w:t>
      </w:r>
      <w:r>
        <w:rPr>
          <w:rFonts w:ascii="Times New Roman" w:hAnsi="Times New Roman" w:eastAsia="仿宋_GB2312" w:cs="Times New Roman"/>
          <w:kern w:val="0"/>
          <w:sz w:val="32"/>
          <w:szCs w:val="32"/>
        </w:rPr>
        <w:t>，评价等级为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优秀</w:t>
      </w:r>
      <w:r>
        <w:rPr>
          <w:rFonts w:ascii="Times New Roman" w:hAnsi="Times New Roman" w:eastAsia="仿宋_GB2312" w:cs="Times New Roman"/>
          <w:sz w:val="32"/>
          <w:szCs w:val="32"/>
        </w:rPr>
        <w:t>”。</w:t>
      </w:r>
      <w:r>
        <w:rPr>
          <w:rFonts w:hint="eastAsia" w:ascii="仿宋_GB2312" w:hAnsi="仿宋_GB2312" w:eastAsia="仿宋_GB2312" w:cs="仿宋_GB2312"/>
          <w:i w:val="0"/>
          <w:iCs w:val="0"/>
          <w:caps w:val="0"/>
          <w:color w:val="333333"/>
          <w:spacing w:val="0"/>
          <w:kern w:val="2"/>
          <w:sz w:val="32"/>
          <w:szCs w:val="32"/>
          <w:shd w:val="clear" w:color="auto" w:fill="auto"/>
          <w:lang w:val="en-US" w:eastAsia="zh-CN" w:bidi="ar-SA"/>
        </w:rPr>
        <w:t>目前</w:t>
      </w:r>
      <w:r>
        <w:rPr>
          <w:rFonts w:hint="default" w:ascii="仿宋_GB2312" w:hAnsi="仿宋_GB2312" w:eastAsia="仿宋_GB2312" w:cs="仿宋_GB2312"/>
          <w:i w:val="0"/>
          <w:iCs w:val="0"/>
          <w:caps w:val="0"/>
          <w:color w:val="333333"/>
          <w:spacing w:val="0"/>
          <w:kern w:val="2"/>
          <w:sz w:val="32"/>
          <w:szCs w:val="32"/>
          <w:shd w:val="clear" w:color="auto" w:fill="auto"/>
          <w:lang w:val="en-US" w:eastAsia="zh-CN" w:bidi="ar-SA"/>
        </w:rPr>
        <w:t>存在的问题及原因分析</w:t>
      </w:r>
      <w:r>
        <w:rPr>
          <w:rFonts w:hint="eastAsia" w:ascii="仿宋_GB2312" w:hAnsi="仿宋_GB2312" w:eastAsia="仿宋_GB2312" w:cs="仿宋_GB2312"/>
          <w:i w:val="0"/>
          <w:iCs w:val="0"/>
          <w:caps w:val="0"/>
          <w:color w:val="333333"/>
          <w:spacing w:val="0"/>
          <w:kern w:val="2"/>
          <w:sz w:val="32"/>
          <w:szCs w:val="32"/>
          <w:shd w:val="clear" w:color="auto" w:fill="auto"/>
          <w:lang w:val="en-US" w:eastAsia="zh-CN" w:bidi="ar-SA"/>
        </w:rPr>
        <w:t>：</w:t>
      </w:r>
      <w:r>
        <w:rPr>
          <w:rFonts w:ascii="仿宋_GB2312" w:hAnsi="仿宋_GB2312" w:eastAsia="仿宋_GB2312" w:cs="仿宋_GB2312"/>
          <w:i w:val="0"/>
          <w:iCs w:val="0"/>
          <w:caps w:val="0"/>
          <w:color w:val="333333"/>
          <w:spacing w:val="0"/>
          <w:sz w:val="32"/>
          <w:szCs w:val="32"/>
          <w:shd w:val="clear" w:color="auto" w:fill="auto"/>
        </w:rPr>
        <w:t>指标过于笼统（如“社会效益”缺乏量化标准），或过度关注短期财务指标（如</w:t>
      </w:r>
      <w:r>
        <w:rPr>
          <w:rFonts w:hint="eastAsia" w:ascii="仿宋_GB2312" w:hAnsi="仿宋_GB2312" w:eastAsia="仿宋_GB2312" w:cs="仿宋_GB2312"/>
          <w:i w:val="0"/>
          <w:iCs w:val="0"/>
          <w:caps w:val="0"/>
          <w:color w:val="333333"/>
          <w:spacing w:val="0"/>
          <w:sz w:val="32"/>
          <w:szCs w:val="32"/>
          <w:shd w:val="clear" w:color="auto" w:fill="auto"/>
          <w:lang w:val="en-US" w:eastAsia="zh-CN"/>
        </w:rPr>
        <w:t>资金</w:t>
      </w:r>
      <w:r>
        <w:rPr>
          <w:rFonts w:ascii="仿宋_GB2312" w:hAnsi="仿宋_GB2312" w:eastAsia="仿宋_GB2312" w:cs="仿宋_GB2312"/>
          <w:i w:val="0"/>
          <w:iCs w:val="0"/>
          <w:caps w:val="0"/>
          <w:color w:val="333333"/>
          <w:spacing w:val="0"/>
          <w:sz w:val="32"/>
          <w:szCs w:val="32"/>
          <w:shd w:val="clear" w:color="auto" w:fill="auto"/>
        </w:rPr>
        <w:t>执行率），忽视长期效益（如政策影响力）。</w:t>
      </w:r>
    </w:p>
    <w:p w14:paraId="557A0D4D">
      <w:pPr>
        <w:widowControl/>
        <w:spacing w:line="640" w:lineRule="exact"/>
        <w:ind w:firstLine="640" w:firstLineChars="200"/>
        <w:rPr>
          <w:rFonts w:ascii="仿宋_GB2312" w:hAnsi="仿宋_GB2312" w:eastAsia="仿宋_GB2312" w:cs="仿宋_GB2312"/>
          <w:color w:val="333333"/>
          <w:sz w:val="32"/>
          <w:szCs w:val="32"/>
          <w:shd w:val="clear" w:color="auto" w:fill="FFFFFF"/>
        </w:rPr>
      </w:pPr>
      <w:r>
        <w:rPr>
          <w:rFonts w:ascii="仿宋_GB2312" w:hAnsi="仿宋_GB2312" w:eastAsia="仿宋_GB2312" w:cs="仿宋_GB2312"/>
          <w:color w:val="333333"/>
          <w:sz w:val="32"/>
          <w:szCs w:val="32"/>
          <w:shd w:val="clear" w:color="auto" w:fill="FFFFFF"/>
        </w:rPr>
        <w:t>随着预算管理“一体化”系统全面实施，对预算编制提出了更高的要求。</w:t>
      </w:r>
      <w:r>
        <w:rPr>
          <w:rFonts w:hint="eastAsia" w:ascii="仿宋_GB2312" w:hAnsi="仿宋_GB2312" w:eastAsia="仿宋_GB2312" w:cs="仿宋_GB2312"/>
          <w:color w:val="333333"/>
          <w:sz w:val="32"/>
          <w:szCs w:val="32"/>
          <w:shd w:val="clear" w:color="auto" w:fill="FFFFFF"/>
        </w:rPr>
        <w:t>我中心需</w:t>
      </w:r>
      <w:r>
        <w:rPr>
          <w:rFonts w:ascii="仿宋_GB2312" w:hAnsi="仿宋_GB2312" w:eastAsia="仿宋_GB2312" w:cs="仿宋_GB2312"/>
          <w:color w:val="333333"/>
          <w:sz w:val="32"/>
          <w:szCs w:val="32"/>
          <w:shd w:val="clear" w:color="auto" w:fill="FFFFFF"/>
        </w:rPr>
        <w:t>根据年度工作计划，科学合理编部门预算，合理保障资金需要，严格执行；强化预算绩效意识，绩效目标编制需量化</w:t>
      </w:r>
      <w:r>
        <w:rPr>
          <w:rFonts w:hint="eastAsia" w:ascii="仿宋_GB2312" w:hAnsi="仿宋_GB2312" w:eastAsia="仿宋_GB2312" w:cs="仿宋_GB2312"/>
          <w:color w:val="333333"/>
          <w:sz w:val="32"/>
          <w:szCs w:val="32"/>
          <w:shd w:val="clear" w:color="auto" w:fill="FFFFFF"/>
        </w:rPr>
        <w:t>、</w:t>
      </w:r>
      <w:r>
        <w:rPr>
          <w:rFonts w:ascii="仿宋_GB2312" w:hAnsi="仿宋_GB2312" w:eastAsia="仿宋_GB2312" w:cs="仿宋_GB2312"/>
          <w:color w:val="333333"/>
          <w:sz w:val="32"/>
          <w:szCs w:val="32"/>
          <w:shd w:val="clear" w:color="auto" w:fill="FFFFFF"/>
        </w:rPr>
        <w:t>细化</w:t>
      </w:r>
      <w:r>
        <w:rPr>
          <w:rFonts w:hint="eastAsia" w:ascii="仿宋_GB2312" w:hAnsi="仿宋_GB2312" w:eastAsia="仿宋_GB2312" w:cs="仿宋_GB2312"/>
          <w:color w:val="333333"/>
          <w:sz w:val="32"/>
          <w:szCs w:val="32"/>
          <w:shd w:val="clear" w:color="auto" w:fill="FFFFFF"/>
        </w:rPr>
        <w:t>、</w:t>
      </w:r>
      <w:r>
        <w:rPr>
          <w:rFonts w:ascii="仿宋_GB2312" w:hAnsi="仿宋_GB2312" w:eastAsia="仿宋_GB2312" w:cs="仿宋_GB2312"/>
          <w:color w:val="333333"/>
          <w:sz w:val="32"/>
          <w:szCs w:val="32"/>
          <w:shd w:val="clear" w:color="auto" w:fill="FFFFFF"/>
        </w:rPr>
        <w:t>全面，确保绩效目标完整反映部门整体支出情况，与年度预算资金相匹配，切实提升项目管理水平，提高资金使用效率；加强宣传培训，提升绩效意识，强化资金管理部门和使用部门的责任，提高参与度，促使单位绩效管理工作高效运行，实现预算绩效管理与预算管理的“一体化”目标。</w:t>
      </w:r>
    </w:p>
    <w:p w14:paraId="365923D1">
      <w:pPr>
        <w:widowControl/>
        <w:numPr>
          <w:ilvl w:val="0"/>
          <w:numId w:val="3"/>
        </w:numPr>
        <w:spacing w:line="640" w:lineRule="exact"/>
        <w:ind w:firstLine="640" w:firstLineChars="200"/>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ascii="Times New Roman" w:hAnsi="Times New Roman" w:eastAsia="仿宋_GB2312" w:cs="Times New Roman"/>
          <w:b/>
          <w:bCs/>
          <w:color w:val="000000" w:themeColor="text1"/>
          <w:kern w:val="0"/>
          <w:sz w:val="32"/>
          <w:szCs w:val="32"/>
          <w14:textFill>
            <w14:solidFill>
              <w14:schemeClr w14:val="tx1"/>
            </w14:solidFill>
          </w14:textFill>
        </w:rPr>
        <w:t>部门评价结果</w:t>
      </w:r>
      <w:r>
        <w:rPr>
          <w:rFonts w:hint="eastAsia" w:ascii="Times New Roman" w:hAnsi="Times New Roman" w:eastAsia="仿宋_GB2312" w:cs="Times New Roman"/>
          <w:b/>
          <w:bCs/>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本单位为二级预算单位，部门评价结果可详见上级部门决算公开说明；</w:t>
      </w:r>
    </w:p>
    <w:p w14:paraId="48506959">
      <w:pPr>
        <w:widowControl/>
        <w:numPr>
          <w:ilvl w:val="0"/>
          <w:numId w:val="3"/>
        </w:numPr>
        <w:spacing w:line="640" w:lineRule="exact"/>
        <w:ind w:firstLine="640" w:firstLineChars="200"/>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32"/>
          <w:szCs w:val="32"/>
          <w:highlight w:val="none"/>
          <w:lang w:val="en-US" w:eastAsia="zh-CN"/>
          <w14:textFill>
            <w14:solidFill>
              <w14:schemeClr w14:val="tx1"/>
            </w14:solidFill>
          </w14:textFill>
        </w:rPr>
        <w:t>事</w:t>
      </w:r>
      <w:r>
        <w:rPr>
          <w:rFonts w:ascii="Times New Roman" w:hAnsi="Times New Roman" w:eastAsia="仿宋_GB2312" w:cs="Times New Roman"/>
          <w:b/>
          <w:bCs/>
          <w:color w:val="000000" w:themeColor="text1"/>
          <w:kern w:val="0"/>
          <w:sz w:val="32"/>
          <w:szCs w:val="32"/>
          <w:highlight w:val="none"/>
          <w14:textFill>
            <w14:solidFill>
              <w14:schemeClr w14:val="tx1"/>
            </w14:solidFill>
          </w14:textFill>
        </w:rPr>
        <w:t>前绩效评估结果</w:t>
      </w:r>
      <w:r>
        <w:rPr>
          <w:rFonts w:hint="eastAsia" w:ascii="Times New Roman" w:hAnsi="Times New Roman" w:eastAsia="仿宋_GB2312" w:cs="Times New Roman"/>
          <w:b/>
          <w:bCs/>
          <w:color w:val="000000" w:themeColor="text1"/>
          <w:kern w:val="0"/>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本单位为二级预算单位，事前绩效评估结果可详见上级部门决算公开说明；</w:t>
      </w:r>
    </w:p>
    <w:p w14:paraId="2C89E516">
      <w:pPr>
        <w:numPr>
          <w:ilvl w:val="0"/>
          <w:numId w:val="4"/>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ascii="Times New Roman" w:hAnsi="Times New Roman" w:eastAsia="楷体_GB2312" w:cs="Times New Roman"/>
          <w:b/>
          <w:bCs/>
          <w:color w:val="auto"/>
          <w:kern w:val="2"/>
          <w:sz w:val="32"/>
          <w:szCs w:val="32"/>
          <w:highlight w:val="none"/>
        </w:rPr>
        <w:t>评价结果应用情况</w:t>
      </w:r>
    </w:p>
    <w:p w14:paraId="5E8AD5A5">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09291EC2">
      <w:pPr>
        <w:widowControl/>
        <w:numPr>
          <w:numId w:val="0"/>
        </w:numPr>
        <w:spacing w:line="640" w:lineRule="exact"/>
        <w:rPr>
          <w:rFonts w:hint="eastAsia" w:ascii="Times New Roman" w:hAnsi="Times New Roman" w:eastAsia="仿宋_GB2312" w:cs="Times New Roman"/>
          <w:color w:val="FF0000"/>
          <w:kern w:val="0"/>
          <w:sz w:val="32"/>
          <w:szCs w:val="32"/>
          <w:lang w:val="en-US" w:eastAsia="zh-CN"/>
        </w:rPr>
      </w:pPr>
    </w:p>
    <w:p w14:paraId="5EB572E2">
      <w:pPr>
        <w:pStyle w:val="13"/>
        <w:keepNext w:val="0"/>
        <w:keepLines w:val="0"/>
        <w:pageBreakBefore w:val="0"/>
        <w:widowControl w:val="0"/>
        <w:kinsoku/>
        <w:wordWrap/>
        <w:overflowPunct/>
        <w:topLinePunct w:val="0"/>
        <w:autoSpaceDE w:val="0"/>
        <w:autoSpaceDN w:val="0"/>
        <w:bidi w:val="0"/>
        <w:adjustRightInd w:val="0"/>
        <w:snapToGrid/>
        <w:spacing w:line="580" w:lineRule="exact"/>
        <w:jc w:val="left"/>
        <w:textAlignment w:val="auto"/>
        <w:rPr>
          <w:rFonts w:hint="eastAsia" w:ascii="Times New Roman" w:hAnsi="Times New Roman" w:eastAsia="仿宋_GB2312"/>
          <w:color w:val="FF0000"/>
          <w:sz w:val="32"/>
          <w:szCs w:val="32"/>
        </w:rPr>
      </w:pPr>
    </w:p>
    <w:p w14:paraId="62BEA247">
      <w:pPr>
        <w:pStyle w:val="8"/>
        <w:rPr>
          <w:rFonts w:hint="eastAsia"/>
          <w:lang w:val="en-US" w:eastAsia="zh-CN"/>
        </w:rPr>
      </w:pPr>
    </w:p>
    <w:p w14:paraId="47586AB8">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3D83FDA1">
      <w:pPr>
        <w:pStyle w:val="13"/>
        <w:jc w:val="center"/>
        <w:rPr>
          <w:rFonts w:hint="eastAsia" w:ascii="方正小标宋_GBK" w:hAnsi="方正小标宋_GBK" w:eastAsia="方正小标宋_GBK" w:cs="方正小标宋_GBK"/>
          <w:sz w:val="72"/>
          <w:szCs w:val="72"/>
        </w:rPr>
      </w:pPr>
    </w:p>
    <w:p w14:paraId="6FB6F211">
      <w:pPr>
        <w:pStyle w:val="13"/>
        <w:jc w:val="center"/>
        <w:rPr>
          <w:rFonts w:hint="eastAsia" w:ascii="方正小标宋_GBK" w:hAnsi="方正小标宋_GBK" w:eastAsia="方正小标宋_GBK" w:cs="方正小标宋_GBK"/>
          <w:sz w:val="72"/>
          <w:szCs w:val="72"/>
        </w:rPr>
      </w:pPr>
    </w:p>
    <w:p w14:paraId="3A01B6B0">
      <w:pPr>
        <w:pStyle w:val="13"/>
        <w:jc w:val="center"/>
        <w:rPr>
          <w:rFonts w:hint="eastAsia" w:ascii="方正小标宋_GBK" w:hAnsi="方正小标宋_GBK" w:eastAsia="方正小标宋_GBK" w:cs="方正小标宋_GBK"/>
          <w:sz w:val="72"/>
          <w:szCs w:val="72"/>
        </w:rPr>
      </w:pPr>
    </w:p>
    <w:p w14:paraId="475C1000">
      <w:pPr>
        <w:pStyle w:val="13"/>
        <w:jc w:val="center"/>
        <w:rPr>
          <w:rFonts w:hint="eastAsia" w:ascii="方正小标宋_GBK" w:hAnsi="方正小标宋_GBK" w:eastAsia="方正小标宋_GBK" w:cs="方正小标宋_GBK"/>
          <w:sz w:val="72"/>
          <w:szCs w:val="72"/>
        </w:rPr>
      </w:pPr>
    </w:p>
    <w:p w14:paraId="6A5A782C">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2DDD6447">
      <w:pPr>
        <w:jc w:val="center"/>
        <w:rPr>
          <w:rFonts w:hint="eastAsia" w:ascii="方正小标宋_GBK" w:hAnsi="方正小标宋_GBK" w:eastAsia="方正小标宋_GBK" w:cs="方正小标宋_GBK"/>
          <w:color w:val="000000"/>
          <w:kern w:val="0"/>
          <w:sz w:val="70"/>
          <w:szCs w:val="70"/>
        </w:rPr>
      </w:pPr>
    </w:p>
    <w:p w14:paraId="41992F86">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571298D0">
      <w:pPr>
        <w:pStyle w:val="8"/>
      </w:pPr>
    </w:p>
    <w:p w14:paraId="5331F884">
      <w:pPr>
        <w:pStyle w:val="4"/>
      </w:pPr>
    </w:p>
    <w:p w14:paraId="2CCAD852"/>
    <w:p w14:paraId="440E89DF">
      <w:pPr>
        <w:pStyle w:val="8"/>
      </w:pPr>
    </w:p>
    <w:p w14:paraId="645B9B76">
      <w:pPr>
        <w:pStyle w:val="4"/>
      </w:pPr>
    </w:p>
    <w:p w14:paraId="539F25AC"/>
    <w:p w14:paraId="47AFAB8F">
      <w:pPr>
        <w:pStyle w:val="8"/>
      </w:pPr>
    </w:p>
    <w:p w14:paraId="479D6353">
      <w:pPr>
        <w:pStyle w:val="4"/>
      </w:pPr>
    </w:p>
    <w:p w14:paraId="648103ED"/>
    <w:p w14:paraId="08A5EA8F">
      <w:pPr>
        <w:pStyle w:val="8"/>
      </w:pPr>
    </w:p>
    <w:p w14:paraId="3FD0BAB6">
      <w:pPr>
        <w:pStyle w:val="4"/>
      </w:pPr>
    </w:p>
    <w:p w14:paraId="1CAE18D7"/>
    <w:p w14:paraId="5994BDDC">
      <w:pPr>
        <w:pStyle w:val="8"/>
      </w:pPr>
    </w:p>
    <w:p w14:paraId="51F60F8D">
      <w:pPr>
        <w:pStyle w:val="4"/>
      </w:pPr>
    </w:p>
    <w:p w14:paraId="715B8195"/>
    <w:p w14:paraId="3F608935">
      <w:pPr>
        <w:pStyle w:val="8"/>
      </w:pPr>
    </w:p>
    <w:p w14:paraId="274FE3C9">
      <w:pPr>
        <w:ind w:firstLine="640" w:firstLineChars="200"/>
        <w:jc w:val="left"/>
        <w:rPr>
          <w:rFonts w:hint="eastAsia" w:ascii="仿宋_GB2312" w:hAnsi="仿宋_GB2312" w:eastAsia="仿宋_GB2312" w:cs="仿宋_GB2312"/>
          <w:color w:val="000000"/>
          <w:kern w:val="0"/>
          <w:sz w:val="32"/>
          <w:szCs w:val="32"/>
        </w:rPr>
      </w:pPr>
    </w:p>
    <w:p w14:paraId="1741E604">
      <w:pPr>
        <w:ind w:firstLine="640" w:firstLineChars="200"/>
        <w:jc w:val="left"/>
        <w:rPr>
          <w:rFonts w:hint="eastAsia" w:ascii="仿宋_GB2312" w:hAnsi="仿宋_GB2312" w:eastAsia="仿宋_GB2312" w:cs="仿宋_GB2312"/>
          <w:color w:val="000000"/>
          <w:kern w:val="0"/>
          <w:sz w:val="32"/>
          <w:szCs w:val="32"/>
        </w:rPr>
      </w:pPr>
    </w:p>
    <w:p w14:paraId="02E59030">
      <w:pPr>
        <w:ind w:firstLine="640" w:firstLineChars="200"/>
        <w:jc w:val="left"/>
        <w:rPr>
          <w:rFonts w:hint="eastAsia" w:ascii="仿宋_GB2312" w:hAnsi="仿宋_GB2312" w:eastAsia="仿宋_GB2312" w:cs="仿宋_GB2312"/>
          <w:color w:val="000000"/>
          <w:kern w:val="0"/>
          <w:sz w:val="32"/>
          <w:szCs w:val="32"/>
        </w:rPr>
      </w:pPr>
    </w:p>
    <w:p w14:paraId="61CE71B9">
      <w:pPr>
        <w:pStyle w:val="8"/>
        <w:rPr>
          <w:rFonts w:hint="eastAsia"/>
        </w:rPr>
      </w:pPr>
    </w:p>
    <w:p w14:paraId="793F6BC2">
      <w:pPr>
        <w:ind w:firstLine="640" w:firstLineChars="200"/>
        <w:jc w:val="left"/>
        <w:rPr>
          <w:rFonts w:hint="eastAsia" w:ascii="仿宋_GB2312" w:hAnsi="仿宋_GB2312" w:eastAsia="仿宋_GB2312" w:cs="仿宋_GB2312"/>
          <w:color w:val="000000"/>
          <w:kern w:val="0"/>
          <w:sz w:val="32"/>
          <w:szCs w:val="32"/>
        </w:rPr>
      </w:pPr>
    </w:p>
    <w:p w14:paraId="754BC71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75346A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4A4E5DB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14:paraId="1D47518A">
      <w:pPr>
        <w:pStyle w:val="4"/>
      </w:pPr>
      <w:bookmarkStart w:id="0" w:name="_GoBack"/>
      <w:bookmarkEnd w:id="0"/>
    </w:p>
    <w:p w14:paraId="580CF8E4"/>
    <w:p w14:paraId="0C17744C">
      <w:pPr>
        <w:pStyle w:val="8"/>
      </w:pPr>
    </w:p>
    <w:p w14:paraId="7B8BABF4">
      <w:pPr>
        <w:pStyle w:val="4"/>
      </w:pPr>
    </w:p>
    <w:p w14:paraId="1942C0DC"/>
    <w:p w14:paraId="6E2D1EEF">
      <w:pPr>
        <w:pStyle w:val="8"/>
      </w:pPr>
    </w:p>
    <w:p w14:paraId="5F6ABC3B">
      <w:pPr>
        <w:pStyle w:val="4"/>
      </w:pPr>
    </w:p>
    <w:p w14:paraId="51BE6437"/>
    <w:p w14:paraId="05344CBA">
      <w:pPr>
        <w:pStyle w:val="8"/>
      </w:pPr>
    </w:p>
    <w:p w14:paraId="5C9170AD">
      <w:pPr>
        <w:pStyle w:val="4"/>
      </w:pPr>
    </w:p>
    <w:p w14:paraId="29D3A91E"/>
    <w:p w14:paraId="0D2A994E">
      <w:pPr>
        <w:pStyle w:val="8"/>
      </w:pPr>
    </w:p>
    <w:p w14:paraId="59CBCCA7">
      <w:pPr>
        <w:pStyle w:val="4"/>
      </w:pPr>
    </w:p>
    <w:p w14:paraId="67806EBD"/>
    <w:p w14:paraId="7C18BB03">
      <w:pPr>
        <w:pStyle w:val="8"/>
      </w:pPr>
    </w:p>
    <w:p w14:paraId="29230CAD">
      <w:pPr>
        <w:pStyle w:val="4"/>
      </w:pPr>
    </w:p>
    <w:p w14:paraId="724E0A54"/>
    <w:p w14:paraId="496F732E">
      <w:pPr>
        <w:pStyle w:val="8"/>
      </w:pPr>
    </w:p>
    <w:p w14:paraId="354ECFD8">
      <w:pPr>
        <w:pStyle w:val="4"/>
      </w:pPr>
    </w:p>
    <w:p w14:paraId="51C67B38"/>
    <w:p w14:paraId="4D131F3E"/>
    <w:p w14:paraId="7CFBCE3C">
      <w:pPr>
        <w:pStyle w:val="8"/>
      </w:pPr>
    </w:p>
    <w:p w14:paraId="5C3DE094">
      <w:pPr>
        <w:pStyle w:val="13"/>
        <w:jc w:val="both"/>
        <w:rPr>
          <w:rFonts w:hint="eastAsia" w:ascii="方正小标宋_GBK" w:hAnsi="方正小标宋_GBK" w:eastAsia="方正小标宋_GBK" w:cs="方正小标宋_GBK"/>
          <w:sz w:val="72"/>
          <w:szCs w:val="72"/>
        </w:rPr>
      </w:pPr>
    </w:p>
    <w:p w14:paraId="0C1858E3">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592BF6CA">
      <w:pPr>
        <w:pStyle w:val="13"/>
        <w:jc w:val="both"/>
        <w:rPr>
          <w:rFonts w:hint="eastAsia" w:ascii="方正小标宋_GBK" w:hAnsi="方正小标宋_GBK" w:eastAsia="方正小标宋_GBK" w:cs="方正小标宋_GBK"/>
          <w:sz w:val="70"/>
          <w:szCs w:val="70"/>
          <w:lang w:eastAsia="zh-CN"/>
        </w:rPr>
      </w:pPr>
    </w:p>
    <w:p w14:paraId="490142D3">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3243C04E">
      <w:pPr>
        <w:ind w:firstLine="640" w:firstLineChars="200"/>
        <w:jc w:val="left"/>
        <w:rPr>
          <w:rFonts w:hint="eastAsia" w:ascii="宋体" w:hAnsi="宋体" w:eastAsia="宋体" w:cs="黑体"/>
          <w:b/>
          <w:color w:val="000000"/>
          <w:kern w:val="0"/>
          <w:sz w:val="32"/>
          <w:szCs w:val="32"/>
          <w:lang w:val="en-US" w:eastAsia="zh-CN"/>
        </w:rPr>
      </w:pPr>
    </w:p>
    <w:p w14:paraId="4EAC9354">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14:paraId="27E2EE8B">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14:paraId="045AD96C"/>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ECFD4"/>
    <w:multiLevelType w:val="singleLevel"/>
    <w:tmpl w:val="8EDECFD4"/>
    <w:lvl w:ilvl="0" w:tentative="0">
      <w:start w:val="3"/>
      <w:numFmt w:val="chineseCounting"/>
      <w:suff w:val="nothing"/>
      <w:lvlText w:val="（%1）"/>
      <w:lvlJc w:val="left"/>
      <w:rPr>
        <w:rFonts w:hint="eastAsia"/>
      </w:rPr>
    </w:lvl>
  </w:abstractNum>
  <w:abstractNum w:abstractNumId="1">
    <w:nsid w:val="F3933F1D"/>
    <w:multiLevelType w:val="singleLevel"/>
    <w:tmpl w:val="F3933F1D"/>
    <w:lvl w:ilvl="0" w:tentative="0">
      <w:start w:val="2"/>
      <w:numFmt w:val="decimal"/>
      <w:lvlText w:val="%1."/>
      <w:lvlJc w:val="left"/>
      <w:pPr>
        <w:tabs>
          <w:tab w:val="left" w:pos="312"/>
        </w:tabs>
      </w:p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DEB065B"/>
    <w:multiLevelType w:val="singleLevel"/>
    <w:tmpl w:val="5DEB065B"/>
    <w:lvl w:ilvl="0" w:tentative="0">
      <w:start w:val="2"/>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299634F"/>
    <w:rsid w:val="059958AD"/>
    <w:rsid w:val="06C857E7"/>
    <w:rsid w:val="08C24A73"/>
    <w:rsid w:val="11944E2C"/>
    <w:rsid w:val="12583BA5"/>
    <w:rsid w:val="13BA5B9C"/>
    <w:rsid w:val="1D97DEFF"/>
    <w:rsid w:val="1DFF72E5"/>
    <w:rsid w:val="1EFC6F07"/>
    <w:rsid w:val="1F0527A6"/>
    <w:rsid w:val="1F133AB3"/>
    <w:rsid w:val="22AC03C2"/>
    <w:rsid w:val="283B15FE"/>
    <w:rsid w:val="2CFC4647"/>
    <w:rsid w:val="2FDF85B8"/>
    <w:rsid w:val="2FFFEE04"/>
    <w:rsid w:val="31C95635"/>
    <w:rsid w:val="34DF85B0"/>
    <w:rsid w:val="3B8F36BC"/>
    <w:rsid w:val="43EB5BA5"/>
    <w:rsid w:val="491FF225"/>
    <w:rsid w:val="4EC310A1"/>
    <w:rsid w:val="4FFD214C"/>
    <w:rsid w:val="5352765A"/>
    <w:rsid w:val="5777D4F5"/>
    <w:rsid w:val="57F22B6F"/>
    <w:rsid w:val="59DD8326"/>
    <w:rsid w:val="5DEF592A"/>
    <w:rsid w:val="5FC6BB1E"/>
    <w:rsid w:val="5FF720F1"/>
    <w:rsid w:val="622964C1"/>
    <w:rsid w:val="67FF5C0B"/>
    <w:rsid w:val="6BAA4A2F"/>
    <w:rsid w:val="6DDEC5C0"/>
    <w:rsid w:val="6EFC0924"/>
    <w:rsid w:val="6FB74722"/>
    <w:rsid w:val="6FEF8B7E"/>
    <w:rsid w:val="717FE77F"/>
    <w:rsid w:val="71A6591B"/>
    <w:rsid w:val="737D59BA"/>
    <w:rsid w:val="737F32B1"/>
    <w:rsid w:val="73BD3FCA"/>
    <w:rsid w:val="776BDA01"/>
    <w:rsid w:val="77C37683"/>
    <w:rsid w:val="79FF515B"/>
    <w:rsid w:val="7DFBFF20"/>
    <w:rsid w:val="7E9E1962"/>
    <w:rsid w:val="7E9F11B4"/>
    <w:rsid w:val="7F2113C5"/>
    <w:rsid w:val="7F37EC1E"/>
    <w:rsid w:val="7F7C0DDA"/>
    <w:rsid w:val="7F7DCD9D"/>
    <w:rsid w:val="7F970A6F"/>
    <w:rsid w:val="7FC1FFF3"/>
    <w:rsid w:val="7FC69637"/>
    <w:rsid w:val="7FDF8620"/>
    <w:rsid w:val="7FFB242F"/>
    <w:rsid w:val="7FFDB408"/>
    <w:rsid w:val="7FFE4EEB"/>
    <w:rsid w:val="95FB2B98"/>
    <w:rsid w:val="9A639BC2"/>
    <w:rsid w:val="9FF7D786"/>
    <w:rsid w:val="ABBFB23D"/>
    <w:rsid w:val="B6BE5A03"/>
    <w:rsid w:val="B8C93228"/>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F1D61"/>
    <w:rsid w:val="F7FED3A9"/>
    <w:rsid w:val="F8C9DB26"/>
    <w:rsid w:val="F97E8EAE"/>
    <w:rsid w:val="FB36E1A6"/>
    <w:rsid w:val="FB3BE134"/>
    <w:rsid w:val="FCFF4275"/>
    <w:rsid w:val="FD7FEEEA"/>
    <w:rsid w:val="FDFFB577"/>
    <w:rsid w:val="FEEA50FE"/>
    <w:rsid w:val="FF7D47A9"/>
    <w:rsid w:val="FFCF21CB"/>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hint="default"/>
      <w:sz w:val="21"/>
      <w:szCs w:val="24"/>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8636</Words>
  <Characters>9308</Characters>
  <Lines>63</Lines>
  <Paragraphs>18</Paragraphs>
  <TotalTime>1</TotalTime>
  <ScaleCrop>false</ScaleCrop>
  <LinksUpToDate>false</LinksUpToDate>
  <CharactersWithSpaces>9331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2020-07-10T18:32:00Z</dcterms:created>
  <dc:creator>李航 null</dc:creator>
  <cp:lastModifiedBy>晨煜鲤</cp:lastModifiedBy>
  <cp:lastPrinted>2024-08-11T02:20:00Z</cp:lastPrinted>
  <dcterms:modified xsi:type="dcterms:W3CDTF">2025-09-19T08:26:57Z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98623D6660B449428EB8E073C6C952EA</vt:lpwstr>
  </property>
  <property fmtid="{D5CDD505-2E9C-101B-9397-08002B2CF9AE}" pid="4" name="KSOTemplateDocerSaveRecord">
    <vt:lpwstr>eyJoZGlkIjoiMTYyNTA4MzYzMjZhZWYzN2MyMTVkZDY3ZGUwNjQ0Y2IiLCJ1c2VySWQiOiI0MTE5MTYxMzIifQ==</vt:lpwstr>
  </property>
</Properties>
</file>