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42547">
      <w:pPr>
        <w:pStyle w:val="16"/>
        <w:jc w:val="center"/>
        <w:rPr>
          <w:sz w:val="56"/>
          <w:szCs w:val="56"/>
        </w:rPr>
      </w:pPr>
    </w:p>
    <w:p w14:paraId="04EC351E">
      <w:pPr>
        <w:pStyle w:val="16"/>
        <w:jc w:val="center"/>
        <w:rPr>
          <w:sz w:val="56"/>
          <w:szCs w:val="56"/>
        </w:rPr>
      </w:pPr>
    </w:p>
    <w:p w14:paraId="28480B24">
      <w:pPr>
        <w:pStyle w:val="16"/>
        <w:jc w:val="center"/>
        <w:rPr>
          <w:sz w:val="84"/>
          <w:szCs w:val="84"/>
        </w:rPr>
      </w:pPr>
    </w:p>
    <w:p w14:paraId="695990D8">
      <w:pPr>
        <w:pStyle w:val="16"/>
        <w:jc w:val="center"/>
        <w:rPr>
          <w:sz w:val="84"/>
          <w:szCs w:val="84"/>
        </w:rPr>
      </w:pPr>
    </w:p>
    <w:p w14:paraId="6713AF77">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06EC1D5A">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 xml:space="preserve">岳阳市住房保障服务中心 </w:t>
      </w:r>
      <w:r>
        <w:rPr>
          <w:rFonts w:hint="eastAsia" w:ascii="方正小标宋_GBK" w:hAnsi="方正小标宋_GBK" w:eastAsia="方正小标宋_GBK" w:cs="方正小标宋_GBK"/>
          <w:sz w:val="84"/>
          <w:szCs w:val="84"/>
        </w:rPr>
        <w:t>部门决算</w:t>
      </w:r>
    </w:p>
    <w:p w14:paraId="5151932C">
      <w:pPr>
        <w:pStyle w:val="16"/>
        <w:jc w:val="center"/>
        <w:rPr>
          <w:rFonts w:hint="eastAsia" w:ascii="方正小标宋_GBK" w:hAnsi="方正小标宋_GBK" w:eastAsia="方正小标宋_GBK" w:cs="方正小标宋_GBK"/>
          <w:sz w:val="56"/>
          <w:szCs w:val="56"/>
        </w:rPr>
      </w:pPr>
    </w:p>
    <w:p w14:paraId="6AA603E6">
      <w:pPr>
        <w:pStyle w:val="16"/>
        <w:jc w:val="center"/>
        <w:rPr>
          <w:sz w:val="56"/>
          <w:szCs w:val="56"/>
        </w:rPr>
      </w:pPr>
    </w:p>
    <w:p w14:paraId="523C367B">
      <w:pPr>
        <w:pStyle w:val="16"/>
        <w:jc w:val="center"/>
        <w:rPr>
          <w:sz w:val="56"/>
          <w:szCs w:val="56"/>
        </w:rPr>
      </w:pPr>
    </w:p>
    <w:p w14:paraId="1BEF5C5A">
      <w:pPr>
        <w:pStyle w:val="16"/>
        <w:jc w:val="center"/>
        <w:rPr>
          <w:sz w:val="56"/>
          <w:szCs w:val="56"/>
        </w:rPr>
      </w:pPr>
    </w:p>
    <w:p w14:paraId="63595408">
      <w:pPr>
        <w:pStyle w:val="16"/>
        <w:jc w:val="center"/>
        <w:rPr>
          <w:sz w:val="32"/>
          <w:szCs w:val="32"/>
        </w:rPr>
      </w:pPr>
    </w:p>
    <w:p w14:paraId="35BC49C1">
      <w:pPr>
        <w:pStyle w:val="16"/>
        <w:jc w:val="center"/>
        <w:rPr>
          <w:sz w:val="32"/>
          <w:szCs w:val="32"/>
        </w:rPr>
      </w:pPr>
    </w:p>
    <w:p w14:paraId="1B12F852">
      <w:pPr>
        <w:pStyle w:val="16"/>
        <w:jc w:val="center"/>
        <w:rPr>
          <w:sz w:val="32"/>
          <w:szCs w:val="32"/>
        </w:rPr>
      </w:pPr>
    </w:p>
    <w:p w14:paraId="34516E22">
      <w:pPr>
        <w:pStyle w:val="16"/>
        <w:spacing w:line="540" w:lineRule="exact"/>
        <w:jc w:val="both"/>
        <w:rPr>
          <w:sz w:val="56"/>
          <w:szCs w:val="56"/>
        </w:rPr>
      </w:pPr>
    </w:p>
    <w:p w14:paraId="5FCDD7B4">
      <w:pPr>
        <w:pStyle w:val="16"/>
        <w:spacing w:line="500" w:lineRule="exact"/>
        <w:jc w:val="both"/>
        <w:rPr>
          <w:b/>
          <w:sz w:val="36"/>
          <w:szCs w:val="28"/>
        </w:rPr>
      </w:pPr>
    </w:p>
    <w:p w14:paraId="2D158166">
      <w:pPr>
        <w:pStyle w:val="16"/>
        <w:spacing w:line="500" w:lineRule="exact"/>
        <w:jc w:val="center"/>
        <w:rPr>
          <w:b/>
          <w:sz w:val="36"/>
          <w:szCs w:val="28"/>
        </w:rPr>
      </w:pPr>
      <w:r>
        <w:rPr>
          <w:rFonts w:hint="eastAsia"/>
          <w:b/>
          <w:sz w:val="36"/>
          <w:szCs w:val="28"/>
        </w:rPr>
        <w:t>目录</w:t>
      </w:r>
    </w:p>
    <w:p w14:paraId="6845A5EC">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岳阳市住房保障服务中心</w:t>
      </w:r>
      <w:r>
        <w:rPr>
          <w:rFonts w:hint="eastAsia" w:ascii="黑体" w:hAnsi="黑体" w:eastAsia="黑体" w:cs="黑体"/>
          <w:b w:val="0"/>
          <w:bCs/>
          <w:sz w:val="28"/>
          <w:szCs w:val="28"/>
        </w:rPr>
        <w:t>概况</w:t>
      </w:r>
    </w:p>
    <w:p w14:paraId="430C2FE0">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7BC2944A">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14:paraId="34342F1E">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A41640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9414840">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29C38482">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2423A25">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F445347">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13568E56">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428D9FDA">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4AE5B8C0">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58278FE8">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CBDB35D">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075E07E6">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158D06ED">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1377CB6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1D7D5B9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52DA517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95D7387">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E596AB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74590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3F9862D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FDEE3F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477D6C2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305A0D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66D3E3D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44110441">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09F99E02">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37D4C567">
      <w:pPr>
        <w:pStyle w:val="16"/>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5AADA68">
      <w:pPr>
        <w:pStyle w:val="16"/>
        <w:jc w:val="center"/>
        <w:rPr>
          <w:rFonts w:hint="eastAsia" w:ascii="方正小标宋_GBK" w:hAnsi="方正小标宋_GBK" w:eastAsia="方正小标宋_GBK" w:cs="方正小标宋_GBK"/>
          <w:sz w:val="84"/>
          <w:szCs w:val="84"/>
        </w:rPr>
      </w:pPr>
    </w:p>
    <w:p w14:paraId="79CF1816">
      <w:pPr>
        <w:pStyle w:val="16"/>
        <w:jc w:val="center"/>
        <w:rPr>
          <w:rFonts w:hint="eastAsia" w:ascii="方正小标宋_GBK" w:hAnsi="方正小标宋_GBK" w:eastAsia="方正小标宋_GBK" w:cs="方正小标宋_GBK"/>
          <w:sz w:val="84"/>
          <w:szCs w:val="84"/>
        </w:rPr>
      </w:pPr>
    </w:p>
    <w:p w14:paraId="34621ABF">
      <w:pPr>
        <w:pStyle w:val="16"/>
        <w:jc w:val="center"/>
        <w:rPr>
          <w:rFonts w:hint="eastAsia" w:ascii="方正小标宋_GBK" w:hAnsi="方正小标宋_GBK" w:eastAsia="方正小标宋_GBK" w:cs="方正小标宋_GBK"/>
          <w:sz w:val="84"/>
          <w:szCs w:val="84"/>
        </w:rPr>
      </w:pPr>
    </w:p>
    <w:p w14:paraId="3ED398E7">
      <w:pPr>
        <w:pStyle w:val="16"/>
        <w:jc w:val="center"/>
        <w:rPr>
          <w:rFonts w:hint="eastAsia" w:ascii="方正小标宋_GBK" w:hAnsi="方正小标宋_GBK" w:eastAsia="方正小标宋_GBK" w:cs="方正小标宋_GBK"/>
          <w:sz w:val="84"/>
          <w:szCs w:val="84"/>
        </w:rPr>
      </w:pPr>
    </w:p>
    <w:p w14:paraId="288BE104">
      <w:pPr>
        <w:pStyle w:val="16"/>
        <w:jc w:val="center"/>
        <w:rPr>
          <w:rFonts w:hint="eastAsia" w:ascii="方正小标宋_GBK" w:hAnsi="方正小标宋_GBK" w:eastAsia="方正小标宋_GBK" w:cs="方正小标宋_GBK"/>
          <w:sz w:val="84"/>
          <w:szCs w:val="84"/>
        </w:rPr>
      </w:pPr>
    </w:p>
    <w:p w14:paraId="7748FB5F">
      <w:pPr>
        <w:pStyle w:val="16"/>
        <w:jc w:val="center"/>
        <w:rPr>
          <w:rFonts w:hint="eastAsia" w:ascii="方正小标宋_GBK" w:hAnsi="方正小标宋_GBK" w:eastAsia="方正小标宋_GBK" w:cs="方正小标宋_GBK"/>
          <w:sz w:val="84"/>
          <w:szCs w:val="84"/>
        </w:rPr>
      </w:pPr>
    </w:p>
    <w:p w14:paraId="79868517">
      <w:pPr>
        <w:pStyle w:val="16"/>
        <w:jc w:val="center"/>
        <w:rPr>
          <w:rFonts w:hint="eastAsia" w:ascii="方正小标宋_GBK" w:hAnsi="方正小标宋_GBK" w:eastAsia="方正小标宋_GBK" w:cs="方正小标宋_GBK"/>
          <w:sz w:val="84"/>
          <w:szCs w:val="84"/>
        </w:rPr>
      </w:pPr>
    </w:p>
    <w:p w14:paraId="2E2CD742">
      <w:pPr>
        <w:pStyle w:val="16"/>
        <w:jc w:val="center"/>
        <w:rPr>
          <w:rFonts w:hint="eastAsia" w:ascii="方正小标宋_GBK" w:hAnsi="方正小标宋_GBK" w:eastAsia="方正小标宋_GBK" w:cs="方正小标宋_GBK"/>
          <w:sz w:val="84"/>
          <w:szCs w:val="84"/>
        </w:rPr>
      </w:pPr>
    </w:p>
    <w:p w14:paraId="716C958C">
      <w:pPr>
        <w:pStyle w:val="16"/>
        <w:jc w:val="both"/>
        <w:rPr>
          <w:rFonts w:hint="eastAsia" w:ascii="方正小标宋_GBK" w:hAnsi="方正小标宋_GBK" w:eastAsia="方正小标宋_GBK" w:cs="方正小标宋_GBK"/>
          <w:sz w:val="84"/>
          <w:szCs w:val="84"/>
        </w:rPr>
      </w:pPr>
    </w:p>
    <w:p w14:paraId="5F033AE4">
      <w:pPr>
        <w:pStyle w:val="16"/>
        <w:jc w:val="both"/>
        <w:rPr>
          <w:rFonts w:hint="eastAsia" w:ascii="方正小标宋_GBK" w:hAnsi="方正小标宋_GBK" w:eastAsia="方正小标宋_GBK" w:cs="方正小标宋_GBK"/>
          <w:sz w:val="84"/>
          <w:szCs w:val="84"/>
        </w:rPr>
      </w:pPr>
    </w:p>
    <w:p w14:paraId="28D3C171">
      <w:pPr>
        <w:pStyle w:val="16"/>
        <w:jc w:val="center"/>
        <w:rPr>
          <w:rFonts w:hint="eastAsia" w:ascii="方正小标宋_GBK" w:hAnsi="方正小标宋_GBK" w:eastAsia="方正小标宋_GBK" w:cs="方正小标宋_GBK"/>
          <w:sz w:val="84"/>
          <w:szCs w:val="84"/>
        </w:rPr>
      </w:pPr>
    </w:p>
    <w:p w14:paraId="1AF1FB36">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414CFB8">
      <w:pPr>
        <w:pStyle w:val="16"/>
        <w:jc w:val="center"/>
        <w:rPr>
          <w:rFonts w:hint="eastAsia" w:ascii="方正小标宋_GBK" w:hAnsi="方正小标宋_GBK" w:eastAsia="方正小标宋_GBK" w:cs="方正小标宋_GBK"/>
          <w:sz w:val="84"/>
          <w:szCs w:val="84"/>
        </w:rPr>
      </w:pPr>
    </w:p>
    <w:p w14:paraId="5EED6567">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 xml:space="preserve">岳阳市住房保障服务中心 </w:t>
      </w:r>
      <w:r>
        <w:rPr>
          <w:rFonts w:hint="eastAsia" w:ascii="方正小标宋_GBK" w:hAnsi="方正小标宋_GBK" w:eastAsia="方正小标宋_GBK" w:cs="方正小标宋_GBK"/>
          <w:sz w:val="84"/>
          <w:szCs w:val="84"/>
        </w:rPr>
        <w:t>部门概况</w:t>
      </w:r>
    </w:p>
    <w:p w14:paraId="2BDD3017">
      <w:pPr>
        <w:pStyle w:val="10"/>
        <w:rPr>
          <w:rFonts w:hint="eastAsia" w:ascii="方正小标宋_GBK" w:hAnsi="方正小标宋_GBK" w:eastAsia="方正小标宋_GBK" w:cs="方正小标宋_GBK"/>
          <w:sz w:val="84"/>
          <w:szCs w:val="84"/>
        </w:rPr>
      </w:pPr>
    </w:p>
    <w:p w14:paraId="67564042">
      <w:pPr>
        <w:rPr>
          <w:rFonts w:hint="eastAsia" w:ascii="方正小标宋_GBK" w:hAnsi="方正小标宋_GBK" w:eastAsia="方正小标宋_GBK" w:cs="方正小标宋_GBK"/>
          <w:sz w:val="84"/>
          <w:szCs w:val="84"/>
        </w:rPr>
      </w:pPr>
    </w:p>
    <w:p w14:paraId="34311F13">
      <w:pPr>
        <w:pStyle w:val="10"/>
        <w:rPr>
          <w:rFonts w:hint="eastAsia" w:ascii="方正小标宋_GBK" w:hAnsi="方正小标宋_GBK" w:eastAsia="方正小标宋_GBK" w:cs="方正小标宋_GBK"/>
          <w:sz w:val="84"/>
          <w:szCs w:val="84"/>
        </w:rPr>
      </w:pPr>
    </w:p>
    <w:p w14:paraId="0AEC83E2">
      <w:pPr>
        <w:pStyle w:val="10"/>
        <w:rPr>
          <w:rFonts w:hint="eastAsia"/>
        </w:rPr>
        <w:sectPr>
          <w:pgSz w:w="11906" w:h="16838"/>
          <w:pgMar w:top="720" w:right="720" w:bottom="720" w:left="720" w:header="851" w:footer="992" w:gutter="0"/>
          <w:cols w:space="425" w:num="1"/>
          <w:docGrid w:type="linesAndChars" w:linePitch="312" w:charSpace="0"/>
        </w:sectPr>
      </w:pPr>
    </w:p>
    <w:p w14:paraId="23276DDA">
      <w:pPr>
        <w:pStyle w:val="17"/>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1AA8A303">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为机关提供支持保障职能</w:t>
      </w:r>
    </w:p>
    <w:p w14:paraId="1F7B504F">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1、参与拟定住房保障的地方性法规、规章、政策以及住房保障、物业管理、白蚁防治、房屋租赁、提质改造、城市人居环境更新、专项维修资金管理的发展规划、年度计划的事务性工作。</w:t>
      </w:r>
    </w:p>
    <w:p w14:paraId="33EF55EA">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2、负责全市住房保障、物业管理、白蚁防治、房屋租赁、提质改造等行业管理、业务指导、监督考核的行政辅助工作。</w:t>
      </w:r>
    </w:p>
    <w:p w14:paraId="58B5E60E">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3、负责市本级保障性住房建设项目计划、资金计划、资金筹集以及项目建设管理的事务性工作。</w:t>
      </w:r>
    </w:p>
    <w:p w14:paraId="2C9E0AD0">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4、负责市中心城区（包括岳阳楼区、岳阳经济技术开发区、南湖新区、城陵矶新港区，下同）经济适用房上市交易、不完全产权存量公有住房出售和政策性购房补贴、租赁补贴发放的行政辅助工作。</w:t>
      </w:r>
    </w:p>
    <w:p w14:paraId="7E247086">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5、负责房屋租赁登记备案、房屋租赁合同网签、房屋指导价格发布、房屋租赁价格监测的行政辅助工作。</w:t>
      </w:r>
    </w:p>
    <w:p w14:paraId="4EB1F3E6">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6、负责市本级和城陵矶新港区老旧小区、棚户区、旧城区改造等城市人居环境更新的事务性工作。</w:t>
      </w:r>
    </w:p>
    <w:p w14:paraId="2F3CBC08">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7、负责全市物业服务、房屋租赁服务质量考评体系和物业、中介服务企业信用信息评价等诚信体系建设的行政辅助工作。</w:t>
      </w:r>
    </w:p>
    <w:p w14:paraId="0735FEBF">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8、负责住房保障、物业管理、白蚁防治领域行政检查和违法案件线索移送的行政辅助工作。</w:t>
      </w:r>
    </w:p>
    <w:p w14:paraId="4745BB3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9、负责市中心城区物业专项维修基金的归集、管理、使用监督以及物业管理招投标合同备案的行政辅助工作。</w:t>
      </w:r>
    </w:p>
    <w:p w14:paraId="4013CEA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面向社会提供公益服务职能</w:t>
      </w:r>
    </w:p>
    <w:p w14:paraId="4DA60B9F">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1、负责市本级和城陵矶新港区公共租赁住房、保障性租赁住房、共有产权房等保障性住房运营管理和维修改造的事务性工作。</w:t>
      </w:r>
    </w:p>
    <w:p w14:paraId="501E1484">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2、负责市本级政府投资建设的各类保障性住房和市政府移交授权管理的存量公房资产运营管理的事务性工作。</w:t>
      </w:r>
    </w:p>
    <w:p w14:paraId="65DF0D24">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3、负责住房保障、房屋租赁、城市人居环境更新、城市提质改造、物业维修资金等信息平台建设、数据统计分析、信息发布等事务性工作；负责市本级住房保障档案管理和信息查询事务性工作。</w:t>
      </w:r>
    </w:p>
    <w:p w14:paraId="72A86223">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4、承担市中心城区房屋白蚁防治、白蚁防治技术推广、白蚁防治科研、发布蚁害监测的事务性工作。</w:t>
      </w:r>
    </w:p>
    <w:p w14:paraId="198AEA6B">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完成市住房和城乡建设局交办的其它任务。</w:t>
      </w:r>
    </w:p>
    <w:p w14:paraId="490369EF">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9CD70CE">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（一）内设机构设置。</w:t>
      </w:r>
    </w:p>
    <w:p w14:paraId="23A1474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default" w:ascii="Times New Roman" w:hAnsi="Times New Roman" w:eastAsia="仿宋" w:cs="Times New Roman"/>
          <w:color w:val="000000" w:themeColor="text1"/>
          <w:sz w:val="32"/>
          <w:szCs w:val="32"/>
          <w:u w:val="none"/>
          <w14:textFill>
            <w14:solidFill>
              <w14:schemeClr w14:val="tx1"/>
            </w14:solidFill>
          </w14:textFill>
        </w:rPr>
      </w:pPr>
      <w:r>
        <w:rPr>
          <w:rFonts w:hint="eastAsia" w:ascii="仿宋_GB2312" w:hAnsi="仿宋_GB2312" w:eastAsia="仿宋_GB2312" w:cs="仿宋_GB2312"/>
          <w:sz w:val="32"/>
          <w:szCs w:val="32"/>
        </w:rPr>
        <w:t>根据编委核定，我中心全额事业编制在职人员75人，退休人员17人。我</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中心</w:t>
      </w:r>
      <w:r>
        <w:rPr>
          <w:rFonts w:hint="default" w:ascii="Times New Roman" w:hAnsi="Times New Roman" w:eastAsia="仿宋" w:cs="Times New Roman"/>
          <w:color w:val="000000" w:themeColor="text1"/>
          <w:sz w:val="32"/>
          <w:szCs w:val="32"/>
          <w:u w:val="none"/>
          <w14:textFill>
            <w14:solidFill>
              <w14:schemeClr w14:val="tx1"/>
            </w14:solidFill>
          </w14:textFill>
        </w:rPr>
        <w:t>设</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8</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个内设机构和3</w:t>
      </w:r>
      <w:r>
        <w:rPr>
          <w:rFonts w:hint="default" w:ascii="Times New Roman" w:hAnsi="Times New Roman" w:eastAsia="仿宋" w:cs="Times New Roman"/>
          <w:color w:val="000000" w:themeColor="text1"/>
          <w:sz w:val="32"/>
          <w:szCs w:val="32"/>
          <w:u w:val="none"/>
          <w14:textFill>
            <w14:solidFill>
              <w14:schemeClr w14:val="tx1"/>
            </w14:solidFill>
          </w14:textFill>
        </w:rPr>
        <w:t>个</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分支机构</w:t>
      </w:r>
      <w:r>
        <w:rPr>
          <w:rFonts w:hint="default" w:ascii="Times New Roman" w:hAnsi="Times New Roman" w:eastAsia="仿宋" w:cs="Times New Roman"/>
          <w:color w:val="000000" w:themeColor="text1"/>
          <w:sz w:val="32"/>
          <w:szCs w:val="32"/>
          <w:u w:val="none"/>
          <w14:textFill>
            <w14:solidFill>
              <w14:schemeClr w14:val="tx1"/>
            </w14:solidFill>
          </w14:textFill>
        </w:rPr>
        <w:t>。</w:t>
      </w:r>
    </w:p>
    <w:p w14:paraId="31BA425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14:textFill>
            <w14:solidFill>
              <w14:schemeClr w14:val="tx1"/>
            </w14:solidFill>
          </w14:textFill>
        </w:rPr>
        <w:t>内设</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机构</w:t>
      </w:r>
      <w:r>
        <w:rPr>
          <w:rFonts w:hint="default" w:ascii="Times New Roman" w:hAnsi="Times New Roman" w:eastAsia="仿宋" w:cs="Times New Roman"/>
          <w:color w:val="000000" w:themeColor="text1"/>
          <w:sz w:val="32"/>
          <w:szCs w:val="32"/>
          <w:u w:val="none"/>
          <w14:textFill>
            <w14:solidFill>
              <w14:schemeClr w14:val="tx1"/>
            </w14:solidFill>
          </w14:textFill>
        </w:rPr>
        <w:t>分别是</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综合部</w:t>
      </w:r>
      <w:r>
        <w:rPr>
          <w:rFonts w:hint="default" w:ascii="Times New Roman" w:hAnsi="Times New Roman" w:eastAsia="仿宋" w:cs="Times New Roman"/>
          <w:color w:val="000000" w:themeColor="text1"/>
          <w:sz w:val="32"/>
          <w:szCs w:val="32"/>
          <w:u w:val="none"/>
          <w14:textFill>
            <w14:solidFill>
              <w14:schemeClr w14:val="tx1"/>
            </w14:solidFill>
          </w14:textFill>
        </w:rPr>
        <w:t>、</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房屋租赁服务部、财务部、信息档案服务部、白蚁防治服务部、工程建设服务部</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、党办、离退休人员服务部</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w:t>
      </w:r>
    </w:p>
    <w:p w14:paraId="65FA2BD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14:textFill>
            <w14:solidFill>
              <w14:schemeClr w14:val="tx1"/>
            </w14:solidFill>
          </w14:textFill>
        </w:rPr>
        <w:t>所属</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3个分支机构</w:t>
      </w:r>
      <w:r>
        <w:rPr>
          <w:rFonts w:hint="default" w:ascii="Times New Roman" w:hAnsi="Times New Roman" w:eastAsia="仿宋" w:cs="Times New Roman"/>
          <w:color w:val="000000" w:themeColor="text1"/>
          <w:sz w:val="32"/>
          <w:szCs w:val="32"/>
          <w:u w:val="none"/>
          <w14:textFill>
            <w14:solidFill>
              <w14:schemeClr w14:val="tx1"/>
            </w14:solidFill>
          </w14:textFill>
        </w:rPr>
        <w:t>分别是</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市城市人居环境更新管理所、市物业和维修资金管理所和市保障性住房管理所。</w:t>
      </w:r>
    </w:p>
    <w:p w14:paraId="156C6A5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二</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决算单位构成。</w:t>
      </w:r>
    </w:p>
    <w:p w14:paraId="2F8A08A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单位构成包括：</w:t>
      </w:r>
      <w:r>
        <w:rPr>
          <w:rFonts w:hint="eastAsia" w:ascii="仿宋_GB2312" w:hAnsi="仿宋_GB2312" w:eastAsia="仿宋_GB2312" w:cs="仿宋_GB2312"/>
          <w:sz w:val="32"/>
          <w:szCs w:val="32"/>
          <w:lang w:val="en-US" w:eastAsia="zh-CN"/>
        </w:rPr>
        <w:t>岳阳市住房保障服务中心</w:t>
      </w:r>
      <w:r>
        <w:rPr>
          <w:rFonts w:hint="eastAsia" w:ascii="仿宋_GB2312" w:hAnsi="仿宋_GB2312" w:eastAsia="仿宋_GB2312" w:cs="仿宋_GB2312"/>
          <w:sz w:val="32"/>
          <w:szCs w:val="32"/>
        </w:rPr>
        <w:t>本级</w:t>
      </w:r>
      <w:r>
        <w:rPr>
          <w:rFonts w:hint="eastAsia" w:ascii="仿宋_GB2312" w:hAnsi="仿宋_GB2312" w:eastAsia="仿宋_GB2312" w:cs="仿宋_GB2312"/>
          <w:sz w:val="32"/>
          <w:szCs w:val="32"/>
          <w:lang w:val="en-US" w:eastAsia="zh-CN"/>
        </w:rPr>
        <w:t>。</w:t>
      </w:r>
    </w:p>
    <w:p w14:paraId="0BCBD83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本单位无独立核算的下属单位，2023年度部门决算汇总公开单位仅包括岳阳市住房保障服务中心本级</w:t>
      </w:r>
    </w:p>
    <w:p w14:paraId="2F89B74F">
      <w:pPr>
        <w:pStyle w:val="16"/>
        <w:keepNext w:val="0"/>
        <w:keepLines w:val="0"/>
        <w:pageBreakBefore w:val="0"/>
        <w:widowControl w:val="0"/>
        <w:kinsoku/>
        <w:wordWrap/>
        <w:overflowPunct/>
        <w:topLinePunct w:val="0"/>
        <w:bidi w:val="0"/>
        <w:snapToGrid/>
        <w:spacing w:line="600" w:lineRule="exact"/>
        <w:ind w:firstLine="700" w:firstLineChars="250"/>
        <w:textAlignment w:val="auto"/>
        <w:rPr>
          <w:rFonts w:ascii="仿宋_GB2312" w:eastAsia="仿宋_GB2312" w:hAnsiTheme="minorEastAsia"/>
          <w:sz w:val="28"/>
          <w:szCs w:val="32"/>
        </w:rPr>
      </w:pPr>
    </w:p>
    <w:p w14:paraId="5960D709"/>
    <w:p w14:paraId="37260309">
      <w:pPr>
        <w:pStyle w:val="10"/>
      </w:pPr>
    </w:p>
    <w:p w14:paraId="56B0CA39">
      <w:pPr>
        <w:pStyle w:val="6"/>
      </w:pPr>
    </w:p>
    <w:p w14:paraId="3BBC0EA2"/>
    <w:p w14:paraId="3081969A">
      <w:pPr>
        <w:pStyle w:val="10"/>
      </w:pPr>
    </w:p>
    <w:p w14:paraId="1DE1938F"/>
    <w:p w14:paraId="347B3416">
      <w:pPr>
        <w:pStyle w:val="10"/>
      </w:pPr>
    </w:p>
    <w:p w14:paraId="5EEC0741">
      <w:pPr>
        <w:pStyle w:val="16"/>
        <w:jc w:val="center"/>
        <w:rPr>
          <w:rFonts w:hint="eastAsia" w:ascii="方正小标宋_GBK" w:hAnsi="方正小标宋_GBK" w:eastAsia="方正小标宋_GBK" w:cs="方正小标宋_GBK"/>
          <w:sz w:val="84"/>
          <w:szCs w:val="84"/>
        </w:rPr>
      </w:pPr>
    </w:p>
    <w:p w14:paraId="7459D4B1">
      <w:pPr>
        <w:pStyle w:val="16"/>
        <w:jc w:val="center"/>
        <w:rPr>
          <w:rFonts w:hint="eastAsia" w:ascii="方正小标宋_GBK" w:hAnsi="方正小标宋_GBK" w:eastAsia="方正小标宋_GBK" w:cs="方正小标宋_GBK"/>
          <w:sz w:val="84"/>
          <w:szCs w:val="84"/>
        </w:rPr>
      </w:pPr>
    </w:p>
    <w:p w14:paraId="5925FBB4">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055E6FFF">
      <w:pPr>
        <w:pStyle w:val="16"/>
        <w:jc w:val="center"/>
        <w:rPr>
          <w:rFonts w:hint="eastAsia" w:ascii="方正小标宋_GBK" w:hAnsi="方正小标宋_GBK" w:eastAsia="方正小标宋_GBK" w:cs="方正小标宋_GBK"/>
          <w:sz w:val="84"/>
          <w:szCs w:val="84"/>
        </w:rPr>
      </w:pPr>
    </w:p>
    <w:p w14:paraId="4A8AD796">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5E94462">
      <w:pPr>
        <w:pStyle w:val="16"/>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7BEBF23">
      <w:pPr>
        <w:pStyle w:val="16"/>
        <w:jc w:val="center"/>
        <w:rPr>
          <w:rFonts w:hint="eastAsia" w:ascii="仿宋_GB2312" w:hAnsi="仿宋_GB2312" w:eastAsia="仿宋_GB2312" w:cs="仿宋_GB2312"/>
          <w:b w:val="0"/>
          <w:bCs w:val="0"/>
          <w:sz w:val="72"/>
          <w:szCs w:val="72"/>
          <w:lang w:eastAsia="zh-CN"/>
        </w:rPr>
      </w:pPr>
    </w:p>
    <w:p w14:paraId="10A423A6">
      <w:pPr>
        <w:pStyle w:val="16"/>
        <w:jc w:val="center"/>
        <w:rPr>
          <w:rFonts w:hint="eastAsia" w:ascii="仿宋_GB2312" w:hAnsi="仿宋_GB2312" w:eastAsia="仿宋_GB2312" w:cs="仿宋_GB2312"/>
          <w:b w:val="0"/>
          <w:bCs w:val="0"/>
          <w:sz w:val="72"/>
          <w:szCs w:val="72"/>
          <w:lang w:eastAsia="zh-CN"/>
        </w:rPr>
      </w:pPr>
    </w:p>
    <w:p w14:paraId="2BB4FCF7">
      <w:pPr>
        <w:pStyle w:val="16"/>
        <w:jc w:val="center"/>
        <w:rPr>
          <w:rFonts w:hint="eastAsia" w:ascii="仿宋_GB2312" w:hAnsi="仿宋_GB2312" w:eastAsia="仿宋_GB2312" w:cs="仿宋_GB2312"/>
          <w:b w:val="0"/>
          <w:bCs w:val="0"/>
          <w:sz w:val="72"/>
          <w:szCs w:val="72"/>
          <w:lang w:eastAsia="zh-CN"/>
        </w:rPr>
      </w:pPr>
    </w:p>
    <w:p w14:paraId="2498D3B3">
      <w:pPr>
        <w:pStyle w:val="16"/>
        <w:jc w:val="center"/>
        <w:rPr>
          <w:rFonts w:hint="eastAsia" w:ascii="仿宋_GB2312" w:hAnsi="仿宋_GB2312" w:eastAsia="仿宋_GB2312" w:cs="仿宋_GB2312"/>
          <w:b w:val="0"/>
          <w:bCs w:val="0"/>
          <w:sz w:val="72"/>
          <w:szCs w:val="72"/>
          <w:lang w:eastAsia="zh-CN"/>
        </w:rPr>
      </w:pPr>
    </w:p>
    <w:p w14:paraId="489A5697">
      <w:pPr>
        <w:pStyle w:val="16"/>
        <w:jc w:val="center"/>
        <w:rPr>
          <w:rFonts w:hint="eastAsia" w:ascii="仿宋_GB2312" w:hAnsi="仿宋_GB2312" w:eastAsia="仿宋_GB2312" w:cs="仿宋_GB2312"/>
          <w:b w:val="0"/>
          <w:bCs w:val="0"/>
          <w:sz w:val="72"/>
          <w:szCs w:val="72"/>
          <w:lang w:eastAsia="zh-CN"/>
        </w:rPr>
      </w:pPr>
    </w:p>
    <w:p w14:paraId="27949036">
      <w:pPr>
        <w:pStyle w:val="16"/>
        <w:jc w:val="center"/>
        <w:rPr>
          <w:rFonts w:hint="eastAsia" w:ascii="仿宋_GB2312" w:hAnsi="仿宋_GB2312" w:eastAsia="仿宋_GB2312" w:cs="仿宋_GB2312"/>
          <w:b w:val="0"/>
          <w:bCs w:val="0"/>
          <w:sz w:val="72"/>
          <w:szCs w:val="72"/>
          <w:lang w:eastAsia="zh-CN"/>
        </w:rPr>
      </w:pPr>
    </w:p>
    <w:p w14:paraId="0084788D">
      <w:pPr>
        <w:pStyle w:val="16"/>
        <w:jc w:val="center"/>
        <w:rPr>
          <w:rFonts w:hint="eastAsia" w:ascii="仿宋_GB2312" w:hAnsi="仿宋_GB2312" w:eastAsia="仿宋_GB2312" w:cs="仿宋_GB2312"/>
          <w:b w:val="0"/>
          <w:bCs w:val="0"/>
          <w:sz w:val="72"/>
          <w:szCs w:val="72"/>
          <w:lang w:eastAsia="zh-CN"/>
        </w:rPr>
      </w:pPr>
    </w:p>
    <w:p w14:paraId="6EB3AE5B">
      <w:pPr>
        <w:pStyle w:val="16"/>
        <w:jc w:val="center"/>
        <w:rPr>
          <w:rFonts w:hint="eastAsia" w:ascii="方正小标宋_GBK" w:hAnsi="方正小标宋_GBK" w:eastAsia="方正小标宋_GBK" w:cs="方正小标宋_GBK"/>
          <w:sz w:val="72"/>
          <w:szCs w:val="72"/>
        </w:rPr>
      </w:pPr>
    </w:p>
    <w:p w14:paraId="2CD48F21">
      <w:pPr>
        <w:pStyle w:val="16"/>
        <w:jc w:val="center"/>
        <w:rPr>
          <w:rFonts w:hint="eastAsia" w:ascii="方正小标宋_GBK" w:hAnsi="方正小标宋_GBK" w:eastAsia="方正小标宋_GBK" w:cs="方正小标宋_GBK"/>
          <w:sz w:val="72"/>
          <w:szCs w:val="72"/>
        </w:rPr>
      </w:pPr>
    </w:p>
    <w:p w14:paraId="339F6EE6">
      <w:pPr>
        <w:pStyle w:val="16"/>
        <w:jc w:val="both"/>
        <w:rPr>
          <w:rFonts w:hint="eastAsia" w:ascii="方正小标宋_GBK" w:hAnsi="方正小标宋_GBK" w:eastAsia="方正小标宋_GBK" w:cs="方正小标宋_GBK"/>
          <w:sz w:val="72"/>
          <w:szCs w:val="72"/>
        </w:rPr>
      </w:pPr>
    </w:p>
    <w:p w14:paraId="5E85180C">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44540002">
      <w:pPr>
        <w:pStyle w:val="16"/>
        <w:jc w:val="center"/>
        <w:rPr>
          <w:rFonts w:hint="eastAsia" w:ascii="方正小标宋_GBK" w:hAnsi="方正小标宋_GBK" w:eastAsia="方正小标宋_GBK" w:cs="方正小标宋_GBK"/>
          <w:sz w:val="70"/>
          <w:szCs w:val="70"/>
        </w:rPr>
      </w:pPr>
    </w:p>
    <w:p w14:paraId="68D0DEFB">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178ED901">
      <w:pPr>
        <w:pStyle w:val="16"/>
        <w:jc w:val="center"/>
        <w:rPr>
          <w:rFonts w:hint="eastAsia" w:ascii="方正小标宋_GBK" w:hAnsi="方正小标宋_GBK" w:eastAsia="方正小标宋_GBK" w:cs="方正小标宋_GBK"/>
          <w:sz w:val="70"/>
          <w:szCs w:val="70"/>
        </w:rPr>
      </w:pPr>
    </w:p>
    <w:p w14:paraId="35E0699B">
      <w:pPr>
        <w:pStyle w:val="16"/>
        <w:jc w:val="center"/>
        <w:rPr>
          <w:rFonts w:hint="eastAsia" w:ascii="方正小标宋_GBK" w:hAnsi="方正小标宋_GBK" w:eastAsia="方正小标宋_GBK" w:cs="方正小标宋_GBK"/>
          <w:sz w:val="70"/>
          <w:szCs w:val="70"/>
        </w:rPr>
      </w:pPr>
    </w:p>
    <w:p w14:paraId="1026667D">
      <w:pPr>
        <w:pStyle w:val="16"/>
        <w:jc w:val="center"/>
        <w:rPr>
          <w:rFonts w:hint="eastAsia" w:ascii="方正小标宋_GBK" w:hAnsi="方正小标宋_GBK" w:eastAsia="方正小标宋_GBK" w:cs="方正小标宋_GBK"/>
          <w:sz w:val="70"/>
          <w:szCs w:val="70"/>
        </w:rPr>
      </w:pPr>
    </w:p>
    <w:p w14:paraId="73E27E45">
      <w:pPr>
        <w:pStyle w:val="16"/>
        <w:jc w:val="center"/>
        <w:rPr>
          <w:rFonts w:hint="eastAsia" w:ascii="方正小标宋_GBK" w:hAnsi="方正小标宋_GBK" w:eastAsia="方正小标宋_GBK" w:cs="方正小标宋_GBK"/>
          <w:sz w:val="70"/>
          <w:szCs w:val="70"/>
        </w:rPr>
      </w:pPr>
    </w:p>
    <w:p w14:paraId="45323F89">
      <w:pPr>
        <w:pStyle w:val="16"/>
        <w:jc w:val="center"/>
        <w:rPr>
          <w:rFonts w:hint="eastAsia" w:ascii="方正小标宋_GBK" w:hAnsi="方正小标宋_GBK" w:eastAsia="方正小标宋_GBK" w:cs="方正小标宋_GBK"/>
          <w:sz w:val="70"/>
          <w:szCs w:val="70"/>
        </w:rPr>
      </w:pPr>
    </w:p>
    <w:p w14:paraId="05F6B00A">
      <w:pPr>
        <w:pStyle w:val="16"/>
        <w:jc w:val="center"/>
        <w:rPr>
          <w:rFonts w:hint="eastAsia" w:ascii="方正小标宋_GBK" w:hAnsi="方正小标宋_GBK" w:eastAsia="方正小标宋_GBK" w:cs="方正小标宋_GBK"/>
          <w:sz w:val="70"/>
          <w:szCs w:val="70"/>
        </w:rPr>
      </w:pPr>
    </w:p>
    <w:p w14:paraId="15FAF807">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4B8AA2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C1C640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年度收、支总计3197.46万元。与上年相比，减少</w:t>
      </w:r>
      <w:r>
        <w:rPr>
          <w:rFonts w:hint="eastAsia" w:ascii="仿宋_GB2312" w:hAnsi="仿宋_GB2312" w:eastAsia="仿宋_GB2312" w:cs="仿宋_GB2312"/>
          <w:sz w:val="32"/>
          <w:szCs w:val="32"/>
          <w:lang w:val="en-US" w:eastAsia="zh-CN"/>
        </w:rPr>
        <w:t>3909.15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住房保障支出项目建设支出减少。</w:t>
      </w:r>
    </w:p>
    <w:p w14:paraId="6EB0CD5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040C676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w:t>
      </w:r>
      <w:r>
        <w:rPr>
          <w:rFonts w:hint="eastAsia" w:ascii="仿宋_GB2312" w:hAnsi="仿宋_GB2312" w:eastAsia="仿宋_GB2312" w:cs="仿宋_GB2312"/>
          <w:color w:val="auto"/>
          <w:sz w:val="32"/>
          <w:szCs w:val="32"/>
        </w:rPr>
        <w:t>合计3134.32万元，其中：财政拨款收入3107.94万元，占99.16%；上级补助收入</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%；事业收入</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%；经营收入</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%；附属单位上缴收入</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%；其他收入26.3</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sz w:val="32"/>
          <w:szCs w:val="32"/>
        </w:rPr>
        <w:t>，占0.84%。</w:t>
      </w:r>
    </w:p>
    <w:p w14:paraId="00D4022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18254F9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年度支出合计3197.47万元，其中：基本支出1323.42万元，占41.39%；项目支出1874.05万元，占58.61%；上缴上级支出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111D645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60C198EC">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年度财政拨款收、支总计3107.94万元，与上年相比，减少</w:t>
      </w:r>
      <w:r>
        <w:rPr>
          <w:rFonts w:hint="eastAsia" w:ascii="仿宋_GB2312" w:hAnsi="仿宋_GB2312" w:eastAsia="仿宋_GB2312" w:cs="仿宋_GB2312"/>
          <w:sz w:val="32"/>
          <w:szCs w:val="32"/>
          <w:lang w:val="en-US" w:eastAsia="zh-CN"/>
        </w:rPr>
        <w:t>3797.98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rPr>
        <w:t>%，主要是因为住房保障支出</w:t>
      </w:r>
      <w:r>
        <w:rPr>
          <w:rFonts w:hint="eastAsia" w:ascii="仿宋_GB2312" w:hAnsi="仿宋_GB2312" w:eastAsia="仿宋_GB2312" w:cs="仿宋_GB2312"/>
          <w:sz w:val="32"/>
          <w:szCs w:val="32"/>
          <w:lang w:val="en-US" w:eastAsia="zh-CN"/>
        </w:rPr>
        <w:t>项目建设</w:t>
      </w:r>
      <w:r>
        <w:rPr>
          <w:rFonts w:hint="eastAsia" w:ascii="仿宋_GB2312" w:hAnsi="仿宋_GB2312" w:eastAsia="仿宋_GB2312" w:cs="仿宋_GB2312"/>
          <w:sz w:val="32"/>
          <w:szCs w:val="32"/>
        </w:rPr>
        <w:t>支出减少。</w:t>
      </w:r>
    </w:p>
    <w:p w14:paraId="6BDB8B3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30CE44F6">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657212AA">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年度财政拨款支出3107.94万元，占本年支出合计的97.20%，与上年相比，财政拨款支出减少3797.98万元，减少55.00%，主要是因为主要是因为住房保障支出</w:t>
      </w:r>
      <w:r>
        <w:rPr>
          <w:rFonts w:hint="eastAsia" w:ascii="仿宋_GB2312" w:hAnsi="仿宋_GB2312" w:eastAsia="仿宋_GB2312" w:cs="仿宋_GB2312"/>
          <w:sz w:val="32"/>
          <w:szCs w:val="32"/>
          <w:lang w:val="en-US" w:eastAsia="zh-CN"/>
        </w:rPr>
        <w:t>项目建设</w:t>
      </w:r>
      <w:r>
        <w:rPr>
          <w:rFonts w:hint="eastAsia" w:ascii="仿宋_GB2312" w:hAnsi="仿宋_GB2312" w:eastAsia="仿宋_GB2312" w:cs="仿宋_GB2312"/>
          <w:sz w:val="32"/>
          <w:szCs w:val="32"/>
        </w:rPr>
        <w:t>支出减少。</w:t>
      </w:r>
    </w:p>
    <w:p w14:paraId="63B703AB">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027B2B73">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年度财政拨款支出3,107.94万元，主要用于以下方面：</w:t>
      </w:r>
    </w:p>
    <w:p w14:paraId="2EE36090">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社会保障和就业支出（类）支出95.81万元，占3.08%</w:t>
      </w:r>
    </w:p>
    <w:p w14:paraId="4D6FED88">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城乡社区支出（类）支出1409.79万元，占45.36%;</w:t>
      </w:r>
    </w:p>
    <w:p w14:paraId="0B8B5D0B">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住房保障支出（类）支出1602.34万元，51.56%;</w:t>
      </w:r>
    </w:p>
    <w:p w14:paraId="0487AC0F">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18FB8ABE">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年度财政拨款支出年初预算数为1380.68万元，支出决算数为</w:t>
      </w:r>
      <w:r>
        <w:rPr>
          <w:rFonts w:hint="eastAsia" w:ascii="仿宋_GB2312" w:hAnsi="仿宋_GB2312" w:eastAsia="仿宋_GB2312" w:cs="仿宋_GB2312"/>
          <w:sz w:val="32"/>
          <w:szCs w:val="32"/>
          <w:lang w:val="en-US" w:eastAsia="zh-CN"/>
        </w:rPr>
        <w:t>3107.94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225.10</w:t>
      </w:r>
      <w:r>
        <w:rPr>
          <w:rFonts w:hint="eastAsia" w:ascii="仿宋_GB2312" w:hAnsi="仿宋_GB2312" w:eastAsia="仿宋_GB2312" w:cs="仿宋_GB2312"/>
          <w:sz w:val="32"/>
          <w:szCs w:val="32"/>
        </w:rPr>
        <w:t>%，其中：</w:t>
      </w:r>
    </w:p>
    <w:p w14:paraId="5162E66C">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1B0CEA10">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90.42</w:t>
      </w:r>
      <w:r>
        <w:rPr>
          <w:rFonts w:hint="eastAsia" w:ascii="仿宋_GB2312" w:hAnsi="仿宋_GB2312" w:eastAsia="仿宋_GB2312" w:cs="仿宋_GB2312"/>
          <w:sz w:val="32"/>
          <w:szCs w:val="32"/>
        </w:rPr>
        <w:t>万元，支出决算为89.86万元，完成年初预算的</w:t>
      </w:r>
      <w:r>
        <w:rPr>
          <w:rFonts w:hint="eastAsia" w:ascii="仿宋_GB2312" w:hAnsi="仿宋_GB2312" w:eastAsia="仿宋_GB2312" w:cs="仿宋_GB2312"/>
          <w:sz w:val="32"/>
          <w:szCs w:val="32"/>
          <w:lang w:val="en-US" w:eastAsia="zh-CN"/>
        </w:rPr>
        <w:t>99.39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指标调整。</w:t>
      </w:r>
    </w:p>
    <w:p w14:paraId="41B3D8E8">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2、社会保障和就业支出（类）抚恤（款）其他优抚支出（项）。</w:t>
      </w:r>
    </w:p>
    <w:p w14:paraId="6AF6EC83">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3.33</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指标调整。</w:t>
      </w:r>
    </w:p>
    <w:p w14:paraId="2A03A65C">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、社会保障和就业支出（类）其他社会保障和就业支出（款）其他社会保障和就业支出（项）。</w:t>
      </w:r>
    </w:p>
    <w:p w14:paraId="31D6A719">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2.78</w:t>
      </w:r>
      <w:r>
        <w:rPr>
          <w:rFonts w:hint="eastAsia" w:ascii="仿宋_GB2312" w:hAnsi="仿宋_GB2312" w:eastAsia="仿宋_GB2312" w:cs="仿宋_GB2312"/>
          <w:sz w:val="32"/>
          <w:szCs w:val="32"/>
        </w:rPr>
        <w:t>万元，支出决算为2.62万元，完成年初预算的</w:t>
      </w:r>
      <w:r>
        <w:rPr>
          <w:rFonts w:hint="eastAsia" w:ascii="仿宋_GB2312" w:hAnsi="仿宋_GB2312" w:eastAsia="仿宋_GB2312" w:cs="仿宋_GB2312"/>
          <w:sz w:val="32"/>
          <w:szCs w:val="32"/>
          <w:lang w:val="en-US" w:eastAsia="zh-CN"/>
        </w:rPr>
        <w:t>94.24</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指标调整。</w:t>
      </w:r>
    </w:p>
    <w:p w14:paraId="17EE76FF">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、城乡社区支出（类）城乡社区管理事务（款）其他城乡社区管理事务支出（项）。</w:t>
      </w:r>
    </w:p>
    <w:p w14:paraId="7F0BD10F">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color w:val="00000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1052.87</w:t>
      </w:r>
      <w:r>
        <w:rPr>
          <w:rFonts w:hint="eastAsia" w:ascii="仿宋_GB2312" w:hAnsi="仿宋_GB2312" w:eastAsia="仿宋_GB2312" w:cs="仿宋_GB2312"/>
          <w:sz w:val="32"/>
          <w:szCs w:val="32"/>
        </w:rPr>
        <w:t>万元，支出决算为1168.78万元，完成年初预算的</w:t>
      </w:r>
      <w:r>
        <w:rPr>
          <w:rFonts w:hint="eastAsia" w:ascii="仿宋_GB2312" w:hAnsi="仿宋_GB2312" w:eastAsia="仿宋_GB2312" w:cs="仿宋_GB2312"/>
          <w:sz w:val="32"/>
          <w:szCs w:val="32"/>
          <w:lang w:val="en-US" w:eastAsia="zh-CN"/>
        </w:rPr>
        <w:t>111</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决算数大于年初预算数的主要原因是：</w:t>
      </w:r>
      <w:r>
        <w:rPr>
          <w:rFonts w:hint="eastAsia" w:ascii="Times New Roman" w:hAnsi="Times New Roman" w:eastAsia="仿宋_GB2312"/>
          <w:color w:val="auto"/>
          <w:sz w:val="32"/>
          <w:szCs w:val="32"/>
          <w:lang w:val="en-US" w:eastAsia="zh-CN"/>
        </w:rPr>
        <w:t>保</w:t>
      </w:r>
      <w:r>
        <w:rPr>
          <w:rFonts w:hint="eastAsia" w:ascii="Times New Roman" w:hAnsi="Times New Roman" w:eastAsia="仿宋_GB2312"/>
          <w:color w:val="000000"/>
          <w:sz w:val="32"/>
          <w:szCs w:val="32"/>
          <w:lang w:val="en-US" w:eastAsia="zh-CN"/>
        </w:rPr>
        <w:t>障房建设资金按项目进展进度拨付，没有编入年初预算。</w:t>
      </w:r>
    </w:p>
    <w:p w14:paraId="69A6A988">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、城乡社区支出（类）城乡社区规划与管理（款）城乡社区规划与管理（项）。</w:t>
      </w:r>
    </w:p>
    <w:p w14:paraId="4BEF8D89">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年初预算为147.00万元，支出决算为146.86万元，完成年初预算的</w:t>
      </w:r>
      <w:r>
        <w:rPr>
          <w:rFonts w:hint="eastAsia" w:ascii="仿宋_GB2312" w:hAnsi="仿宋_GB2312" w:eastAsia="仿宋_GB2312" w:cs="仿宋_GB2312"/>
          <w:sz w:val="32"/>
          <w:szCs w:val="32"/>
          <w:lang w:val="en-US" w:eastAsia="zh-CN"/>
        </w:rPr>
        <w:t>99.9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支付额度不够。</w:t>
      </w:r>
    </w:p>
    <w:p w14:paraId="3FB1C75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、城乡社区支出（类）其他城乡社区支出（款）其他城乡社区支出（项）。</w:t>
      </w:r>
    </w:p>
    <w:p w14:paraId="4EAA6530">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万元，支出决算为94.15万元，决算数大于年初预算数的主要原因是：</w:t>
      </w:r>
      <w:r>
        <w:rPr>
          <w:rFonts w:hint="eastAsia" w:ascii="仿宋_GB2312" w:hAnsi="仿宋_GB2312" w:eastAsia="仿宋_GB2312" w:cs="仿宋_GB2312"/>
          <w:sz w:val="32"/>
          <w:szCs w:val="32"/>
          <w:lang w:val="en-US" w:eastAsia="zh-CN"/>
        </w:rPr>
        <w:t>指标调整。</w:t>
      </w:r>
    </w:p>
    <w:p w14:paraId="46ABDFDA">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、住房保障支出（类）保障性安居工程支出（款）其他保障性安居工程支出（项）。</w:t>
      </w:r>
    </w:p>
    <w:p w14:paraId="5D72CF60">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万元，支出决算为1514.91万元，决算数大于年初预算数的主要原因是：</w:t>
      </w:r>
      <w:r>
        <w:rPr>
          <w:rFonts w:hint="eastAsia" w:ascii="Times New Roman" w:hAnsi="Times New Roman" w:eastAsia="仿宋_GB2312"/>
          <w:color w:val="000000"/>
          <w:sz w:val="32"/>
          <w:szCs w:val="32"/>
          <w:lang w:val="en-US" w:eastAsia="zh-CN"/>
        </w:rPr>
        <w:t>保障房建设资金按项目进展进度拨付，没有编入年初预算。</w:t>
      </w:r>
    </w:p>
    <w:p w14:paraId="317AAA7E">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、住房保障支出（类）住房改革支出（款）住房公积金（项）。</w:t>
      </w:r>
    </w:p>
    <w:p w14:paraId="263F5623">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年初预算为87.61万元，支出决算为87.43万元，完成年初预算的</w:t>
      </w:r>
      <w:r>
        <w:rPr>
          <w:rFonts w:hint="eastAsia" w:ascii="仿宋_GB2312" w:hAnsi="仿宋_GB2312" w:eastAsia="仿宋_GB2312" w:cs="仿宋_GB2312"/>
          <w:sz w:val="32"/>
          <w:szCs w:val="32"/>
          <w:lang w:val="en-US" w:eastAsia="zh-CN"/>
        </w:rPr>
        <w:t>99.79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指标调整。</w:t>
      </w:r>
    </w:p>
    <w:p w14:paraId="28F1CAE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4B93442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年度财政拨款基本支出1322.6</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万元，其中：</w:t>
      </w:r>
    </w:p>
    <w:p w14:paraId="0F92013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1185.2万元，占基本支出的89.61%,主要包括基本工资、津贴补贴、奖金、伙食补助费</w:t>
      </w:r>
      <w:r>
        <w:rPr>
          <w:rFonts w:hint="eastAsia" w:ascii="仿宋_GB2312" w:hAnsi="仿宋_GB2312" w:eastAsia="仿宋_GB2312" w:cs="仿宋_GB2312"/>
          <w:sz w:val="32"/>
          <w:szCs w:val="32"/>
          <w:lang w:eastAsia="zh-CN"/>
        </w:rPr>
        <w:t>、绩效工资、机关事业单位基本养老保险缴费、职工基本医疗保险缴费、其他社会保障缴费、住房公积金、退休费、抚恤金、医疗费补助、其他对个人和家庭的补助。</w:t>
      </w:r>
    </w:p>
    <w:p w14:paraId="0B7713D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b w:val="0"/>
          <w:bCs w:val="0"/>
          <w:sz w:val="32"/>
          <w:szCs w:val="32"/>
        </w:rPr>
        <w:t>137.43</w:t>
      </w:r>
      <w:r>
        <w:rPr>
          <w:rFonts w:hint="eastAsia" w:ascii="仿宋_GB2312" w:hAnsi="仿宋_GB2312" w:eastAsia="仿宋_GB2312" w:cs="仿宋_GB2312"/>
          <w:sz w:val="32"/>
          <w:szCs w:val="32"/>
        </w:rPr>
        <w:t>万元，占基本支出的10.39%，主要包括办公费、印刷费、咨询费、手续费</w:t>
      </w:r>
      <w:r>
        <w:rPr>
          <w:rFonts w:hint="eastAsia" w:ascii="仿宋_GB2312" w:hAnsi="仿宋_GB2312" w:eastAsia="仿宋_GB2312" w:cs="仿宋_GB2312"/>
          <w:sz w:val="32"/>
          <w:szCs w:val="32"/>
          <w:lang w:eastAsia="zh-CN"/>
        </w:rPr>
        <w:t>、水费、电费、差旅费、劳务费、工会经费、福利费、公务用车运行维护费、其他交通费用、其他商品和服务支出</w:t>
      </w:r>
      <w:r>
        <w:rPr>
          <w:rFonts w:hint="eastAsia" w:ascii="仿宋_GB2312" w:hAnsi="仿宋_GB2312" w:eastAsia="仿宋_GB2312" w:cs="仿宋_GB2312"/>
          <w:sz w:val="32"/>
          <w:szCs w:val="32"/>
        </w:rPr>
        <w:t>。</w:t>
      </w:r>
    </w:p>
    <w:p w14:paraId="14DA0F5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4B485DA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3EBF9A0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i w:val="0"/>
          <w:iCs/>
          <w:sz w:val="32"/>
          <w:szCs w:val="32"/>
        </w:rPr>
      </w:pPr>
      <w:r>
        <w:rPr>
          <w:rFonts w:hint="eastAsia" w:ascii="仿宋_GB2312" w:hAnsi="仿宋_GB2312" w:eastAsia="仿宋_GB2312" w:cs="仿宋_GB2312"/>
          <w:b w:val="0"/>
          <w:bCs w:val="0"/>
          <w:i w:val="0"/>
          <w:iCs/>
          <w:color w:val="000000" w:themeColor="text1"/>
          <w:kern w:val="0"/>
          <w:sz w:val="32"/>
          <w:szCs w:val="32"/>
          <w:lang w:val="en-US" w:eastAsia="zh-CN" w:bidi="ar-SA"/>
          <w14:textFill>
            <w14:solidFill>
              <w14:schemeClr w14:val="tx1"/>
            </w14:solidFill>
          </w14:textFill>
        </w:rPr>
        <w:t>本单位无政府性基金收支。</w:t>
      </w:r>
    </w:p>
    <w:p w14:paraId="7A5A9D8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3727FF12">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lang w:val="en-US" w:eastAsia="zh-CN" w:bidi="ar-SA"/>
        </w:rPr>
        <w:t>；年末结转和结余0万元。</w:t>
      </w:r>
    </w:p>
    <w:p w14:paraId="323E17E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 w:hAnsi="仿宋" w:eastAsia="仿宋" w:cs="仿宋"/>
          <w:b w:val="0"/>
          <w:bCs w:val="0"/>
          <w:i w:val="0"/>
          <w:iCs/>
          <w:color w:val="auto"/>
          <w:kern w:val="0"/>
          <w:sz w:val="32"/>
          <w:szCs w:val="32"/>
          <w:lang w:val="en-US" w:eastAsia="zh-CN" w:bidi="ar-SA"/>
        </w:rPr>
        <w:t>本单位无</w:t>
      </w:r>
      <w:r>
        <w:rPr>
          <w:rFonts w:hint="eastAsia" w:ascii="仿宋" w:hAnsi="仿宋" w:eastAsia="仿宋" w:cs="仿宋"/>
          <w:i w:val="0"/>
          <w:iCs/>
          <w:color w:val="auto"/>
          <w:sz w:val="32"/>
          <w:szCs w:val="32"/>
          <w:lang w:eastAsia="zh-CN"/>
        </w:rPr>
        <w:t>国有资本经营</w:t>
      </w:r>
      <w:r>
        <w:rPr>
          <w:rFonts w:hint="eastAsia" w:ascii="仿宋" w:hAnsi="仿宋" w:eastAsia="仿宋" w:cs="仿宋"/>
          <w:b w:val="0"/>
          <w:bCs w:val="0"/>
          <w:i w:val="0"/>
          <w:iCs/>
          <w:color w:val="auto"/>
          <w:kern w:val="0"/>
          <w:sz w:val="32"/>
          <w:szCs w:val="32"/>
          <w:lang w:val="en-US" w:eastAsia="zh-CN" w:bidi="ar-SA"/>
        </w:rPr>
        <w:t>财政拔款支出。</w:t>
      </w:r>
    </w:p>
    <w:p w14:paraId="1188B2F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3415A875">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5DA85212">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万元，支出决算为4.13万元，完成预算的</w:t>
      </w:r>
      <w:r>
        <w:rPr>
          <w:rFonts w:hint="eastAsia" w:ascii="仿宋_GB2312" w:hAnsi="仿宋_GB2312" w:eastAsia="仿宋_GB2312" w:cs="仿宋_GB2312"/>
          <w:sz w:val="32"/>
          <w:szCs w:val="32"/>
          <w:lang w:val="en-US" w:eastAsia="zh-CN"/>
        </w:rPr>
        <w:t>68.83</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厉行节约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1.86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val="en-US" w:eastAsia="zh-CN"/>
        </w:rPr>
        <w:t>厉行节约，缩减开支</w:t>
      </w:r>
      <w:r>
        <w:rPr>
          <w:rFonts w:hint="eastAsia" w:ascii="仿宋_GB2312" w:hAnsi="仿宋_GB2312" w:eastAsia="仿宋_GB2312" w:cs="仿宋_GB2312"/>
          <w:sz w:val="32"/>
          <w:szCs w:val="32"/>
        </w:rPr>
        <w:t>。其中：</w:t>
      </w:r>
    </w:p>
    <w:p w14:paraId="6BDFC1AE">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000000"/>
          <w:sz w:val="32"/>
          <w:szCs w:val="32"/>
          <w:lang w:eastAsia="zh-CN"/>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b w:val="0"/>
          <w:bCs/>
          <w:color w:val="000000"/>
          <w:sz w:val="32"/>
          <w:szCs w:val="32"/>
          <w:lang w:eastAsia="zh-CN"/>
        </w:rPr>
        <w:t>决算数等于预算数，主要原因是我单位严格按预算执行决算；与上年一致，无增减变动，主要原因是未安排因公出国（境）活动。</w:t>
      </w:r>
    </w:p>
    <w:p w14:paraId="5663BC91">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000000"/>
          <w:sz w:val="32"/>
          <w:szCs w:val="32"/>
          <w:lang w:eastAsia="zh-CN"/>
        </w:rPr>
      </w:pPr>
      <w:r>
        <w:rPr>
          <w:rFonts w:hint="eastAsia" w:ascii="仿宋_GB2312" w:hAnsi="仿宋_GB2312" w:eastAsia="仿宋_GB2312" w:cs="仿宋_GB2312"/>
          <w:b w:val="0"/>
          <w:bCs/>
          <w:color w:val="000000"/>
          <w:sz w:val="32"/>
          <w:szCs w:val="32"/>
          <w:lang w:eastAsia="zh-CN"/>
        </w:rPr>
        <w:t>公务接待费支出预算为</w:t>
      </w:r>
      <w:r>
        <w:rPr>
          <w:rFonts w:hint="eastAsia" w:ascii="仿宋_GB2312" w:hAnsi="仿宋_GB2312" w:eastAsia="仿宋_GB2312" w:cs="仿宋_GB2312"/>
          <w:b w:val="0"/>
          <w:bCs/>
          <w:color w:val="000000"/>
          <w:sz w:val="32"/>
          <w:szCs w:val="32"/>
          <w:lang w:val="en-US" w:eastAsia="zh-CN"/>
        </w:rPr>
        <w:t>0</w:t>
      </w:r>
      <w:r>
        <w:rPr>
          <w:rFonts w:hint="eastAsia" w:ascii="仿宋_GB2312" w:hAnsi="仿宋_GB2312" w:eastAsia="仿宋_GB2312" w:cs="仿宋_GB2312"/>
          <w:b w:val="0"/>
          <w:bCs/>
          <w:color w:val="000000"/>
          <w:sz w:val="32"/>
          <w:szCs w:val="32"/>
          <w:lang w:eastAsia="zh-CN"/>
        </w:rPr>
        <w:t>万元，支出决算为0万元，决算数等于预算数，主要原因是严格执行中央八项规定；与上年一致，无增减变动，主要原因是按有关政策厉行节约，严控公务接待支出。</w:t>
      </w:r>
    </w:p>
    <w:p w14:paraId="1463C985">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color w:val="000000"/>
          <w:sz w:val="32"/>
          <w:szCs w:val="32"/>
          <w:lang w:eastAsia="zh-CN"/>
        </w:rPr>
        <w:t>公务用车购置费支出预算为0万元，支出决算为0万元，决算数等于预算数，主要原因是我单位严格按预算执行决算；与上年一致，无增减变动，主要原因是两年均未购置公务用车。</w:t>
      </w:r>
    </w:p>
    <w:p w14:paraId="444A8059">
      <w:pPr>
        <w:pStyle w:val="16"/>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4.13</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68.83</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厉行节约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1.86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val="en-US" w:eastAsia="zh-CN"/>
        </w:rPr>
        <w:t>厉行节约，缩减开支</w:t>
      </w:r>
      <w:r>
        <w:rPr>
          <w:rFonts w:hint="eastAsia" w:ascii="仿宋_GB2312" w:hAnsi="仿宋_GB2312" w:eastAsia="仿宋_GB2312" w:cs="仿宋_GB2312"/>
          <w:sz w:val="32"/>
          <w:szCs w:val="32"/>
        </w:rPr>
        <w:t>。</w:t>
      </w:r>
    </w:p>
    <w:p w14:paraId="533E460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727F8AF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4.13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w:t>
      </w:r>
    </w:p>
    <w:p w14:paraId="55FED423">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1、因公出国（境）费支出决算为0万元，全年安排因公出国（境）团组0个，累计0人次，我单位2023年度无因公出国（境）费支出。</w:t>
      </w:r>
    </w:p>
    <w:p w14:paraId="7029905B">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FF0000"/>
          <w:kern w:val="0"/>
          <w:sz w:val="32"/>
          <w:szCs w:val="32"/>
          <w:lang w:val="en-US" w:eastAsia="zh-CN" w:bidi="ar-SA"/>
        </w:rPr>
      </w:pP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2、公务接待费支出决算为0万元，全年共接待来访团组0个、来宾0人次，我单位2023年度无公务接待费支出。</w:t>
      </w:r>
    </w:p>
    <w:p w14:paraId="45E3223C">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4.13</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4.13</w:t>
      </w:r>
      <w:r>
        <w:rPr>
          <w:rFonts w:hint="eastAsia" w:ascii="仿宋_GB2312" w:hAnsi="仿宋_GB2312" w:eastAsia="仿宋_GB2312" w:cs="仿宋_GB2312"/>
          <w:sz w:val="32"/>
          <w:szCs w:val="32"/>
        </w:rPr>
        <w:t>万元，主要是</w:t>
      </w:r>
      <w:r>
        <w:rPr>
          <w:rFonts w:hint="eastAsia" w:ascii="Times New Roman" w:hAnsi="Times New Roman" w:eastAsia="仿宋_GB2312"/>
          <w:sz w:val="32"/>
          <w:szCs w:val="32"/>
          <w:lang w:val="en-US" w:eastAsia="zh-CN"/>
        </w:rPr>
        <w:t>维修、保险、加油</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辆。</w:t>
      </w:r>
    </w:p>
    <w:p w14:paraId="6A9ECD7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十</w:t>
      </w:r>
      <w:r>
        <w:rPr>
          <w:rFonts w:hint="eastAsia" w:ascii="黑体" w:hAnsi="黑体" w:eastAsia="黑体" w:cs="黑体"/>
          <w:b w:val="0"/>
          <w:bCs/>
          <w:sz w:val="32"/>
          <w:szCs w:val="32"/>
        </w:rPr>
        <w:t>、关于机关运行经费支出说明</w:t>
      </w:r>
    </w:p>
    <w:p w14:paraId="3CECFB4E">
      <w:pPr>
        <w:pStyle w:val="16"/>
        <w:ind w:firstLine="640" w:firstLineChars="200"/>
        <w:rPr>
          <w:rFonts w:hint="eastAsia" w:ascii="仿宋" w:hAnsi="仿宋" w:eastAsia="仿宋" w:cs="仿宋"/>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比上年决算数无增减变化。主要原因是</w:t>
      </w:r>
      <w:r>
        <w:rPr>
          <w:rFonts w:hint="eastAsia" w:ascii="Times New Roman" w:hAnsi="Times New Roman" w:eastAsia="仿宋_GB2312"/>
          <w:sz w:val="32"/>
          <w:szCs w:val="32"/>
          <w:lang w:eastAsia="zh-CN"/>
        </w:rPr>
        <w:t>：</w:t>
      </w:r>
      <w:r>
        <w:rPr>
          <w:rFonts w:hint="eastAsia" w:ascii="仿宋" w:hAnsi="仿宋" w:eastAsia="仿宋" w:cs="仿宋"/>
          <w:i w:val="0"/>
          <w:iCs/>
          <w:color w:val="000000"/>
          <w:sz w:val="32"/>
          <w:szCs w:val="32"/>
          <w:lang w:val="en-US" w:eastAsia="zh-CN"/>
        </w:rPr>
        <w:t>本单位为事业单位，按照机关运行经费的口径，本年度机关运行经费为0。</w:t>
      </w:r>
    </w:p>
    <w:p w14:paraId="574CD4F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6F058484">
      <w:pPr>
        <w:pStyle w:val="16"/>
        <w:ind w:firstLine="640" w:firstLineChars="200"/>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年度，会议费年初预算0万元，支出决算为0万元，</w:t>
      </w:r>
      <w:r>
        <w:rPr>
          <w:rFonts w:hint="eastAsia" w:ascii="仿宋" w:hAnsi="仿宋" w:eastAsia="仿宋" w:cs="仿宋"/>
          <w:b w:val="0"/>
          <w:bCs w:val="0"/>
          <w:i w:val="0"/>
          <w:iCs w:val="0"/>
          <w:color w:val="000000"/>
          <w:sz w:val="32"/>
          <w:szCs w:val="32"/>
          <w:lang w:val="en-US" w:eastAsia="zh-CN"/>
        </w:rPr>
        <w:t>本单位无会议费的预算和支出决算数；</w:t>
      </w:r>
    </w:p>
    <w:p w14:paraId="5E920651">
      <w:pPr>
        <w:pStyle w:val="16"/>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培训费年初预算0万元，支出决算为0万元，</w:t>
      </w:r>
      <w:r>
        <w:rPr>
          <w:rFonts w:hint="eastAsia" w:ascii="仿宋" w:hAnsi="仿宋" w:eastAsia="仿宋" w:cs="仿宋"/>
          <w:b w:val="0"/>
          <w:bCs w:val="0"/>
          <w:i w:val="0"/>
          <w:iCs w:val="0"/>
          <w:color w:val="000000"/>
          <w:sz w:val="32"/>
          <w:szCs w:val="32"/>
          <w:lang w:val="en-US" w:eastAsia="zh-CN"/>
        </w:rPr>
        <w:t>本单位无培训费的预算和支出决算数；</w:t>
      </w:r>
    </w:p>
    <w:p w14:paraId="242A049F">
      <w:pPr>
        <w:pStyle w:val="16"/>
        <w:ind w:firstLine="640" w:firstLineChars="200"/>
        <w:rPr>
          <w:rFonts w:hint="default" w:ascii="Times New Roman" w:hAnsi="Times New Roman" w:eastAsia="仿宋_GB2312"/>
          <w:sz w:val="32"/>
          <w:szCs w:val="32"/>
          <w:lang w:val="en-US"/>
        </w:rPr>
      </w:pPr>
      <w:r>
        <w:rPr>
          <w:rFonts w:hint="eastAsia" w:ascii="Times New Roman" w:hAnsi="Times New Roman" w:eastAsia="仿宋_GB2312"/>
          <w:sz w:val="32"/>
          <w:szCs w:val="32"/>
        </w:rPr>
        <w:t>举办节庆、晚会、论坛、赛事活动</w:t>
      </w:r>
      <w:r>
        <w:rPr>
          <w:rFonts w:hint="eastAsia" w:ascii="Times New Roman" w:hAnsi="Times New Roman" w:eastAsia="仿宋_GB2312"/>
          <w:sz w:val="32"/>
          <w:szCs w:val="32"/>
          <w:lang w:val="en-US" w:eastAsia="zh-CN"/>
        </w:rPr>
        <w:t>年初预算0万元，支出决算为0万元，</w:t>
      </w:r>
    </w:p>
    <w:p w14:paraId="3A127FC1">
      <w:pPr>
        <w:pStyle w:val="16"/>
        <w:rPr>
          <w:rFonts w:hint="eastAsia" w:ascii="楷体" w:hAnsi="楷体" w:eastAsia="楷体" w:cs="楷体"/>
          <w:b/>
          <w:bCs/>
          <w:i w:val="0"/>
          <w:iCs w:val="0"/>
          <w:color w:val="FF0000"/>
          <w:kern w:val="0"/>
          <w:sz w:val="40"/>
          <w:szCs w:val="40"/>
          <w:lang w:val="en-US" w:eastAsia="zh-CN" w:bidi="ar-SA"/>
        </w:rPr>
      </w:pPr>
      <w:r>
        <w:rPr>
          <w:rFonts w:hint="eastAsia" w:ascii="仿宋" w:hAnsi="仿宋" w:eastAsia="仿宋" w:cs="仿宋"/>
          <w:b w:val="0"/>
          <w:bCs w:val="0"/>
          <w:i w:val="0"/>
          <w:iCs w:val="0"/>
          <w:color w:val="000000"/>
          <w:sz w:val="32"/>
          <w:szCs w:val="32"/>
          <w:lang w:val="en-US" w:eastAsia="zh-CN"/>
        </w:rPr>
        <w:t>本单位无举办节庆、晚会、论坛、赛事等活动的预算和支出决算数。</w:t>
      </w:r>
    </w:p>
    <w:p w14:paraId="28A77A4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29FBDF0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olor w:val="000000" w:themeColor="text1"/>
          <w:sz w:val="32"/>
          <w:szCs w:val="32"/>
          <w14:textFill>
            <w14:solidFill>
              <w14:schemeClr w14:val="tx1"/>
            </w14:solidFill>
          </w14:textFill>
        </w:rPr>
        <w:t>本部门202</w:t>
      </w:r>
      <w:r>
        <w:rPr>
          <w:rFonts w:hint="eastAsia" w:ascii="Times New Roman" w:hAnsi="Times New Roman" w:eastAsia="仿宋_GB2312"/>
          <w:color w:val="000000" w:themeColor="text1"/>
          <w:sz w:val="32"/>
          <w:szCs w:val="32"/>
          <w:lang w:val="en-US" w:eastAsia="zh-CN"/>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年度政府采购支出总额</w:t>
      </w:r>
      <w:r>
        <w:rPr>
          <w:rFonts w:hint="eastAsia" w:ascii="Times New Roman" w:hAnsi="Times New Roman" w:eastAsia="仿宋_GB2312"/>
          <w:color w:val="000000" w:themeColor="text1"/>
          <w:sz w:val="32"/>
          <w:szCs w:val="32"/>
          <w:lang w:val="en-US" w:eastAsia="zh-CN"/>
          <w14:textFill>
            <w14:solidFill>
              <w14:schemeClr w14:val="tx1"/>
            </w14:solidFill>
          </w14:textFill>
        </w:rPr>
        <w:t>171.78</w:t>
      </w:r>
      <w:r>
        <w:rPr>
          <w:rFonts w:hint="eastAsia" w:ascii="Times New Roman" w:hAnsi="Times New Roman" w:eastAsia="仿宋_GB2312"/>
          <w:color w:val="000000" w:themeColor="text1"/>
          <w:sz w:val="32"/>
          <w:szCs w:val="32"/>
          <w14:textFill>
            <w14:solidFill>
              <w14:schemeClr w14:val="tx1"/>
            </w14:solidFill>
          </w14:textFill>
        </w:rPr>
        <w:t>万元，其中：政府采购货物支出</w:t>
      </w:r>
      <w:r>
        <w:rPr>
          <w:rFonts w:hint="eastAsia" w:ascii="Times New Roman" w:hAnsi="Times New Roman" w:eastAsia="仿宋_GB2312"/>
          <w:color w:val="000000" w:themeColor="text1"/>
          <w:sz w:val="32"/>
          <w:szCs w:val="32"/>
          <w:lang w:val="en-US" w:eastAsia="zh-CN"/>
          <w14:textFill>
            <w14:solidFill>
              <w14:schemeClr w14:val="tx1"/>
            </w14:solidFill>
          </w14:textFill>
        </w:rPr>
        <w:t>82.85</w:t>
      </w:r>
      <w:r>
        <w:rPr>
          <w:rFonts w:hint="eastAsia" w:ascii="Times New Roman" w:hAnsi="Times New Roman" w:eastAsia="仿宋_GB2312"/>
          <w:color w:val="000000" w:themeColor="text1"/>
          <w:sz w:val="32"/>
          <w:szCs w:val="32"/>
          <w14:textFill>
            <w14:solidFill>
              <w14:schemeClr w14:val="tx1"/>
            </w14:solidFill>
          </w14:textFill>
        </w:rPr>
        <w:t>万元、政府采购工程支出</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万元、政府采购服务支出</w:t>
      </w:r>
      <w:r>
        <w:rPr>
          <w:rFonts w:hint="eastAsia" w:ascii="Times New Roman" w:hAnsi="Times New Roman" w:eastAsia="仿宋_GB2312"/>
          <w:color w:val="000000" w:themeColor="text1"/>
          <w:sz w:val="32"/>
          <w:szCs w:val="32"/>
          <w:lang w:val="en-US" w:eastAsia="zh-CN"/>
          <w14:textFill>
            <w14:solidFill>
              <w14:schemeClr w14:val="tx1"/>
            </w14:solidFill>
          </w14:textFill>
        </w:rPr>
        <w:t>88.93</w:t>
      </w:r>
      <w:r>
        <w:rPr>
          <w:rFonts w:hint="eastAsia" w:ascii="Times New Roman" w:hAnsi="Times New Roman" w:eastAsia="仿宋_GB2312"/>
          <w:color w:val="000000" w:themeColor="text1"/>
          <w:sz w:val="32"/>
          <w:szCs w:val="32"/>
          <w14:textFill>
            <w14:solidFill>
              <w14:schemeClr w14:val="tx1"/>
            </w14:solidFill>
          </w14:textFill>
        </w:rPr>
        <w:t>万元。授予中小企业合同金额</w:t>
      </w:r>
      <w:r>
        <w:rPr>
          <w:rFonts w:hint="eastAsia" w:ascii="Times New Roman" w:hAnsi="Times New Roman" w:eastAsia="仿宋_GB2312"/>
          <w:color w:val="000000" w:themeColor="text1"/>
          <w:sz w:val="32"/>
          <w:szCs w:val="32"/>
          <w:lang w:val="en-US" w:eastAsia="zh-CN"/>
          <w14:textFill>
            <w14:solidFill>
              <w14:schemeClr w14:val="tx1"/>
            </w14:solidFill>
          </w14:textFill>
        </w:rPr>
        <w:t>171.78</w:t>
      </w:r>
      <w:r>
        <w:rPr>
          <w:rFonts w:hint="eastAsia" w:ascii="Times New Roman" w:hAnsi="Times New Roman" w:eastAsia="仿宋_GB2312"/>
          <w:color w:val="000000" w:themeColor="text1"/>
          <w:sz w:val="32"/>
          <w:szCs w:val="32"/>
          <w14:textFill>
            <w14:solidFill>
              <w14:schemeClr w14:val="tx1"/>
            </w14:solidFill>
          </w14:textFill>
        </w:rPr>
        <w:t>万元</w:t>
      </w:r>
      <w:r>
        <w:rPr>
          <w:rFonts w:hint="eastAsia" w:ascii="仿宋_GB2312" w:hAnsi="仿宋_GB2312" w:eastAsia="仿宋_GB2312" w:cs="仿宋_GB2312"/>
          <w:sz w:val="32"/>
          <w:szCs w:val="32"/>
        </w:rPr>
        <w:t>，占政府采购支出总额的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171.7</w:t>
      </w:r>
      <w:bookmarkStart w:id="0" w:name="_GoBack"/>
      <w:bookmarkEnd w:id="0"/>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459700AD">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46DA5E5">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辆，其他用车主要是</w:t>
      </w:r>
      <w:r>
        <w:rPr>
          <w:rFonts w:hint="eastAsia" w:ascii="仿宋" w:hAnsi="仿宋" w:eastAsia="仿宋" w:cs="仿宋"/>
          <w:color w:val="000000"/>
          <w:sz w:val="32"/>
          <w:szCs w:val="32"/>
          <w:lang w:val="en-US" w:eastAsia="zh-CN"/>
        </w:rPr>
        <w:t>单位公务用车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740E4AB2">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2C62F3D5">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3A209F7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964BEC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w:t>
      </w:r>
      <w:r>
        <w:rPr>
          <w:rFonts w:hint="eastAsia" w:ascii="仿宋_GB2312" w:hAnsi="仿宋_GB2312" w:eastAsia="仿宋_GB2312" w:cs="仿宋_GB2312"/>
          <w:b w:val="0"/>
          <w:bCs w:val="0"/>
          <w:color w:val="auto"/>
          <w:kern w:val="0"/>
          <w:sz w:val="32"/>
          <w:szCs w:val="32"/>
          <w:lang w:val="en-US" w:eastAsia="zh-CN" w:bidi="ar-SA"/>
        </w:rPr>
        <w:t>算支出3107.94万元，</w:t>
      </w:r>
      <w:r>
        <w:rPr>
          <w:rFonts w:hint="eastAsia" w:ascii="仿宋_GB2312" w:hAnsi="仿宋_GB2312" w:eastAsia="仿宋_GB2312" w:cs="仿宋_GB2312"/>
          <w:b w:val="0"/>
          <w:bCs w:val="0"/>
          <w:color w:val="000000"/>
          <w:kern w:val="0"/>
          <w:sz w:val="32"/>
          <w:szCs w:val="32"/>
          <w:lang w:val="en-US" w:eastAsia="zh-CN" w:bidi="ar-SA"/>
        </w:rPr>
        <w:t>政府性基金预算支出0万元，国有资本经营预算支出0万元。从评价情况来看，整体支出绩效评价中，2023年整体支出</w:t>
      </w:r>
      <w:r>
        <w:rPr>
          <w:rFonts w:hint="eastAsia" w:ascii="仿宋_GB2312" w:hAnsi="仿宋_GB2312" w:eastAsia="仿宋_GB2312" w:cs="仿宋_GB2312"/>
          <w:b w:val="0"/>
          <w:bCs w:val="0"/>
          <w:color w:val="auto"/>
          <w:kern w:val="0"/>
          <w:sz w:val="32"/>
          <w:szCs w:val="32"/>
          <w:lang w:val="en-US" w:eastAsia="zh-CN" w:bidi="ar-SA"/>
        </w:rPr>
        <w:t>3197.46</w:t>
      </w:r>
      <w:r>
        <w:rPr>
          <w:rFonts w:hint="eastAsia" w:ascii="仿宋_GB2312" w:hAnsi="仿宋_GB2312" w:eastAsia="仿宋_GB2312" w:cs="仿宋_GB2312"/>
          <w:b w:val="0"/>
          <w:bCs w:val="0"/>
          <w:color w:val="000000"/>
          <w:kern w:val="0"/>
          <w:sz w:val="32"/>
          <w:szCs w:val="32"/>
          <w:lang w:val="en-US" w:eastAsia="zh-CN" w:bidi="ar-SA"/>
        </w:rPr>
        <w:t>万元，其中：基本支出1323.41万元，项目支出1874.05万元，本单位整体支出绩效自评综合评分97.94分，评价结果等次为优。</w:t>
      </w:r>
    </w:p>
    <w:p w14:paraId="70AEB0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val="0"/>
          <w:bCs w:val="0"/>
          <w:color w:val="auto"/>
          <w:kern w:val="0"/>
          <w:sz w:val="32"/>
          <w:szCs w:val="32"/>
          <w:lang w:val="en-US" w:eastAsia="zh-CN" w:bidi="ar-SA"/>
        </w:rPr>
        <w:t>组织对一般公共预算项目支出全面开展绩效自评，项目3个，共涉及资金1874.05万元，占一般公共预算项目支出总额的100%。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情况是：住房保障事务管理经费项目自评得分96.97分，非税收入执收成本项目自评得分97分，保障房建设资金项目自评得分98分，评价结果等次为优。</w:t>
      </w:r>
    </w:p>
    <w:p w14:paraId="34ADBAA4">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D9C08F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根据年初设定的绩效目标，绩效自评得分为97.94分。</w:t>
      </w:r>
      <w:r>
        <w:rPr>
          <w:rFonts w:hint="eastAsia" w:ascii="仿宋_GB2312" w:hAnsi="仿宋_GB2312" w:eastAsia="仿宋_GB2312" w:cs="仿宋_GB2312"/>
          <w:b w:val="0"/>
          <w:bCs w:val="0"/>
          <w:color w:val="auto"/>
          <w:kern w:val="0"/>
          <w:sz w:val="32"/>
          <w:szCs w:val="32"/>
          <w:lang w:val="en-US" w:eastAsia="zh-CN" w:bidi="ar-SA"/>
        </w:rPr>
        <w:t>全年预算数为1380.68万元，执行数为3197.46万元，</w:t>
      </w:r>
      <w:r>
        <w:rPr>
          <w:rFonts w:hint="eastAsia" w:ascii="仿宋_GB2312" w:hAnsi="仿宋_GB2312" w:eastAsia="仿宋_GB2312" w:cs="仿宋_GB2312"/>
          <w:b w:val="0"/>
          <w:bCs w:val="0"/>
          <w:color w:val="000000"/>
          <w:kern w:val="0"/>
          <w:sz w:val="32"/>
          <w:szCs w:val="32"/>
          <w:lang w:val="en-US" w:eastAsia="zh-CN" w:bidi="ar-SA"/>
        </w:rPr>
        <w:t>完成预算的231.59%。绩效目标完成情况：</w:t>
      </w:r>
    </w:p>
    <w:p w14:paraId="1BCCE00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是2023年度总体目标已圆满完成。主要有加快发展保障性租赁住房，公租房建设持续推进，出台了《岳阳市保障性租赁住房发展指导意见》《岳阳市公共租赁住房管理办法》，指导和督促市中心城区开工建设一批保障性租赁住房，争取中央和省级专项补贴资金。扎实做好公租房运营管理，完成租金收缴130万元。全力抓好物业维修资金归集。完成物业维修资金归集1亿元的目标，实现增值收益900万元。切实规范物业管理服务活动。指导、督促属地政府（管委会）做好物业管理服务活动，建立市、区联动工作机制。启动《岳阳市物业管理条例》立法编制工作。加大白蚁防治和新技术推广力度工作。组织开展白蚁防治科研活动，完成中心城区白蚁防治相关工作。协助局机关做好住房租赁相关工作，扎实做好市场租赁调查研究，启动房屋租赁平台搭建及相关配套措施文件拟制等相关工作。强力推进老旧小区改造、既有住宅加装电梯，以及棚户区改造收尾等工作，争取中央专项补贴资金，力争获得全省先进。</w:t>
      </w:r>
    </w:p>
    <w:p w14:paraId="3610C76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是专项支出方面。2023年财政资金拨入1874.05万元，主要用于保障房建设、老旧小区改造以及运行维护经费，其中市财政配套资金1500万元用于已有保障房项目的建设，主要是用于东井岭公租房、春兰家园保障房建设支出以及太子庙逸馨花园收购款的支付；市级财政安排我中心业务工作经费支出146.86万元，</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主要用于</w:t>
      </w:r>
      <w:r>
        <w:rPr>
          <w:rFonts w:hint="eastAsia" w:ascii="仿宋" w:hAnsi="仿宋" w:eastAsia="仿宋" w:cs="仿宋"/>
          <w:color w:val="000000" w:themeColor="text1"/>
          <w:sz w:val="32"/>
          <w:szCs w:val="32"/>
          <w:u w:val="none"/>
          <w:lang w:val="en-US" w:eastAsia="zh-CN"/>
          <w14:textFill>
            <w14:solidFill>
              <w14:schemeClr w14:val="tx1"/>
            </w14:solidFill>
          </w14:textFill>
        </w:rPr>
        <w:t>2023</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年中心开展白蚁防治、乡村振兴等支出</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w:t>
      </w:r>
      <w:r>
        <w:rPr>
          <w:rFonts w:hint="eastAsia" w:ascii="仿宋_GB2312" w:hAnsi="仿宋_GB2312" w:eastAsia="仿宋_GB2312" w:cs="仿宋_GB2312"/>
          <w:b w:val="0"/>
          <w:bCs w:val="0"/>
          <w:color w:val="000000"/>
          <w:kern w:val="0"/>
          <w:sz w:val="32"/>
          <w:szCs w:val="32"/>
          <w:lang w:val="en-US" w:eastAsia="zh-CN" w:bidi="ar-SA"/>
        </w:rPr>
        <w:t>运行维护经费116.29万元，</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主要用于现有保障性住房维护和管理等</w:t>
      </w:r>
      <w:r>
        <w:rPr>
          <w:rFonts w:hint="eastAsia" w:ascii="仿宋_GB2312" w:hAnsi="仿宋_GB2312" w:eastAsia="仿宋_GB2312" w:cs="仿宋_GB2312"/>
          <w:b w:val="0"/>
          <w:bCs w:val="0"/>
          <w:color w:val="000000"/>
          <w:kern w:val="0"/>
          <w:sz w:val="32"/>
          <w:szCs w:val="32"/>
          <w:lang w:val="en-US" w:eastAsia="zh-CN" w:bidi="ar-SA"/>
        </w:rPr>
        <w:t>，老旧小区配套改造经费32.81万元，</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主要用于佘家垅老旧小区改造工程</w:t>
      </w:r>
      <w:r>
        <w:rPr>
          <w:rFonts w:hint="eastAsia" w:ascii="仿宋_GB2312" w:hAnsi="仿宋_GB2312" w:eastAsia="仿宋_GB2312" w:cs="仿宋_GB2312"/>
          <w:b w:val="0"/>
          <w:bCs w:val="0"/>
          <w:color w:val="000000"/>
          <w:kern w:val="0"/>
          <w:sz w:val="32"/>
          <w:szCs w:val="32"/>
          <w:lang w:val="en-US" w:eastAsia="zh-CN" w:bidi="ar-SA"/>
        </w:rPr>
        <w:t>；工作经费及其他资金为78.09万元。</w:t>
      </w:r>
    </w:p>
    <w:p w14:paraId="549E2F7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是成本控制方面。在人员支出、公用支出方面严格按照年初绩效预设认真组织实施,严格执行财经纪律和相关管理规定，做到各项收支安排使用符合财政政策的要求；在专项经费使用上，做好保障房管理维护业务工作的同时，严格落实厉行节约的原则，控制成本，多干实事，不超预算。实行了先有预算，后有执行，用钱必问效，无效必问责的机制，取得了明显的经济效益和社会效益。</w:t>
      </w:r>
    </w:p>
    <w:p w14:paraId="32DB825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olor w:val="FF0000"/>
          <w:sz w:val="32"/>
          <w:szCs w:val="32"/>
        </w:rPr>
      </w:pPr>
      <w:r>
        <w:rPr>
          <w:rFonts w:hint="eastAsia" w:ascii="仿宋_GB2312" w:hAnsi="仿宋_GB2312" w:eastAsia="仿宋_GB2312" w:cs="仿宋_GB2312"/>
          <w:b w:val="0"/>
          <w:bCs w:val="0"/>
          <w:color w:val="000000"/>
          <w:kern w:val="0"/>
          <w:sz w:val="32"/>
          <w:szCs w:val="32"/>
          <w:lang w:val="en-US" w:eastAsia="zh-CN" w:bidi="ar-SA"/>
        </w:rPr>
        <w:t>四是</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社会效益方面</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。根据中心职能，规范</w:t>
      </w:r>
      <w:r>
        <w:rPr>
          <w:rFonts w:hint="eastAsia" w:ascii="仿宋" w:hAnsi="仿宋" w:eastAsia="仿宋" w:cs="仿宋"/>
          <w:color w:val="000000" w:themeColor="text1"/>
          <w:sz w:val="32"/>
          <w:szCs w:val="32"/>
          <w:u w:val="none"/>
          <w:lang w:val="en-US" w:eastAsia="zh-CN"/>
          <w14:textFill>
            <w14:solidFill>
              <w14:schemeClr w14:val="tx1"/>
            </w14:solidFill>
          </w14:textFill>
        </w:rPr>
        <w:t>496</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户保障房的管理，在社会效益方面，能较好的解决中低收入家庭的住房困难，同时建立的准入退出机制，能更好地保障低收入家庭解决住房问题，从而提升人民的居住满意度。</w:t>
      </w:r>
    </w:p>
    <w:p w14:paraId="79AD7C2A">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2D4463B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存在的主要问题及原因：一是</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部分干部职工</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的工作积极性有待提高</w:t>
      </w:r>
      <w:r>
        <w:rPr>
          <w:rFonts w:hint="eastAsia" w:ascii="仿宋_GB2312" w:hAnsi="仿宋_GB2312" w:eastAsia="仿宋_GB2312" w:cs="仿宋_GB2312"/>
          <w:b w:val="0"/>
          <w:bCs w:val="0"/>
          <w:color w:val="000000"/>
          <w:kern w:val="0"/>
          <w:sz w:val="32"/>
          <w:szCs w:val="32"/>
          <w:lang w:val="en-US" w:eastAsia="zh-CN" w:bidi="ar-SA"/>
        </w:rPr>
        <w:t>；二是绩效评价指标需要进一步细化完善。主要由于中心财政支出绩效评价涉及的部门和相关业务类型不同，使得绩效评价指标细化程度不够，对绩效自评的准确性有一定影响。下一步改进措施：一是抓好保障房的管理、维护主业，提升管理标准和水平，向规范化、信息化迈进；二是</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充分发挥党建工作的重要作用，从思想政治工作上引领人、提高人、活跃人、激励人、增强干部职工对单位的归属感和认同感，充分调动干部职工的</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工作</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积极性</w:t>
      </w:r>
      <w:r>
        <w:rPr>
          <w:rFonts w:hint="eastAsia" w:ascii="仿宋_GB2312" w:hAnsi="仿宋_GB2312" w:eastAsia="仿宋_GB2312" w:cs="仿宋_GB2312"/>
          <w:b w:val="0"/>
          <w:bCs w:val="0"/>
          <w:color w:val="000000"/>
          <w:kern w:val="0"/>
          <w:sz w:val="32"/>
          <w:szCs w:val="32"/>
          <w:lang w:val="en-US" w:eastAsia="zh-CN" w:bidi="ar-SA"/>
        </w:rPr>
        <w:t>；三是为保障绩效管理工作持续高效开展，需要加强对各部门相关人员的培训学习，提高相关工作人员对预算绩效管理业务的熟练程度，力求对绩效评价工作重点把握到位。</w:t>
      </w:r>
    </w:p>
    <w:p w14:paraId="208C56A0">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18C3E94D">
      <w:pPr>
        <w:pStyle w:val="16"/>
        <w:jc w:val="both"/>
        <w:rPr>
          <w:sz w:val="72"/>
          <w:szCs w:val="72"/>
        </w:rPr>
      </w:pPr>
    </w:p>
    <w:p w14:paraId="42726225">
      <w:pPr>
        <w:pStyle w:val="16"/>
        <w:jc w:val="center"/>
        <w:rPr>
          <w:rFonts w:hint="eastAsia" w:ascii="方正小标宋_GBK" w:hAnsi="方正小标宋_GBK" w:eastAsia="方正小标宋_GBK" w:cs="方正小标宋_GBK"/>
          <w:sz w:val="70"/>
          <w:szCs w:val="70"/>
          <w:lang w:eastAsia="zh-CN"/>
        </w:rPr>
      </w:pPr>
    </w:p>
    <w:p w14:paraId="75951D28">
      <w:pPr>
        <w:pStyle w:val="16"/>
        <w:jc w:val="center"/>
        <w:rPr>
          <w:rFonts w:hint="eastAsia" w:ascii="方正小标宋_GBK" w:hAnsi="方正小标宋_GBK" w:eastAsia="方正小标宋_GBK" w:cs="方正小标宋_GBK"/>
          <w:sz w:val="70"/>
          <w:szCs w:val="70"/>
          <w:lang w:eastAsia="zh-CN"/>
        </w:rPr>
      </w:pPr>
    </w:p>
    <w:p w14:paraId="5107C5CE">
      <w:pPr>
        <w:pStyle w:val="16"/>
        <w:jc w:val="center"/>
        <w:rPr>
          <w:rFonts w:hint="eastAsia" w:ascii="方正小标宋_GBK" w:hAnsi="方正小标宋_GBK" w:eastAsia="方正小标宋_GBK" w:cs="方正小标宋_GBK"/>
          <w:sz w:val="72"/>
          <w:szCs w:val="72"/>
        </w:rPr>
      </w:pPr>
    </w:p>
    <w:p w14:paraId="2E3E6FA0">
      <w:pPr>
        <w:pStyle w:val="16"/>
        <w:jc w:val="both"/>
        <w:rPr>
          <w:rFonts w:hint="eastAsia" w:ascii="方正小标宋_GBK" w:hAnsi="方正小标宋_GBK" w:eastAsia="方正小标宋_GBK" w:cs="方正小标宋_GBK"/>
          <w:sz w:val="72"/>
          <w:szCs w:val="72"/>
        </w:rPr>
      </w:pPr>
    </w:p>
    <w:p w14:paraId="04629A9F">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EBCCBEA">
      <w:pPr>
        <w:jc w:val="center"/>
        <w:rPr>
          <w:rFonts w:hint="eastAsia" w:ascii="方正小标宋_GBK" w:hAnsi="方正小标宋_GBK" w:eastAsia="方正小标宋_GBK" w:cs="方正小标宋_GBK"/>
          <w:color w:val="000000"/>
          <w:kern w:val="0"/>
          <w:sz w:val="70"/>
          <w:szCs w:val="70"/>
        </w:rPr>
      </w:pPr>
    </w:p>
    <w:p w14:paraId="3A152EEE">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B9A6ECA">
      <w:pPr>
        <w:pStyle w:val="10"/>
      </w:pPr>
    </w:p>
    <w:p w14:paraId="657433F8">
      <w:pPr>
        <w:pStyle w:val="6"/>
      </w:pPr>
    </w:p>
    <w:p w14:paraId="1195987F"/>
    <w:p w14:paraId="6B5B0261">
      <w:pPr>
        <w:pStyle w:val="10"/>
      </w:pPr>
    </w:p>
    <w:p w14:paraId="5BF8DAD6">
      <w:pPr>
        <w:pStyle w:val="6"/>
      </w:pPr>
    </w:p>
    <w:p w14:paraId="76A99888"/>
    <w:p w14:paraId="14F27019">
      <w:pPr>
        <w:pStyle w:val="10"/>
      </w:pPr>
    </w:p>
    <w:p w14:paraId="16905F85">
      <w:pPr>
        <w:pStyle w:val="6"/>
      </w:pPr>
    </w:p>
    <w:p w14:paraId="49430A2C"/>
    <w:p w14:paraId="20973721">
      <w:pPr>
        <w:pStyle w:val="10"/>
      </w:pPr>
    </w:p>
    <w:p w14:paraId="7BEC4728">
      <w:pPr>
        <w:pStyle w:val="6"/>
      </w:pPr>
    </w:p>
    <w:p w14:paraId="28C82263"/>
    <w:p w14:paraId="44710686">
      <w:pPr>
        <w:pStyle w:val="10"/>
      </w:pPr>
    </w:p>
    <w:p w14:paraId="70696DA5">
      <w:pPr>
        <w:pStyle w:val="6"/>
      </w:pPr>
    </w:p>
    <w:p w14:paraId="21C5E417"/>
    <w:p w14:paraId="08B9FF1B">
      <w:pPr>
        <w:pStyle w:val="10"/>
      </w:pPr>
    </w:p>
    <w:p w14:paraId="5C9E3EBA"/>
    <w:p w14:paraId="79B90305">
      <w:pPr>
        <w:pStyle w:val="10"/>
      </w:pPr>
    </w:p>
    <w:p w14:paraId="60A079D6">
      <w:pPr>
        <w:pStyle w:val="6"/>
        <w:sectPr>
          <w:pgSz w:w="11906" w:h="16838"/>
          <w:pgMar w:top="720" w:right="720" w:bottom="720" w:left="720" w:header="851" w:footer="992" w:gutter="0"/>
          <w:cols w:space="425" w:num="1"/>
          <w:docGrid w:type="linesAndChars" w:linePitch="312" w:charSpace="0"/>
        </w:sectPr>
      </w:pPr>
    </w:p>
    <w:p w14:paraId="5F36DD26"/>
    <w:p w14:paraId="0CAFAB3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30FA35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0746ED0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三、基本支出，指保障机构正常运转、完成日常工作任务而发生的人员支出和公用支出。</w:t>
      </w:r>
    </w:p>
    <w:p w14:paraId="49BF2DC7">
      <w:pPr>
        <w:ind w:firstLine="640" w:firstLineChars="200"/>
        <w:jc w:val="left"/>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四、项目支出，指在基本支出之外为完成特定行政任务和事业发展目标所发生的支出。</w:t>
      </w:r>
    </w:p>
    <w:p w14:paraId="7A68D767">
      <w:pPr>
        <w:pStyle w:val="6"/>
      </w:pPr>
    </w:p>
    <w:p w14:paraId="44369D2C"/>
    <w:p w14:paraId="3A6F306F">
      <w:pPr>
        <w:pStyle w:val="10"/>
      </w:pPr>
    </w:p>
    <w:p w14:paraId="38DED83B">
      <w:pPr>
        <w:pStyle w:val="6"/>
      </w:pPr>
    </w:p>
    <w:p w14:paraId="65E9C91C"/>
    <w:p w14:paraId="4252364F">
      <w:pPr>
        <w:pStyle w:val="10"/>
      </w:pPr>
    </w:p>
    <w:p w14:paraId="2BE0963F">
      <w:pPr>
        <w:pStyle w:val="6"/>
      </w:pPr>
    </w:p>
    <w:p w14:paraId="5EB4F5D6"/>
    <w:p w14:paraId="4EA9CE2A">
      <w:pPr>
        <w:pStyle w:val="10"/>
      </w:pPr>
    </w:p>
    <w:p w14:paraId="59B01862">
      <w:pPr>
        <w:pStyle w:val="6"/>
      </w:pPr>
    </w:p>
    <w:p w14:paraId="0952B863"/>
    <w:p w14:paraId="5CF20582">
      <w:pPr>
        <w:pStyle w:val="10"/>
      </w:pPr>
    </w:p>
    <w:p w14:paraId="5A502D82">
      <w:pPr>
        <w:pStyle w:val="6"/>
      </w:pPr>
    </w:p>
    <w:p w14:paraId="3CCFD21F"/>
    <w:p w14:paraId="5FAD6688">
      <w:pPr>
        <w:pStyle w:val="10"/>
      </w:pPr>
    </w:p>
    <w:p w14:paraId="1A121A5A">
      <w:pPr>
        <w:pStyle w:val="6"/>
        <w:sectPr>
          <w:pgSz w:w="11906" w:h="16838"/>
          <w:pgMar w:top="720" w:right="720" w:bottom="720" w:left="720" w:header="851" w:footer="992" w:gutter="0"/>
          <w:cols w:space="425" w:num="1"/>
          <w:docGrid w:type="linesAndChars" w:linePitch="312" w:charSpace="0"/>
        </w:sectPr>
      </w:pPr>
    </w:p>
    <w:p w14:paraId="4B07F5D8"/>
    <w:p w14:paraId="7432E829">
      <w:pPr>
        <w:pStyle w:val="3"/>
      </w:pPr>
    </w:p>
    <w:p w14:paraId="0707FA4A"/>
    <w:p w14:paraId="1B5D18FC">
      <w:pPr>
        <w:pStyle w:val="3"/>
      </w:pPr>
    </w:p>
    <w:p w14:paraId="2D0B7472">
      <w:pPr>
        <w:pStyle w:val="3"/>
      </w:pPr>
    </w:p>
    <w:p w14:paraId="0CA117B6"/>
    <w:p w14:paraId="06B1F784">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488B923">
      <w:pPr>
        <w:pStyle w:val="16"/>
        <w:jc w:val="both"/>
        <w:rPr>
          <w:rFonts w:hint="eastAsia" w:ascii="方正小标宋_GBK" w:hAnsi="方正小标宋_GBK" w:eastAsia="方正小标宋_GBK" w:cs="方正小标宋_GBK"/>
          <w:sz w:val="70"/>
          <w:szCs w:val="70"/>
          <w:lang w:eastAsia="zh-CN"/>
        </w:rPr>
      </w:pPr>
    </w:p>
    <w:p w14:paraId="68A1AC52">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2F8453AF">
      <w:pPr>
        <w:ind w:firstLine="643" w:firstLineChars="200"/>
        <w:jc w:val="left"/>
        <w:rPr>
          <w:rFonts w:hint="eastAsia" w:ascii="宋体" w:hAnsi="宋体" w:eastAsia="宋体" w:cs="黑体"/>
          <w:b/>
          <w:color w:val="000000"/>
          <w:kern w:val="0"/>
          <w:sz w:val="32"/>
          <w:szCs w:val="32"/>
          <w:lang w:val="en-US" w:eastAsia="zh-CN"/>
        </w:rPr>
      </w:pPr>
    </w:p>
    <w:p w14:paraId="6E34C3D2">
      <w:pPr>
        <w:ind w:firstLine="643"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79E2EEAF">
      <w:pPr>
        <w:ind w:firstLine="643"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257C90E7">
      <w:r>
        <w:br w:type="page"/>
      </w:r>
    </w:p>
    <w:p w14:paraId="5631CE45">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p>
    <w:p w14:paraId="54CB85ED">
      <w:pPr>
        <w:pStyle w:val="2"/>
        <w:ind w:left="0" w:leftChars="0" w:firstLine="0" w:firstLineChars="0"/>
        <w:rPr>
          <w:rFonts w:hint="default"/>
          <w:color w:val="000000" w:themeColor="text1"/>
          <w14:textFill>
            <w14:solidFill>
              <w14:schemeClr w14:val="tx1"/>
            </w14:solidFill>
          </w14:textFill>
        </w:rPr>
      </w:pPr>
    </w:p>
    <w:p w14:paraId="6877CDC8">
      <w:pPr>
        <w:pStyle w:val="2"/>
        <w:ind w:left="0" w:leftChars="0" w:firstLine="0" w:firstLineChars="0"/>
        <w:rPr>
          <w:rFonts w:hint="default"/>
          <w:color w:val="000000" w:themeColor="text1"/>
          <w14:textFill>
            <w14:solidFill>
              <w14:schemeClr w14:val="tx1"/>
            </w14:solidFill>
          </w14:textFill>
        </w:rPr>
      </w:pPr>
    </w:p>
    <w:p w14:paraId="34AA1071">
      <w:pPr>
        <w:pStyle w:val="2"/>
        <w:ind w:left="0" w:leftChars="0" w:firstLine="0" w:firstLineChars="0"/>
        <w:rPr>
          <w:rFonts w:hint="default"/>
          <w:color w:val="000000" w:themeColor="text1"/>
          <w14:textFill>
            <w14:solidFill>
              <w14:schemeClr w14:val="tx1"/>
            </w14:solidFill>
          </w14:textFill>
        </w:rPr>
      </w:pPr>
    </w:p>
    <w:p w14:paraId="0715FCDC">
      <w:pPr>
        <w:keepNext w:val="0"/>
        <w:keepLines w:val="0"/>
        <w:pageBreakBefore w:val="0"/>
        <w:widowControl w:val="0"/>
        <w:kinsoku/>
        <w:wordWrap/>
        <w:overflowPunct/>
        <w:topLinePunct w:val="0"/>
        <w:autoSpaceDE/>
        <w:autoSpaceDN/>
        <w:bidi w:val="0"/>
        <w:adjustRightInd/>
        <w:snapToGrid/>
        <w:spacing w:line="900" w:lineRule="exact"/>
        <w:ind w:left="-210" w:leftChars="-100" w:right="-69" w:rightChars="-33" w:firstLine="0" w:firstLineChars="0"/>
        <w:jc w:val="center"/>
        <w:textAlignment w:val="auto"/>
        <w:rPr>
          <w:rFonts w:hint="default" w:ascii="Times New Roman" w:hAnsi="Times New Roman" w:eastAsia="方正小标宋简体" w:cs="Times New Roman"/>
          <w:b/>
          <w:bCs/>
          <w:color w:val="000000" w:themeColor="text1"/>
          <w:sz w:val="44"/>
          <w:szCs w:val="44"/>
          <w:highlight w:val="none"/>
          <w14:textFill>
            <w14:solidFill>
              <w14:schemeClr w14:val="tx1"/>
            </w14:solidFill>
          </w14:textFill>
        </w:rPr>
      </w:pPr>
      <w:r>
        <w:rPr>
          <w:rFonts w:hint="default" w:ascii="Times New Roman" w:hAnsi="Times New Roman" w:eastAsia="方正小标宋简体" w:cs="Times New Roman"/>
          <w:b/>
          <w:bCs/>
          <w:color w:val="000000" w:themeColor="text1"/>
          <w:sz w:val="44"/>
          <w:szCs w:val="44"/>
          <w:highlight w:val="none"/>
          <w14:textFill>
            <w14:solidFill>
              <w14:schemeClr w14:val="tx1"/>
            </w14:solidFill>
          </w14:textFill>
        </w:rPr>
        <w:t>202</w:t>
      </w:r>
      <w:r>
        <w:rPr>
          <w:rFonts w:hint="default" w:ascii="Times New Roman" w:hAnsi="Times New Roman" w:eastAsia="方正小标宋简体" w:cs="Times New Roman"/>
          <w:b/>
          <w:bCs/>
          <w:color w:val="000000" w:themeColor="text1"/>
          <w:sz w:val="44"/>
          <w:szCs w:val="44"/>
          <w:highlight w:val="none"/>
          <w:lang w:val="en-US" w:eastAsia="zh-CN"/>
          <w14:textFill>
            <w14:solidFill>
              <w14:schemeClr w14:val="tx1"/>
            </w14:solidFill>
          </w14:textFill>
        </w:rPr>
        <w:t>3</w:t>
      </w:r>
      <w:r>
        <w:rPr>
          <w:rFonts w:hint="default" w:ascii="Times New Roman" w:hAnsi="Times New Roman" w:eastAsia="方正小标宋简体" w:cs="Times New Roman"/>
          <w:b/>
          <w:bCs/>
          <w:color w:val="000000" w:themeColor="text1"/>
          <w:sz w:val="44"/>
          <w:szCs w:val="44"/>
          <w:highlight w:val="none"/>
          <w14:textFill>
            <w14:solidFill>
              <w14:schemeClr w14:val="tx1"/>
            </w14:solidFill>
          </w14:textFill>
        </w:rPr>
        <w:t>年度岳阳市住房保障服务中心整体支出绩效自评报告</w:t>
      </w:r>
    </w:p>
    <w:p w14:paraId="786B0286">
      <w:pPr>
        <w:jc w:val="center"/>
        <w:rPr>
          <w:rFonts w:hint="default" w:ascii="Times New Roman" w:hAnsi="Times New Roman" w:eastAsia="楷体_GB2312" w:cs="Times New Roman"/>
          <w:b/>
          <w:color w:val="000000" w:themeColor="text1"/>
          <w:sz w:val="32"/>
          <w:szCs w:val="32"/>
          <w:highlight w:val="none"/>
          <w14:textFill>
            <w14:solidFill>
              <w14:schemeClr w14:val="tx1"/>
            </w14:solidFill>
          </w14:textFill>
        </w:rPr>
      </w:pPr>
    </w:p>
    <w:p w14:paraId="21A961BF">
      <w:pPr>
        <w:jc w:val="both"/>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1C964B3D">
      <w:pPr>
        <w:pStyle w:val="2"/>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0FB2DEE0">
      <w:pPr>
        <w:pStyle w:val="2"/>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4E5CE3E7">
      <w:pPr>
        <w:pStyle w:val="2"/>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61ED85E7">
      <w:pPr>
        <w:jc w:val="center"/>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1B54E874">
      <w:pPr>
        <w:jc w:val="both"/>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52C068CF">
      <w:pPr>
        <w:jc w:val="center"/>
        <w:rPr>
          <w:rFonts w:hint="default" w:ascii="Times New Roman" w:hAnsi="Times New Roman" w:eastAsia="黑体" w:cs="Times New Roman"/>
          <w:color w:val="000000" w:themeColor="text1"/>
          <w:sz w:val="32"/>
          <w:szCs w:val="32"/>
          <w:highlight w:val="none"/>
          <w14:textFill>
            <w14:solidFill>
              <w14:schemeClr w14:val="tx1"/>
            </w14:solidFill>
          </w14:textFill>
        </w:rPr>
      </w:pPr>
    </w:p>
    <w:p w14:paraId="700C9390">
      <w:pPr>
        <w:pStyle w:val="2"/>
        <w:rPr>
          <w:rFonts w:hint="default"/>
          <w:color w:val="000000" w:themeColor="text1"/>
          <w14:textFill>
            <w14:solidFill>
              <w14:schemeClr w14:val="tx1"/>
            </w14:solidFill>
          </w14:textFill>
        </w:rPr>
      </w:pPr>
    </w:p>
    <w:p w14:paraId="6DABF278">
      <w:pPr>
        <w:keepNext w:val="0"/>
        <w:keepLines w:val="0"/>
        <w:pageBreakBefore w:val="0"/>
        <w:widowControl w:val="0"/>
        <w:kinsoku/>
        <w:wordWrap/>
        <w:overflowPunct/>
        <w:topLinePunct w:val="0"/>
        <w:autoSpaceDE/>
        <w:autoSpaceDN/>
        <w:bidi w:val="0"/>
        <w:adjustRightInd/>
        <w:snapToGrid/>
        <w:spacing w:line="900" w:lineRule="exact"/>
        <w:ind w:left="-210" w:leftChars="-100" w:right="-69" w:rightChars="-33" w:firstLine="0" w:firstLineChars="0"/>
        <w:jc w:val="center"/>
        <w:textAlignment w:val="auto"/>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pPr>
    </w:p>
    <w:p w14:paraId="3ED01541">
      <w:pPr>
        <w:keepNext w:val="0"/>
        <w:keepLines w:val="0"/>
        <w:pageBreakBefore w:val="0"/>
        <w:widowControl w:val="0"/>
        <w:kinsoku/>
        <w:wordWrap/>
        <w:overflowPunct/>
        <w:topLinePunct w:val="0"/>
        <w:autoSpaceDE/>
        <w:autoSpaceDN/>
        <w:bidi w:val="0"/>
        <w:adjustRightInd/>
        <w:snapToGrid/>
        <w:spacing w:line="900" w:lineRule="exact"/>
        <w:ind w:left="-210" w:leftChars="-100" w:right="-69" w:rightChars="-33" w:firstLine="0" w:firstLineChars="0"/>
        <w:jc w:val="center"/>
        <w:textAlignment w:val="auto"/>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pPr>
      <w:r>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t>单位名称：</w:t>
      </w:r>
      <w:r>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t>岳阳市住房保障服务中心</w:t>
      </w:r>
    </w:p>
    <w:p w14:paraId="03C5BD50">
      <w:pPr>
        <w:keepNext w:val="0"/>
        <w:keepLines w:val="0"/>
        <w:pageBreakBefore w:val="0"/>
        <w:widowControl w:val="0"/>
        <w:kinsoku/>
        <w:wordWrap/>
        <w:overflowPunct/>
        <w:topLinePunct w:val="0"/>
        <w:autoSpaceDE/>
        <w:autoSpaceDN/>
        <w:bidi w:val="0"/>
        <w:adjustRightInd/>
        <w:snapToGrid/>
        <w:spacing w:line="900" w:lineRule="exact"/>
        <w:ind w:left="-210" w:leftChars="-100" w:right="-69" w:rightChars="-33" w:firstLine="0" w:firstLineChars="0"/>
        <w:jc w:val="center"/>
        <w:textAlignment w:val="auto"/>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pPr>
      <w:r>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t>2024</w:t>
      </w:r>
      <w:r>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t>年</w:t>
      </w:r>
      <w:r>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t xml:space="preserve"> 6</w:t>
      </w:r>
      <w:r>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t>月</w:t>
      </w:r>
      <w:r>
        <w:rPr>
          <w:rFonts w:hint="eastAsia" w:ascii="Times New Roman" w:hAnsi="Times New Roman" w:eastAsia="方正小标宋简体" w:cs="Times New Roman"/>
          <w:b/>
          <w:bCs/>
          <w:color w:val="000000" w:themeColor="text1"/>
          <w:sz w:val="32"/>
          <w:szCs w:val="32"/>
          <w:highlight w:val="none"/>
          <w:lang w:val="en-US" w:eastAsia="zh-CN"/>
          <w14:textFill>
            <w14:solidFill>
              <w14:schemeClr w14:val="tx1"/>
            </w14:solidFill>
          </w14:textFill>
        </w:rPr>
        <w:t>25</w:t>
      </w:r>
      <w:r>
        <w:rPr>
          <w:rFonts w:hint="eastAsia" w:ascii="Times New Roman" w:hAnsi="Times New Roman" w:eastAsia="方正小标宋简体" w:cs="Times New Roman"/>
          <w:b/>
          <w:bCs/>
          <w:color w:val="000000" w:themeColor="text1"/>
          <w:sz w:val="32"/>
          <w:szCs w:val="32"/>
          <w:highlight w:val="none"/>
          <w14:textFill>
            <w14:solidFill>
              <w14:schemeClr w14:val="tx1"/>
            </w14:solidFill>
          </w14:textFill>
        </w:rPr>
        <w:t>日</w:t>
      </w:r>
    </w:p>
    <w:p w14:paraId="4466B14A">
      <w:pPr>
        <w:spacing w:line="360" w:lineRule="auto"/>
        <w:ind w:left="-210" w:leftChars="-100" w:right="-69" w:rightChars="-33" w:firstLine="0" w:firstLineChars="0"/>
        <w:jc w:val="cente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sectPr>
          <w:pgSz w:w="11906" w:h="16838"/>
          <w:pgMar w:top="1440" w:right="1800" w:bottom="1440" w:left="1800" w:header="851" w:footer="992" w:gutter="0"/>
          <w:pgNumType w:fmt="decimal"/>
          <w:cols w:space="425" w:num="1"/>
          <w:docGrid w:type="lines" w:linePitch="312" w:charSpace="0"/>
        </w:sectPr>
      </w:pPr>
    </w:p>
    <w:p w14:paraId="55E2E2F5">
      <w:pPr>
        <w:ind w:left="-210" w:leftChars="-100" w:right="-69" w:rightChars="-33" w:firstLine="0" w:firstLineChars="0"/>
        <w:jc w:val="cente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pP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202</w:t>
      </w:r>
      <w:r>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3</w:t>
      </w: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年度</w:t>
      </w:r>
      <w:r>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岳阳市住房保障服务中心</w:t>
      </w: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整体支出</w:t>
      </w:r>
    </w:p>
    <w:p w14:paraId="37FC7116">
      <w:pPr>
        <w:jc w:val="center"/>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绩效自评报告</w:t>
      </w:r>
    </w:p>
    <w:p w14:paraId="71FAA060">
      <w:pPr>
        <w:keepNext w:val="0"/>
        <w:keepLines w:val="0"/>
        <w:pageBreakBefore w:val="0"/>
        <w:numPr>
          <w:ilvl w:val="0"/>
          <w:numId w:val="2"/>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基本情况</w:t>
      </w:r>
    </w:p>
    <w:p w14:paraId="1E8E9C1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u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14:textFill>
            <w14:solidFill>
              <w14:schemeClr w14:val="tx1"/>
            </w14:solidFill>
          </w14:textFill>
        </w:rPr>
        <w:t>（一）</w:t>
      </w:r>
      <w:r>
        <w:rPr>
          <w:rFonts w:hint="default" w:ascii="Times New Roman" w:hAnsi="Times New Roman" w:eastAsia="仿宋_GB2312" w:cs="Times New Roman"/>
          <w:color w:val="000000" w:themeColor="text1"/>
          <w:kern w:val="0"/>
          <w:sz w:val="32"/>
          <w:szCs w:val="32"/>
          <w:u w:val="none"/>
          <w:lang w:val="en-US" w:eastAsia="zh-CN"/>
          <w14:textFill>
            <w14:solidFill>
              <w14:schemeClr w14:val="tx1"/>
            </w14:solidFill>
          </w14:textFill>
        </w:rPr>
        <w:t>部门职能概述</w:t>
      </w:r>
    </w:p>
    <w:p w14:paraId="336CB73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u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lang w:val="en-US" w:eastAsia="zh-CN"/>
          <w14:textFill>
            <w14:solidFill>
              <w14:schemeClr w14:val="tx1"/>
            </w14:solidFill>
          </w14:textFill>
        </w:rPr>
        <w:t>岳阳市住房保障服务中心为市住房和城乡建设局所属副处级公益一类事业单位。主要职能职责有：</w:t>
      </w:r>
    </w:p>
    <w:p w14:paraId="1A9BA09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u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lang w:val="en-US" w:eastAsia="zh-CN"/>
          <w14:textFill>
            <w14:solidFill>
              <w14:schemeClr w14:val="tx1"/>
            </w14:solidFill>
          </w14:textFill>
        </w:rPr>
        <w:t>一是为机关提供支持保障职能</w:t>
      </w:r>
    </w:p>
    <w:p w14:paraId="34DF1E8B">
      <w:pPr>
        <w:pStyle w:val="11"/>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参与拟定住房保障的地方性法规、规章、政策以及住房保障、物业管理、白蚁防治、房屋租赁、提质改造、城市人居环境更新、专项维修资金管理的发展规划、年度计划的事务性工作。</w:t>
      </w:r>
    </w:p>
    <w:p w14:paraId="69770E4D">
      <w:pPr>
        <w:pStyle w:val="11"/>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负责全市住房保障、物业管理、白蚁防治、房屋租赁、提质改造等行业管理、业务指导、监督考核的行政辅助工作。</w:t>
      </w:r>
    </w:p>
    <w:p w14:paraId="2340D980">
      <w:pPr>
        <w:pStyle w:val="11"/>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负责市本级保障性住房建设项目计划、资金计划、资金筹集以及项目建设管理的事务性工作。</w:t>
      </w:r>
    </w:p>
    <w:p w14:paraId="6A09A469">
      <w:pPr>
        <w:pStyle w:val="11"/>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负责市中心城区（包括岳阳楼区、岳阳经济技术开发区、南湖新区、城陵矶新港区，下同）经济适用房上市交易、不完全产权存量公有住房出售和政策性购房补贴、租赁补贴发放的行政辅助工作。</w:t>
      </w:r>
    </w:p>
    <w:p w14:paraId="16356261">
      <w:pPr>
        <w:pStyle w:val="11"/>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负责房屋租赁登记备案、房屋租赁合同网签、房屋指导价格发布、房屋租赁价格监测的行政辅助工作。</w:t>
      </w:r>
    </w:p>
    <w:p w14:paraId="5D8E90DF">
      <w:pPr>
        <w:pStyle w:val="11"/>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负责市本级和城陵矶新港区老旧小区、棚户区、旧城区改造等城市人居环境更新的事务性工作。</w:t>
      </w:r>
    </w:p>
    <w:p w14:paraId="5C8D69E1">
      <w:pPr>
        <w:pStyle w:val="11"/>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负责全市物业服务、房屋租赁服务质量考评体系和物业、中介服务企业信用信息评价等诚信体系建设的行政辅助工作。</w:t>
      </w:r>
    </w:p>
    <w:p w14:paraId="6A9AF473">
      <w:pPr>
        <w:pStyle w:val="11"/>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负责住房保障、物业管理、白蚁防治领域行政检查和违法案件线索移送的行政辅助工作。</w:t>
      </w:r>
    </w:p>
    <w:p w14:paraId="7C42DB38">
      <w:pPr>
        <w:pStyle w:val="11"/>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负责市中心城区物业专项维修基金的归集、管理、使用监督以及物业管理招投标合同备案的行政辅助工作。</w:t>
      </w:r>
    </w:p>
    <w:p w14:paraId="7ABB232F">
      <w:pPr>
        <w:pStyle w:val="1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二是面向社会提供公益服务职能</w:t>
      </w:r>
    </w:p>
    <w:p w14:paraId="13174F5C">
      <w:pPr>
        <w:pStyle w:val="11"/>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负责市本级和城陵矶新港区公共租赁住房、保障性租赁住房、共有产权房等保障性住房运营管理和维修改造的事务性工作。</w:t>
      </w:r>
    </w:p>
    <w:p w14:paraId="4159BA7D">
      <w:pPr>
        <w:pStyle w:val="11"/>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负责市本级政府投资建设的各类保障性住房和市政府移交授权管理的存量公房资产运营管理的事务性工作。</w:t>
      </w:r>
    </w:p>
    <w:p w14:paraId="185B5517">
      <w:pPr>
        <w:pStyle w:val="11"/>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负责住房保障、房屋租赁、城市人居环境更新、城市提质改造、物业维修资金等信息平台建设、数据统计分析、信息发布等事务性工作；负责市本级住房保障档案管理和信息查询事务性工作。</w:t>
      </w:r>
    </w:p>
    <w:p w14:paraId="7B49ADE9">
      <w:pPr>
        <w:pStyle w:val="11"/>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承担市中心城区房屋白蚁防治、白蚁防治技术推广、白蚁防治科研、发布蚁害监测的事务性工作。</w:t>
      </w:r>
    </w:p>
    <w:p w14:paraId="2AC005EC">
      <w:pPr>
        <w:pStyle w:val="1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完成市住房和城乡建设局交办的其它任务。</w:t>
      </w:r>
    </w:p>
    <w:p w14:paraId="74E085A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u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14:textFill>
            <w14:solidFill>
              <w14:schemeClr w14:val="tx1"/>
            </w14:solidFill>
          </w14:textFill>
        </w:rPr>
        <w:t>（二）机构设置</w:t>
      </w:r>
    </w:p>
    <w:p w14:paraId="356C876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default" w:ascii="Times New Roman" w:hAnsi="Times New Roman" w:eastAsia="仿宋" w:cs="Times New Roman"/>
          <w:color w:val="000000" w:themeColor="text1"/>
          <w:sz w:val="32"/>
          <w:szCs w:val="32"/>
          <w:u w:val="none"/>
          <w14:textFill>
            <w14:solidFill>
              <w14:schemeClr w14:val="tx1"/>
            </w14:solidFill>
          </w14:textFill>
        </w:rPr>
      </w:pPr>
      <w:r>
        <w:rPr>
          <w:rFonts w:hint="default" w:ascii="Times New Roman" w:hAnsi="Times New Roman" w:eastAsia="仿宋" w:cs="Times New Roman"/>
          <w:color w:val="000000" w:themeColor="text1"/>
          <w:sz w:val="32"/>
          <w:szCs w:val="32"/>
          <w:u w:val="none"/>
          <w14:textFill>
            <w14:solidFill>
              <w14:schemeClr w14:val="tx1"/>
            </w14:solidFill>
          </w14:textFill>
        </w:rPr>
        <w:t>根据中共岳阳市委机构编制委员会文件：关于印发《岳阳市住房保障服务中心职能配置、内设机构和人员编制规定》的通知（岳编办发〔2021〕25号）明确</w:t>
      </w:r>
      <w:r>
        <w:rPr>
          <w:rFonts w:hint="default" w:ascii="Times New Roman" w:hAnsi="Times New Roman" w:eastAsia="仿宋" w:cs="Times New Roman"/>
          <w:color w:val="000000" w:themeColor="text1"/>
          <w:sz w:val="32"/>
          <w:szCs w:val="32"/>
          <w:u w:val="none"/>
          <w:lang w:eastAsia="zh-CN"/>
          <w14:textFill>
            <w14:solidFill>
              <w14:schemeClr w14:val="tx1"/>
            </w14:solidFill>
          </w14:textFill>
        </w:rPr>
        <w:t>，</w:t>
      </w:r>
      <w:r>
        <w:rPr>
          <w:rFonts w:hint="default" w:ascii="Times New Roman" w:hAnsi="Times New Roman" w:eastAsia="仿宋" w:cs="Times New Roman"/>
          <w:color w:val="000000" w:themeColor="text1"/>
          <w:sz w:val="32"/>
          <w:szCs w:val="32"/>
          <w:u w:val="none"/>
          <w14:textFill>
            <w14:solidFill>
              <w14:schemeClr w14:val="tx1"/>
            </w14:solidFill>
          </w14:textFill>
        </w:rPr>
        <w:t>我中心全额事业编制7</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5</w:t>
      </w:r>
      <w:r>
        <w:rPr>
          <w:rFonts w:hint="default" w:ascii="Times New Roman" w:hAnsi="Times New Roman" w:eastAsia="仿宋" w:cs="Times New Roman"/>
          <w:color w:val="000000" w:themeColor="text1"/>
          <w:sz w:val="32"/>
          <w:szCs w:val="32"/>
          <w:u w:val="none"/>
          <w14:textFill>
            <w14:solidFill>
              <w14:schemeClr w14:val="tx1"/>
            </w14:solidFill>
          </w14:textFill>
        </w:rPr>
        <w:t>人，</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实有73人，</w:t>
      </w:r>
      <w:r>
        <w:rPr>
          <w:rFonts w:hint="default" w:ascii="Times New Roman" w:hAnsi="Times New Roman" w:eastAsia="仿宋" w:cs="Times New Roman"/>
          <w:color w:val="000000" w:themeColor="text1"/>
          <w:sz w:val="32"/>
          <w:szCs w:val="32"/>
          <w:u w:val="none"/>
          <w14:textFill>
            <w14:solidFill>
              <w14:schemeClr w14:val="tx1"/>
            </w14:solidFill>
          </w14:textFill>
        </w:rPr>
        <w:t>退休人员1</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7</w:t>
      </w:r>
      <w:r>
        <w:rPr>
          <w:rFonts w:hint="default" w:ascii="Times New Roman" w:hAnsi="Times New Roman" w:eastAsia="仿宋" w:cs="Times New Roman"/>
          <w:color w:val="000000" w:themeColor="text1"/>
          <w:sz w:val="32"/>
          <w:szCs w:val="32"/>
          <w:u w:val="none"/>
          <w14:textFill>
            <w14:solidFill>
              <w14:schemeClr w14:val="tx1"/>
            </w14:solidFill>
          </w14:textFill>
        </w:rPr>
        <w:t>人。</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中心</w:t>
      </w:r>
      <w:r>
        <w:rPr>
          <w:rFonts w:hint="default" w:ascii="Times New Roman" w:hAnsi="Times New Roman" w:eastAsia="仿宋" w:cs="Times New Roman"/>
          <w:color w:val="000000" w:themeColor="text1"/>
          <w:sz w:val="32"/>
          <w:szCs w:val="32"/>
          <w:u w:val="none"/>
          <w14:textFill>
            <w14:solidFill>
              <w14:schemeClr w14:val="tx1"/>
            </w14:solidFill>
          </w14:textFill>
        </w:rPr>
        <w:t>设</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8</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个内设机构和3</w:t>
      </w:r>
      <w:r>
        <w:rPr>
          <w:rFonts w:hint="default" w:ascii="Times New Roman" w:hAnsi="Times New Roman" w:eastAsia="仿宋" w:cs="Times New Roman"/>
          <w:color w:val="000000" w:themeColor="text1"/>
          <w:sz w:val="32"/>
          <w:szCs w:val="32"/>
          <w:u w:val="none"/>
          <w14:textFill>
            <w14:solidFill>
              <w14:schemeClr w14:val="tx1"/>
            </w14:solidFill>
          </w14:textFill>
        </w:rPr>
        <w:t>个</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分支机构</w:t>
      </w:r>
      <w:r>
        <w:rPr>
          <w:rFonts w:hint="default" w:ascii="Times New Roman" w:hAnsi="Times New Roman" w:eastAsia="仿宋" w:cs="Times New Roman"/>
          <w:color w:val="000000" w:themeColor="text1"/>
          <w:sz w:val="32"/>
          <w:szCs w:val="32"/>
          <w:u w:val="none"/>
          <w14:textFill>
            <w14:solidFill>
              <w14:schemeClr w14:val="tx1"/>
            </w14:solidFill>
          </w14:textFill>
        </w:rPr>
        <w:t>。</w:t>
      </w:r>
    </w:p>
    <w:p w14:paraId="34D1C35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14:textFill>
            <w14:solidFill>
              <w14:schemeClr w14:val="tx1"/>
            </w14:solidFill>
          </w14:textFill>
        </w:rPr>
        <w:t>内设</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机构</w:t>
      </w:r>
      <w:r>
        <w:rPr>
          <w:rFonts w:hint="default" w:ascii="Times New Roman" w:hAnsi="Times New Roman" w:eastAsia="仿宋" w:cs="Times New Roman"/>
          <w:color w:val="000000" w:themeColor="text1"/>
          <w:sz w:val="32"/>
          <w:szCs w:val="32"/>
          <w:u w:val="none"/>
          <w14:textFill>
            <w14:solidFill>
              <w14:schemeClr w14:val="tx1"/>
            </w14:solidFill>
          </w14:textFill>
        </w:rPr>
        <w:t>分别是</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综合部</w:t>
      </w:r>
      <w:r>
        <w:rPr>
          <w:rFonts w:hint="default" w:ascii="Times New Roman" w:hAnsi="Times New Roman" w:eastAsia="仿宋" w:cs="Times New Roman"/>
          <w:color w:val="000000" w:themeColor="text1"/>
          <w:sz w:val="32"/>
          <w:szCs w:val="32"/>
          <w:u w:val="none"/>
          <w14:textFill>
            <w14:solidFill>
              <w14:schemeClr w14:val="tx1"/>
            </w14:solidFill>
          </w14:textFill>
        </w:rPr>
        <w:t>、</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房屋租赁服务部、财务部、信息档案服务部、白蚁防治服务部、工程建设服务部</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、党办、离退休人员服务部</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w:t>
      </w:r>
    </w:p>
    <w:p w14:paraId="509A4DD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14:textFill>
            <w14:solidFill>
              <w14:schemeClr w14:val="tx1"/>
            </w14:solidFill>
          </w14:textFill>
        </w:rPr>
        <w:t>所属</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3个分支机构</w:t>
      </w:r>
      <w:r>
        <w:rPr>
          <w:rFonts w:hint="default" w:ascii="Times New Roman" w:hAnsi="Times New Roman" w:eastAsia="仿宋" w:cs="Times New Roman"/>
          <w:color w:val="000000" w:themeColor="text1"/>
          <w:sz w:val="32"/>
          <w:szCs w:val="32"/>
          <w:u w:val="none"/>
          <w14:textFill>
            <w14:solidFill>
              <w14:schemeClr w14:val="tx1"/>
            </w14:solidFill>
          </w14:textFill>
        </w:rPr>
        <w:t>分别是</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市城市人居环境更新管理所、市物业和维修资金管理所和市保障性住房管理所。</w:t>
      </w:r>
    </w:p>
    <w:p w14:paraId="24663C0C">
      <w:pPr>
        <w:pStyle w:val="17"/>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二、一般公共预算支出情况</w:t>
      </w:r>
    </w:p>
    <w:p w14:paraId="7AACEC1D">
      <w:pPr>
        <w:pStyle w:val="17"/>
        <w:keepNext w:val="0"/>
        <w:keepLines w:val="0"/>
        <w:pageBreakBefore w:val="0"/>
        <w:widowControl/>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 w:cs="Times New Roman"/>
          <w:b/>
          <w:color w:val="000000" w:themeColor="text1"/>
          <w:sz w:val="32"/>
          <w:szCs w:val="32"/>
          <w:highlight w:val="none"/>
          <w14:textFill>
            <w14:solidFill>
              <w14:schemeClr w14:val="tx1"/>
            </w14:solidFill>
          </w14:textFill>
        </w:rPr>
      </w:pPr>
      <w:r>
        <w:rPr>
          <w:rFonts w:hint="default" w:ascii="Times New Roman" w:hAnsi="Times New Roman" w:eastAsia="仿宋" w:cs="Times New Roman"/>
          <w:b/>
          <w:color w:val="000000" w:themeColor="text1"/>
          <w:sz w:val="32"/>
          <w:szCs w:val="32"/>
          <w:highlight w:val="none"/>
          <w14:textFill>
            <w14:solidFill>
              <w14:schemeClr w14:val="tx1"/>
            </w14:solidFill>
          </w14:textFill>
        </w:rPr>
        <w:t>（一）基本支出情况</w:t>
      </w:r>
    </w:p>
    <w:p w14:paraId="41FD309D">
      <w:pPr>
        <w:pStyle w:val="17"/>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b w:val="0"/>
          <w:bCs/>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32"/>
          <w:szCs w:val="32"/>
          <w:highlight w:val="none"/>
          <w:lang w:val="en-US" w:eastAsia="zh-CN"/>
          <w14:textFill>
            <w14:solidFill>
              <w14:schemeClr w14:val="tx1"/>
            </w14:solidFill>
          </w14:textFill>
        </w:rPr>
        <w:t>2023年度中心基本支出为1323.41万元，其中人员支出1185.2万元，占基本支出89.56%；公用支出138.21万元，占基本支出10.44%。具体支出项目为：</w:t>
      </w:r>
      <w:r>
        <w:rPr>
          <w:rFonts w:hint="eastAsia" w:ascii="Times New Roman" w:hAnsi="Times New Roman" w:eastAsia="仿宋" w:cs="Times New Roman"/>
          <w:b w:val="0"/>
          <w:bCs/>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 w:cs="Times New Roman"/>
          <w:b w:val="0"/>
          <w:bCs/>
          <w:color w:val="000000" w:themeColor="text1"/>
          <w:sz w:val="32"/>
          <w:szCs w:val="32"/>
          <w:highlight w:val="none"/>
          <w:lang w:val="en-US" w:eastAsia="zh-CN"/>
          <w14:textFill>
            <w14:solidFill>
              <w14:schemeClr w14:val="tx1"/>
            </w14:solidFill>
          </w14:textFill>
        </w:rPr>
        <w:t>工资福利支出1128.83万元；2、商品和服务支出138.21万元；3、对个人和家庭的补助56.37万元。</w:t>
      </w:r>
    </w:p>
    <w:p w14:paraId="220BF1CD">
      <w:pPr>
        <w:pStyle w:val="17"/>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b w:val="0"/>
          <w:bCs/>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2023年度</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三公</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经费总支出情况为：本年度公务接待费0万元，未超出年初预算；公务用车运行维护费支出4.13万元，未超出年初预算6万元。</w:t>
      </w:r>
    </w:p>
    <w:p w14:paraId="5760F40C">
      <w:pPr>
        <w:pStyle w:val="17"/>
        <w:keepNext w:val="0"/>
        <w:keepLines w:val="0"/>
        <w:pageBreakBefore w:val="0"/>
        <w:widowControl/>
        <w:numPr>
          <w:ilvl w:val="0"/>
          <w:numId w:val="5"/>
        </w:numPr>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 w:cs="Times New Roman"/>
          <w:b/>
          <w:color w:val="000000" w:themeColor="text1"/>
          <w:sz w:val="32"/>
          <w:szCs w:val="32"/>
          <w:highlight w:val="none"/>
          <w14:textFill>
            <w14:solidFill>
              <w14:schemeClr w14:val="tx1"/>
            </w14:solidFill>
          </w14:textFill>
        </w:rPr>
      </w:pPr>
      <w:r>
        <w:rPr>
          <w:rFonts w:hint="default" w:ascii="Times New Roman" w:hAnsi="Times New Roman" w:eastAsia="仿宋" w:cs="Times New Roman"/>
          <w:b/>
          <w:color w:val="000000" w:themeColor="text1"/>
          <w:sz w:val="32"/>
          <w:szCs w:val="32"/>
          <w:highlight w:val="none"/>
          <w14:textFill>
            <w14:solidFill>
              <w14:schemeClr w14:val="tx1"/>
            </w14:solidFill>
          </w14:textFill>
        </w:rPr>
        <w:t>项目支出情况</w:t>
      </w:r>
    </w:p>
    <w:p w14:paraId="580E8ABC">
      <w:pPr>
        <w:pStyle w:val="17"/>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2023年度项目总体支出1874</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.05</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万元。其中业务工作经费</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146.86</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万元，运行维护经费116.29万元，老旧小区配套改造32.81万元，市级保障房专项资金1500万元</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，工作经费及其他资金为78.09万元</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w:t>
      </w:r>
    </w:p>
    <w:p w14:paraId="79092B93">
      <w:pPr>
        <w:pStyle w:val="17"/>
        <w:keepNext w:val="0"/>
        <w:keepLines w:val="0"/>
        <w:pageBreakBefore w:val="0"/>
        <w:widowControl/>
        <w:numPr>
          <w:ilvl w:val="0"/>
          <w:numId w:val="6"/>
        </w:numPr>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专项资金具体落实、投入情况分析。</w:t>
      </w:r>
    </w:p>
    <w:p w14:paraId="7F20597D">
      <w:pPr>
        <w:pStyle w:val="17"/>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项目资金支出是为完成特定工作任务或事业发展目标而安排落实的资金。2023年财政资金拨入1874</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.05</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万元，主要用于保障房建设、老旧小区改造以及运行维护经费，其中市财政配套资金1500万元用于已有保障房项目的建设；市级财政安排我中心业务工作经费支出</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146.86</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万元，运行维护经费116.29万元，老旧小区配套改造经费32.81万元</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，工作经费及其他资金为78.09万元</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w:t>
      </w:r>
    </w:p>
    <w:p w14:paraId="1D10D752">
      <w:pPr>
        <w:pStyle w:val="17"/>
        <w:keepNext w:val="0"/>
        <w:keepLines w:val="0"/>
        <w:pageBreakBefore w:val="0"/>
        <w:widowControl/>
        <w:numPr>
          <w:ilvl w:val="0"/>
          <w:numId w:val="6"/>
        </w:numPr>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专项资金实际使用情况分析。</w:t>
      </w:r>
    </w:p>
    <w:p w14:paraId="1B641A09">
      <w:pPr>
        <w:pStyle w:val="17"/>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专项资金支出1500万元，主要用于东井岭公租房、春兰家园保障房建设支出以及太子庙逸馨花园收购款的支付；专项资金支出</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146.86</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万元主要用于2023年中心开展白蚁防治、乡村振兴等支出；专项资金支出116.29万元主要用于现有保障性住房维护和管理等；专项资金支出32.81万元主要用于佘家垅老旧小区改造工程</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；其他资金支出78.09万元</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w:t>
      </w:r>
    </w:p>
    <w:p w14:paraId="34A7E21F">
      <w:pPr>
        <w:pStyle w:val="17"/>
        <w:keepNext w:val="0"/>
        <w:keepLines w:val="0"/>
        <w:pageBreakBefore w:val="0"/>
        <w:widowControl/>
        <w:numPr>
          <w:ilvl w:val="0"/>
          <w:numId w:val="6"/>
        </w:numPr>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专项资金具体管理情况分析。</w:t>
      </w:r>
    </w:p>
    <w:p w14:paraId="16E6DC4B">
      <w:pPr>
        <w:pStyle w:val="17"/>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中心对于专项资金的管理本着专款专用原则，严格执行项目资金批准的使用计划和项目批复内容，不擅自调项、扩项、缩项、不拆借、挪用、挤占。对每笔专项资金的支付，严格执行财务制度，落实专项资金审核程序，做好专项资金管理工作。</w:t>
      </w:r>
    </w:p>
    <w:p w14:paraId="6C88B2A9">
      <w:pPr>
        <w:pStyle w:val="17"/>
        <w:keepNext w:val="0"/>
        <w:keepLines w:val="0"/>
        <w:pageBreakBefore w:val="0"/>
        <w:widowControl/>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三、政府性基金预算支出情况</w:t>
      </w:r>
    </w:p>
    <w:p w14:paraId="2D1EC0EA">
      <w:pPr>
        <w:pStyle w:val="17"/>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本</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中心无政府性基金预算支出情况</w:t>
      </w:r>
    </w:p>
    <w:p w14:paraId="08AAC082">
      <w:pPr>
        <w:pStyle w:val="17"/>
        <w:keepNext w:val="0"/>
        <w:keepLines w:val="0"/>
        <w:pageBreakBefore w:val="0"/>
        <w:widowControl/>
        <w:numPr>
          <w:ilvl w:val="0"/>
          <w:numId w:val="7"/>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国有资本经营预算支出情况</w:t>
      </w:r>
    </w:p>
    <w:p w14:paraId="402D33A9">
      <w:pPr>
        <w:pStyle w:val="17"/>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本</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中心无国有资本经营预算支出情况</w:t>
      </w:r>
    </w:p>
    <w:p w14:paraId="1450635F">
      <w:pPr>
        <w:pStyle w:val="17"/>
        <w:keepNext w:val="0"/>
        <w:keepLines w:val="0"/>
        <w:pageBreakBefore w:val="0"/>
        <w:widowControl/>
        <w:numPr>
          <w:ilvl w:val="0"/>
          <w:numId w:val="7"/>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社会保险基金预算支出情况</w:t>
      </w:r>
    </w:p>
    <w:p w14:paraId="1C965341">
      <w:pPr>
        <w:pStyle w:val="17"/>
        <w:keepNext w:val="0"/>
        <w:keepLines w:val="0"/>
        <w:pageBreakBefore w:val="0"/>
        <w:widowControl/>
        <w:numPr>
          <w:ilvl w:val="0"/>
          <w:numId w:val="0"/>
        </w:numPr>
        <w:kinsoku/>
        <w:wordWrap/>
        <w:overflowPunct/>
        <w:topLinePunct w:val="0"/>
        <w:autoSpaceDE/>
        <w:autoSpaceDN/>
        <w:bidi w:val="0"/>
        <w:adjustRightInd/>
        <w:snapToGrid/>
        <w:spacing w:line="600" w:lineRule="exact"/>
        <w:ind w:left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本中心无社会保险基金预算支出情况</w:t>
      </w:r>
    </w:p>
    <w:p w14:paraId="3E0D10D3">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六、部门整体支出绩效情况</w:t>
      </w:r>
    </w:p>
    <w:p w14:paraId="7632EF98">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中心</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积极履职，强化管理，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圆满</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完成了年度工作目标。通过加强预算收支管理，规范资金管理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和</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项目管理，政策执行有力，有效</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地</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发挥了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财政</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资金的使用效率。根据部门整体支出绩效评价指标体系，我</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中心</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年度评价得分为</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97.94</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分</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绩效自评情况为优</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37F1F1FD">
      <w:pPr>
        <w:pStyle w:val="1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420" w:firstLineChars="0"/>
        <w:jc w:val="both"/>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eastAsia" w:ascii="Times New Roman" w:hAnsi="Times New Roman" w:eastAsia="仿宋" w:cs="Times New Roman"/>
          <w:color w:val="000000" w:themeColor="text1"/>
          <w:kern w:val="0"/>
          <w:sz w:val="32"/>
          <w:szCs w:val="32"/>
          <w:lang w:val="en-US" w:eastAsia="zh-CN" w:bidi="ar"/>
          <w14:textFill>
            <w14:solidFill>
              <w14:schemeClr w14:val="tx1"/>
            </w14:solidFill>
          </w14:textFill>
        </w:rPr>
        <w:t>（一）</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2023年度重点工作计划</w:t>
      </w:r>
    </w:p>
    <w:p w14:paraId="156B9212">
      <w:pPr>
        <w:pStyle w:val="4"/>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1.加快发展保障性租赁住房，持续推进公租房建设，出台《岳阳市保障性租赁住房发展指导意见》《岳阳市公共租赁住房管理办法》，指导和督促市中心城区开工建设一批保障性租赁住房，争取中央和省级专项补贴资金。扎实做好公租房运营管理，完成租金收缴1</w:t>
      </w:r>
      <w:r>
        <w:rPr>
          <w:rFonts w:hint="default" w:ascii="Times New Roman" w:hAnsi="Times New Roman" w:cs="Times New Roman"/>
          <w:color w:val="000000" w:themeColor="text1"/>
          <w:sz w:val="32"/>
          <w:szCs w:val="32"/>
          <w:lang w:val="en-US" w:eastAsia="zh-CN"/>
          <w14:textFill>
            <w14:solidFill>
              <w14:schemeClr w14:val="tx1"/>
            </w14:solidFill>
          </w14:textFill>
        </w:rPr>
        <w:t>30</w:t>
      </w:r>
      <w:r>
        <w:rPr>
          <w:rFonts w:hint="default" w:ascii="Times New Roman" w:hAnsi="Times New Roman" w:cs="Times New Roman"/>
          <w:color w:val="000000" w:themeColor="text1"/>
          <w:sz w:val="32"/>
          <w:szCs w:val="32"/>
          <w14:textFill>
            <w14:solidFill>
              <w14:schemeClr w14:val="tx1"/>
            </w14:solidFill>
          </w14:textFill>
        </w:rPr>
        <w:t>万元。</w:t>
      </w:r>
    </w:p>
    <w:p w14:paraId="45421249">
      <w:pPr>
        <w:pStyle w:val="4"/>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2.全力抓好物业维修资金归集。完成物业维修资金归集1亿元，实现增值收益900万元。</w:t>
      </w:r>
    </w:p>
    <w:p w14:paraId="0CFB9A72">
      <w:pPr>
        <w:pStyle w:val="4"/>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3.切实规范物业管理服务活动。指导、督促属地政府（管委会）做好物业管理服务活动，建立市、区联动工作机制。启动《岳阳市物业管理条例》立法编制工作。</w:t>
      </w:r>
    </w:p>
    <w:p w14:paraId="4EB6455C">
      <w:pPr>
        <w:pStyle w:val="4"/>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4.加大白蚁防治和新技术推广力度工作。组织开展白蚁防治科研活动，完成中心城区白蚁防治相关工作。</w:t>
      </w:r>
    </w:p>
    <w:p w14:paraId="3D386219">
      <w:pPr>
        <w:pStyle w:val="4"/>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5.协助局机关做好住房租赁相关工作，扎实</w:t>
      </w:r>
      <w:r>
        <w:rPr>
          <w:rFonts w:hint="default" w:ascii="Times New Roman" w:hAnsi="Times New Roman" w:cs="Times New Roman"/>
          <w:color w:val="000000" w:themeColor="text1"/>
          <w:sz w:val="32"/>
          <w:szCs w:val="32"/>
          <w:lang w:val="en-US" w:eastAsia="zh-CN"/>
          <w14:textFill>
            <w14:solidFill>
              <w14:schemeClr w14:val="tx1"/>
            </w14:solidFill>
          </w14:textFill>
        </w:rPr>
        <w:t>做好市场租赁</w:t>
      </w:r>
      <w:r>
        <w:rPr>
          <w:rFonts w:hint="default" w:ascii="Times New Roman" w:hAnsi="Times New Roman" w:cs="Times New Roman"/>
          <w:color w:val="000000" w:themeColor="text1"/>
          <w:sz w:val="32"/>
          <w:szCs w:val="32"/>
          <w14:textFill>
            <w14:solidFill>
              <w14:schemeClr w14:val="tx1"/>
            </w14:solidFill>
          </w14:textFill>
        </w:rPr>
        <w:t>调查研究，启动房屋租赁平台搭建及相关配套措施文件拟制等相关工作。</w:t>
      </w:r>
    </w:p>
    <w:p w14:paraId="58C20E96">
      <w:pPr>
        <w:pStyle w:val="4"/>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6.强力推进老旧小区改造、既有住宅加装电梯，以及棚户区改造收尾等工作，争取中央专项补贴资金，力争获得全省先进。</w:t>
      </w:r>
    </w:p>
    <w:p w14:paraId="378B971A">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pPr>
      <w:r>
        <w:rPr>
          <w:rFonts w:hint="eastAsia" w:ascii="Times New Roman" w:hAnsi="Times New Roman" w:eastAsia="仿宋" w:cs="Times New Roman"/>
          <w:color w:val="000000" w:themeColor="text1"/>
          <w:kern w:val="0"/>
          <w:sz w:val="32"/>
          <w:szCs w:val="32"/>
          <w:lang w:val="en-US" w:eastAsia="zh-CN" w:bidi="ar-SA"/>
          <w14:textFill>
            <w14:solidFill>
              <w14:schemeClr w14:val="tx1"/>
            </w14:solidFill>
          </w14:textFill>
        </w:rPr>
        <w:t>2023年度总体目标已圆满完成。</w:t>
      </w:r>
    </w:p>
    <w:p w14:paraId="33BA13CD">
      <w:pPr>
        <w:pStyle w:val="2"/>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（二）</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单位总支出情况的绩效分析</w:t>
      </w:r>
    </w:p>
    <w:p w14:paraId="02C163DE">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2023年度中心年度资金预算数为</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3216.47</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万元，全年执行数为3197.46万元，执行率</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99.41</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%，绩效自评情况优。</w:t>
      </w:r>
    </w:p>
    <w:p w14:paraId="0A172782">
      <w:pPr>
        <w:pStyle w:val="2"/>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（三）</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年度绩效目标完成情况</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分析</w:t>
      </w:r>
    </w:p>
    <w:p w14:paraId="1E0D97E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1、业务产出方面</w:t>
      </w:r>
    </w:p>
    <w:p w14:paraId="24DFD19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本中心</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财政资金其主要用途是管理维护好城区公租房建设、管理的任务，保障城区中低收入家庭住房以及中心城区白蚁防治、灭治，物业维修基金归集、管理和保值增值以及城市更新提质改造。2023年度中心根据部门年度目标，按时足额收取租金130万元，超额完成物业维修资金归集1亿元的目标，实现了1.63亿元的资金归集，同时实现了维修资金增值收益900万元的年度目标。</w:t>
      </w:r>
    </w:p>
    <w:p w14:paraId="4907085F">
      <w:pPr>
        <w:pStyle w:val="2"/>
        <w:keepNext w:val="0"/>
        <w:keepLines w:val="0"/>
        <w:pageBreakBefore w:val="0"/>
        <w:numPr>
          <w:ilvl w:val="0"/>
          <w:numId w:val="8"/>
        </w:numPr>
        <w:kinsoku/>
        <w:wordWrap/>
        <w:overflowPunct/>
        <w:topLinePunct w:val="0"/>
        <w:autoSpaceDE/>
        <w:autoSpaceDN/>
        <w:bidi w:val="0"/>
        <w:adjustRightInd/>
        <w:snapToGrid/>
        <w:spacing w:line="600" w:lineRule="exact"/>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成本控制方面</w:t>
      </w:r>
    </w:p>
    <w:p w14:paraId="2E51C87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中心在人员支出、公用支出方面严格按照年初绩效预设认真组织实施, 严格执行财经纪律和相关管理规定，做到各项收支安排使用符合财政政策的要求；在专项经费使用上，</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做好</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保障房</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管理维护业务工作</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的同时，严格落实厉行节约的原则，控制成本，多干实事，不超预算。实行了先有预算，后有执行，用钱必问效，无效必问责的机制</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取得了明显的经济效益和社会效益。</w:t>
      </w:r>
    </w:p>
    <w:p w14:paraId="10387B33">
      <w:pPr>
        <w:pStyle w:val="2"/>
        <w:keepNext w:val="0"/>
        <w:keepLines w:val="0"/>
        <w:pageBreakBefore w:val="0"/>
        <w:numPr>
          <w:ilvl w:val="0"/>
          <w:numId w:val="8"/>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社会效益方面</w:t>
      </w:r>
    </w:p>
    <w:p w14:paraId="2A8B38BD">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根据中心职能，规范496户保障房的管理，在社会效益方面，能较好的解决中低收入家庭的住房困难，同时建立</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的</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准入退出机制，能更好地保障低收入家庭</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解决住房问题</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，从而提升人民的居住满意度。</w:t>
      </w:r>
    </w:p>
    <w:p w14:paraId="4CF0FD0F">
      <w:pPr>
        <w:pStyle w:val="17"/>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七、存在的问题及原因分析</w:t>
      </w:r>
    </w:p>
    <w:p w14:paraId="696072F9">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1、部分干部职工</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的工作积极性有待提高</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w:t>
      </w:r>
    </w:p>
    <w:p w14:paraId="0B1180F9">
      <w:pPr>
        <w:pStyle w:val="2"/>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pPr>
      <w:r>
        <w:rPr>
          <w:rFonts w:hint="eastAsia"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2、绩效</w:t>
      </w:r>
      <w:r>
        <w:rPr>
          <w:rFonts w:hint="default"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评价指标需要进一步</w:t>
      </w:r>
      <w:r>
        <w:rPr>
          <w:rFonts w:hint="eastAsia"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细化</w:t>
      </w:r>
      <w:r>
        <w:rPr>
          <w:rFonts w:hint="default"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完善。</w:t>
      </w:r>
      <w:r>
        <w:rPr>
          <w:rFonts w:hint="eastAsia"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由于中心</w:t>
      </w:r>
      <w:r>
        <w:rPr>
          <w:rFonts w:hint="default"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财政支出</w:t>
      </w:r>
      <w:r>
        <w:rPr>
          <w:rFonts w:hint="eastAsia"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绩效</w:t>
      </w:r>
      <w:r>
        <w:rPr>
          <w:rFonts w:hint="default"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评价</w:t>
      </w:r>
      <w:r>
        <w:rPr>
          <w:rFonts w:hint="eastAsia"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涉及的部门和相关业务类型不同</w:t>
      </w:r>
      <w:r>
        <w:rPr>
          <w:rFonts w:hint="default"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w:t>
      </w:r>
      <w:r>
        <w:rPr>
          <w:rFonts w:hint="eastAsia"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使得绩效评价</w:t>
      </w:r>
      <w:r>
        <w:rPr>
          <w:rFonts w:hint="default"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指标</w:t>
      </w:r>
      <w:r>
        <w:rPr>
          <w:rFonts w:hint="eastAsia"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细化程度不够</w:t>
      </w:r>
      <w:r>
        <w:rPr>
          <w:rFonts w:hint="default"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w:t>
      </w:r>
      <w:r>
        <w:rPr>
          <w:rFonts w:hint="eastAsia" w:ascii="Times New Roman" w:hAnsi="Times New Roman" w:eastAsia="仿宋" w:cs="Times New Roman"/>
          <w:color w:val="000000" w:themeColor="text1"/>
          <w:kern w:val="0"/>
          <w:sz w:val="32"/>
          <w:szCs w:val="32"/>
          <w:u w:val="none"/>
          <w:lang w:val="en-US" w:eastAsia="zh-CN" w:bidi="ar-SA"/>
          <w14:textFill>
            <w14:solidFill>
              <w14:schemeClr w14:val="tx1"/>
            </w14:solidFill>
          </w14:textFill>
        </w:rPr>
        <w:t>对绩效自评的准确性有一定影响。</w:t>
      </w:r>
    </w:p>
    <w:p w14:paraId="1009CCEB">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八、下一步改进措施</w:t>
      </w:r>
    </w:p>
    <w:p w14:paraId="6745104D">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1、抓好保障房的管理、维护主业，提升管理标准和水平，向规范化、信息化迈进。</w:t>
      </w:r>
    </w:p>
    <w:p w14:paraId="74893E25">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2、充分发挥党建工作的重要作用，从思想政治工作上引领人、提高人、活跃人、激励人、增强干部职工对单位的归属感和认同感，充分调动干部职工的</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工作</w:t>
      </w: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积极性。</w:t>
      </w:r>
    </w:p>
    <w:p w14:paraId="647394A3">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cs="Times New Roman"/>
          <w:color w:val="000000" w:themeColor="text1"/>
          <w:sz w:val="32"/>
          <w:szCs w:val="32"/>
          <w:lang w:val="en-US"/>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3、</w:t>
      </w:r>
      <w:r>
        <w:rPr>
          <w:rFonts w:hint="eastAsia" w:ascii="Times New Roman" w:hAnsi="Times New Roman" w:eastAsia="仿宋" w:cs="Times New Roman"/>
          <w:color w:val="000000" w:themeColor="text1"/>
          <w:sz w:val="32"/>
          <w:szCs w:val="32"/>
          <w:u w:val="none"/>
          <w:lang w:val="en-US" w:eastAsia="zh-CN"/>
          <w14:textFill>
            <w14:solidFill>
              <w14:schemeClr w14:val="tx1"/>
            </w14:solidFill>
          </w14:textFill>
        </w:rPr>
        <w:t>为保障绩效管理工作持续高效开展，需要加强对各部门相关人员的培训学习，提高相关工作人员对</w:t>
      </w:r>
      <w:r>
        <w:rPr>
          <w:rFonts w:hint="eastAsia" w:ascii="仿宋_GB2312" w:hAnsi="仿宋_GB2312" w:eastAsia="仿宋_GB2312" w:cs="仿宋_GB2312"/>
          <w:i w:val="0"/>
          <w:iCs w:val="0"/>
          <w:caps w:val="0"/>
          <w:color w:val="000000" w:themeColor="text1"/>
          <w:spacing w:val="0"/>
          <w:sz w:val="32"/>
          <w:szCs w:val="32"/>
          <w:shd w:val="clear" w:color="auto" w:fill="FFFFFF"/>
          <w14:textFill>
            <w14:solidFill>
              <w14:schemeClr w14:val="tx1"/>
            </w14:solidFill>
          </w14:textFill>
        </w:rPr>
        <w:t>预算绩效管理业务</w:t>
      </w:r>
      <w:r>
        <w:rPr>
          <w:rFonts w:hint="eastAsia" w:ascii="仿宋_GB2312" w:hAnsi="仿宋_GB2312" w:eastAsia="仿宋_GB2312" w:cs="仿宋_GB2312"/>
          <w:i w:val="0"/>
          <w:iCs w:val="0"/>
          <w:caps w:val="0"/>
          <w:color w:val="000000" w:themeColor="text1"/>
          <w:spacing w:val="0"/>
          <w:sz w:val="32"/>
          <w:szCs w:val="32"/>
          <w:shd w:val="clear" w:color="auto" w:fill="FFFFFF"/>
          <w:lang w:val="en-US" w:eastAsia="zh-CN"/>
          <w14:textFill>
            <w14:solidFill>
              <w14:schemeClr w14:val="tx1"/>
            </w14:solidFill>
          </w14:textFill>
        </w:rPr>
        <w:t>的熟练程度</w:t>
      </w:r>
      <w:r>
        <w:rPr>
          <w:rFonts w:hint="eastAsia" w:ascii="仿宋_GB2312" w:hAnsi="仿宋_GB2312" w:eastAsia="仿宋_GB2312" w:cs="仿宋_GB2312"/>
          <w:i w:val="0"/>
          <w:iCs w:val="0"/>
          <w:caps w:val="0"/>
          <w:color w:val="000000" w:themeColor="text1"/>
          <w:spacing w:val="0"/>
          <w:sz w:val="32"/>
          <w:szCs w:val="32"/>
          <w:shd w:val="clear" w:color="auto" w:fill="FFFFFF"/>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color="auto" w:fill="FFFFFF"/>
          <w:lang w:val="en-US" w:eastAsia="zh-CN"/>
          <w14:textFill>
            <w14:solidFill>
              <w14:schemeClr w14:val="tx1"/>
            </w14:solidFill>
          </w14:textFill>
        </w:rPr>
        <w:t>力求对绩效评价</w:t>
      </w:r>
      <w:r>
        <w:rPr>
          <w:rFonts w:hint="eastAsia" w:ascii="仿宋_GB2312" w:hAnsi="仿宋_GB2312" w:eastAsia="仿宋_GB2312" w:cs="仿宋_GB2312"/>
          <w:i w:val="0"/>
          <w:iCs w:val="0"/>
          <w:caps w:val="0"/>
          <w:color w:val="000000" w:themeColor="text1"/>
          <w:spacing w:val="0"/>
          <w:sz w:val="32"/>
          <w:szCs w:val="32"/>
          <w:shd w:val="clear" w:color="auto" w:fill="FFFFFF"/>
          <w14:textFill>
            <w14:solidFill>
              <w14:schemeClr w14:val="tx1"/>
            </w14:solidFill>
          </w14:textFill>
        </w:rPr>
        <w:t>工作重点把握到位。</w:t>
      </w:r>
    </w:p>
    <w:p w14:paraId="3736F995">
      <w:pPr>
        <w:keepNext w:val="0"/>
        <w:keepLines w:val="0"/>
        <w:pageBreakBefore w:val="0"/>
        <w:widowControl/>
        <w:numPr>
          <w:ilvl w:val="0"/>
          <w:numId w:val="9"/>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部门整体支出绩效自评结果拟应用和公开情况</w:t>
      </w:r>
    </w:p>
    <w:p w14:paraId="268A9872">
      <w:pPr>
        <w:pStyle w:val="3"/>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u w:val="none"/>
          <w:lang w:val="en-US" w:eastAsia="zh-CN"/>
          <w14:textFill>
            <w14:solidFill>
              <w14:schemeClr w14:val="tx1"/>
            </w14:solidFill>
          </w14:textFill>
        </w:rPr>
        <w:t>我中心整体支出绩效自评将在上级主管部门和本中心网站上同步公开。</w:t>
      </w:r>
    </w:p>
    <w:p w14:paraId="2886A010">
      <w:pPr>
        <w:pStyle w:val="3"/>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其他需要说明的情况</w:t>
      </w:r>
    </w:p>
    <w:p w14:paraId="1662F373">
      <w:pPr>
        <w:pStyle w:val="3"/>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textAlignment w:val="auto"/>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无</w:t>
      </w:r>
    </w:p>
    <w:p w14:paraId="07DC7A1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t>附件</w:t>
      </w:r>
      <w:r>
        <w:rPr>
          <w:rFonts w:hint="eastAsia" w:ascii="Times New Roman" w:hAnsi="Times New Roman" w:eastAsia="仿宋" w:cs="Times New Roman"/>
          <w:color w:val="000000" w:themeColor="text1"/>
          <w:kern w:val="0"/>
          <w:sz w:val="32"/>
          <w:szCs w:val="32"/>
          <w:lang w:val="en-US" w:eastAsia="zh-CN" w:bidi="ar-SA"/>
          <w14:textFill>
            <w14:solidFill>
              <w14:schemeClr w14:val="tx1"/>
            </w14:solidFill>
          </w14:textFill>
        </w:rPr>
        <w:t>1：</w:t>
      </w:r>
      <w:r>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t>2023年度部门整体支出绩效评价基础数据表</w:t>
      </w:r>
    </w:p>
    <w:p w14:paraId="7807AAE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t>附件</w:t>
      </w:r>
      <w:r>
        <w:rPr>
          <w:rFonts w:hint="eastAsia" w:ascii="Times New Roman" w:hAnsi="Times New Roman" w:eastAsia="仿宋" w:cs="Times New Roman"/>
          <w:color w:val="000000" w:themeColor="text1"/>
          <w:kern w:val="0"/>
          <w:sz w:val="32"/>
          <w:szCs w:val="32"/>
          <w:lang w:val="en-US" w:eastAsia="zh-CN" w:bidi="ar-SA"/>
          <w14:textFill>
            <w14:solidFill>
              <w14:schemeClr w14:val="tx1"/>
            </w14:solidFill>
          </w14:textFill>
        </w:rPr>
        <w:t>2：</w:t>
      </w:r>
      <w:r>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t>2023年度部门整体支出绩效自评表</w:t>
      </w:r>
    </w:p>
    <w:p w14:paraId="6744732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t>附件</w:t>
      </w:r>
      <w:r>
        <w:rPr>
          <w:rFonts w:hint="eastAsia" w:ascii="Times New Roman" w:hAnsi="Times New Roman" w:eastAsia="仿宋" w:cs="Times New Roman"/>
          <w:color w:val="000000" w:themeColor="text1"/>
          <w:kern w:val="0"/>
          <w:sz w:val="32"/>
          <w:szCs w:val="32"/>
          <w:lang w:val="en-US" w:eastAsia="zh-CN" w:bidi="ar-SA"/>
          <w14:textFill>
            <w14:solidFill>
              <w14:schemeClr w14:val="tx1"/>
            </w14:solidFill>
          </w14:textFill>
        </w:rPr>
        <w:t>3：</w:t>
      </w:r>
      <w:r>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t>2023年度项目支出绩效自评表</w:t>
      </w:r>
    </w:p>
    <w:p w14:paraId="6CDEC335">
      <w:pPr>
        <w:pStyle w:val="2"/>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pPr>
    </w:p>
    <w:p w14:paraId="1B0A7E80">
      <w:pPr>
        <w:pStyle w:val="2"/>
        <w:keepNext w:val="0"/>
        <w:keepLines w:val="0"/>
        <w:pageBreakBefore w:val="0"/>
        <w:kinsoku/>
        <w:wordWrap/>
        <w:overflowPunct/>
        <w:topLinePunct w:val="0"/>
        <w:autoSpaceDE/>
        <w:autoSpaceDN/>
        <w:bidi w:val="0"/>
        <w:adjustRightInd/>
        <w:snapToGrid/>
        <w:spacing w:line="600" w:lineRule="exact"/>
        <w:ind w:left="0" w:leftChars="0" w:firstLine="0" w:firstLineChars="0"/>
        <w:jc w:val="right"/>
        <w:textAlignment w:val="auto"/>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32"/>
          <w:szCs w:val="32"/>
          <w:lang w:val="en-US" w:eastAsia="zh-CN" w:bidi="ar-SA"/>
          <w14:textFill>
            <w14:solidFill>
              <w14:schemeClr w14:val="tx1"/>
            </w14:solidFill>
          </w14:textFill>
        </w:rPr>
        <w:t>岳阳市住房保障服务中心</w:t>
      </w:r>
    </w:p>
    <w:p w14:paraId="02BAC4ED">
      <w:pPr>
        <w:spacing w:after="120" w:afterLines="50" w:line="600" w:lineRule="exact"/>
        <w:jc w:val="right"/>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Times New Roman" w:hAnsi="Times New Roman" w:eastAsia="仿宋" w:cs="Times New Roman"/>
          <w:color w:val="000000" w:themeColor="text1"/>
          <w:kern w:val="0"/>
          <w:sz w:val="32"/>
          <w:szCs w:val="32"/>
          <w:lang w:val="en-US" w:eastAsia="zh-CN" w:bidi="ar-SA"/>
          <w14:textFill>
            <w14:solidFill>
              <w14:schemeClr w14:val="tx1"/>
            </w14:solidFill>
          </w14:textFill>
        </w:rPr>
        <w:t>2024年6月25日</w:t>
      </w:r>
    </w:p>
    <w:p w14:paraId="443F260C">
      <w:pPr>
        <w:spacing w:after="120" w:afterLines="50" w:line="600" w:lineRule="exact"/>
        <w:jc w:val="both"/>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lang w:eastAsia="zh-CN"/>
          <w14:textFill>
            <w14:solidFill>
              <w14:schemeClr w14:val="tx1"/>
            </w14:solidFill>
          </w14:textFill>
        </w:rPr>
        <w:t>附件</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1</w:t>
      </w:r>
    </w:p>
    <w:p w14:paraId="79085EBE">
      <w:pPr>
        <w:spacing w:after="120" w:afterLines="50" w:line="600" w:lineRule="exact"/>
        <w:jc w:val="center"/>
        <w:rPr>
          <w:rFonts w:hint="default" w:ascii="Times New Roman" w:hAnsi="Times New Roman" w:eastAsia="方正小标宋简体" w:cs="Times New Roman"/>
          <w:color w:val="000000" w:themeColor="text1"/>
          <w:sz w:val="24"/>
          <w:highlight w:val="none"/>
          <w14:textFill>
            <w14:solidFill>
              <w14:schemeClr w14:val="tx1"/>
            </w14:solidFill>
          </w14:textFill>
        </w:rPr>
      </w:pP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202</w:t>
      </w:r>
      <w:r>
        <w:rPr>
          <w:rFonts w:hint="default" w:ascii="Times New Roman" w:hAnsi="Times New Roman" w:eastAsia="方正小标宋简体" w:cs="Times New Roman"/>
          <w:color w:val="000000" w:themeColor="text1"/>
          <w:sz w:val="36"/>
          <w:szCs w:val="36"/>
          <w:highlight w:val="none"/>
          <w:lang w:val="en-US" w:eastAsia="zh-CN"/>
          <w14:textFill>
            <w14:solidFill>
              <w14:schemeClr w14:val="tx1"/>
            </w14:solidFill>
          </w14:textFill>
        </w:rPr>
        <w:t>3</w:t>
      </w: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年度部门整体支出绩效评价基础数据表</w:t>
      </w:r>
    </w:p>
    <w:tbl>
      <w:tblPr>
        <w:tblStyle w:val="12"/>
        <w:tblW w:w="9037" w:type="dxa"/>
        <w:jc w:val="center"/>
        <w:tblLayout w:type="fixed"/>
        <w:tblCellMar>
          <w:top w:w="0" w:type="dxa"/>
          <w:left w:w="108" w:type="dxa"/>
          <w:bottom w:w="0" w:type="dxa"/>
          <w:right w:w="108" w:type="dxa"/>
        </w:tblCellMar>
      </w:tblPr>
      <w:tblGrid>
        <w:gridCol w:w="3134"/>
        <w:gridCol w:w="1110"/>
        <w:gridCol w:w="794"/>
        <w:gridCol w:w="1054"/>
        <w:gridCol w:w="1039"/>
        <w:gridCol w:w="1009"/>
        <w:gridCol w:w="897"/>
      </w:tblGrid>
      <w:tr w14:paraId="5C816D86">
        <w:tblPrEx>
          <w:tblCellMar>
            <w:top w:w="0" w:type="dxa"/>
            <w:left w:w="108" w:type="dxa"/>
            <w:bottom w:w="0" w:type="dxa"/>
            <w:right w:w="108" w:type="dxa"/>
          </w:tblCellMar>
        </w:tblPrEx>
        <w:trPr>
          <w:trHeight w:val="367" w:hRule="atLeast"/>
          <w:jc w:val="center"/>
        </w:trPr>
        <w:tc>
          <w:tcPr>
            <w:tcW w:w="3134" w:type="dxa"/>
            <w:vMerge w:val="restart"/>
            <w:tcBorders>
              <w:top w:val="single" w:color="auto" w:sz="4" w:space="0"/>
              <w:left w:val="single" w:color="auto" w:sz="4" w:space="0"/>
              <w:bottom w:val="single" w:color="auto" w:sz="4" w:space="0"/>
              <w:right w:val="single" w:color="auto" w:sz="4" w:space="0"/>
            </w:tcBorders>
            <w:noWrap w:val="0"/>
            <w:vAlign w:val="center"/>
          </w:tcPr>
          <w:p w14:paraId="7D15BC70">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财政供养人员情况（人）</w:t>
            </w:r>
          </w:p>
        </w:tc>
        <w:tc>
          <w:tcPr>
            <w:tcW w:w="1904" w:type="dxa"/>
            <w:gridSpan w:val="2"/>
            <w:tcBorders>
              <w:top w:val="single" w:color="auto" w:sz="4" w:space="0"/>
              <w:left w:val="nil"/>
              <w:bottom w:val="single" w:color="auto" w:sz="4" w:space="0"/>
              <w:right w:val="single" w:color="auto" w:sz="4" w:space="0"/>
            </w:tcBorders>
            <w:noWrap w:val="0"/>
            <w:vAlign w:val="center"/>
          </w:tcPr>
          <w:p w14:paraId="6B538835">
            <w:pPr>
              <w:widowControl/>
              <w:spacing w:line="360" w:lineRule="exact"/>
              <w:jc w:val="cente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编制数</w:t>
            </w:r>
          </w:p>
        </w:tc>
        <w:tc>
          <w:tcPr>
            <w:tcW w:w="2093" w:type="dxa"/>
            <w:gridSpan w:val="2"/>
            <w:tcBorders>
              <w:top w:val="single" w:color="auto" w:sz="4" w:space="0"/>
              <w:left w:val="nil"/>
              <w:bottom w:val="single" w:color="auto" w:sz="4" w:space="0"/>
              <w:right w:val="single" w:color="auto" w:sz="4" w:space="0"/>
            </w:tcBorders>
            <w:noWrap w:val="0"/>
            <w:vAlign w:val="center"/>
          </w:tcPr>
          <w:p w14:paraId="303BBF65">
            <w:pPr>
              <w:widowControl/>
              <w:spacing w:line="360" w:lineRule="exact"/>
              <w:jc w:val="cente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202</w:t>
            </w:r>
            <w:r>
              <w:rPr>
                <w:rFonts w:hint="default" w:ascii="Times New Roman" w:hAnsi="Times New Roman" w:eastAsia="仿宋_GB2312" w:cs="Times New Roman"/>
                <w:b/>
                <w:bCs/>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年实际在职人数</w:t>
            </w:r>
          </w:p>
        </w:tc>
        <w:tc>
          <w:tcPr>
            <w:tcW w:w="1906" w:type="dxa"/>
            <w:gridSpan w:val="2"/>
            <w:tcBorders>
              <w:top w:val="single" w:color="auto" w:sz="4" w:space="0"/>
              <w:left w:val="nil"/>
              <w:bottom w:val="single" w:color="auto" w:sz="4" w:space="0"/>
              <w:right w:val="single" w:color="auto" w:sz="4" w:space="0"/>
            </w:tcBorders>
            <w:noWrap w:val="0"/>
            <w:vAlign w:val="center"/>
          </w:tcPr>
          <w:p w14:paraId="5A350144">
            <w:pPr>
              <w:widowControl/>
              <w:spacing w:line="360" w:lineRule="exact"/>
              <w:jc w:val="cente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控制率</w:t>
            </w:r>
          </w:p>
        </w:tc>
      </w:tr>
      <w:tr w14:paraId="30963200">
        <w:tblPrEx>
          <w:tblCellMar>
            <w:top w:w="0" w:type="dxa"/>
            <w:left w:w="108" w:type="dxa"/>
            <w:bottom w:w="0" w:type="dxa"/>
            <w:right w:w="108" w:type="dxa"/>
          </w:tblCellMar>
        </w:tblPrEx>
        <w:trPr>
          <w:trHeight w:val="367" w:hRule="atLeast"/>
          <w:jc w:val="center"/>
        </w:trPr>
        <w:tc>
          <w:tcPr>
            <w:tcW w:w="3134" w:type="dxa"/>
            <w:vMerge w:val="continue"/>
            <w:tcBorders>
              <w:top w:val="single" w:color="auto" w:sz="4" w:space="0"/>
              <w:left w:val="single" w:color="auto" w:sz="4" w:space="0"/>
              <w:bottom w:val="single" w:color="auto" w:sz="4" w:space="0"/>
              <w:right w:val="single" w:color="auto" w:sz="4" w:space="0"/>
            </w:tcBorders>
            <w:noWrap w:val="0"/>
            <w:vAlign w:val="center"/>
          </w:tcPr>
          <w:p w14:paraId="32937E3B">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904" w:type="dxa"/>
            <w:gridSpan w:val="2"/>
            <w:tcBorders>
              <w:top w:val="single" w:color="auto" w:sz="4" w:space="0"/>
              <w:left w:val="nil"/>
              <w:bottom w:val="single" w:color="auto" w:sz="4" w:space="0"/>
              <w:right w:val="single" w:color="auto" w:sz="4" w:space="0"/>
            </w:tcBorders>
            <w:noWrap w:val="0"/>
            <w:vAlign w:val="center"/>
          </w:tcPr>
          <w:p w14:paraId="576D6F4F">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75</w:t>
            </w:r>
          </w:p>
        </w:tc>
        <w:tc>
          <w:tcPr>
            <w:tcW w:w="2093" w:type="dxa"/>
            <w:gridSpan w:val="2"/>
            <w:tcBorders>
              <w:top w:val="single" w:color="auto" w:sz="4" w:space="0"/>
              <w:left w:val="nil"/>
              <w:bottom w:val="single" w:color="auto" w:sz="4" w:space="0"/>
              <w:right w:val="single" w:color="auto" w:sz="4" w:space="0"/>
            </w:tcBorders>
            <w:noWrap w:val="0"/>
            <w:vAlign w:val="center"/>
          </w:tcPr>
          <w:p w14:paraId="43DB6C5E">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73</w:t>
            </w:r>
          </w:p>
        </w:tc>
        <w:tc>
          <w:tcPr>
            <w:tcW w:w="1906" w:type="dxa"/>
            <w:gridSpan w:val="2"/>
            <w:tcBorders>
              <w:top w:val="single" w:color="auto" w:sz="4" w:space="0"/>
              <w:left w:val="nil"/>
              <w:bottom w:val="single" w:color="auto" w:sz="4" w:space="0"/>
              <w:right w:val="single" w:color="auto" w:sz="4" w:space="0"/>
            </w:tcBorders>
            <w:noWrap w:val="0"/>
            <w:vAlign w:val="center"/>
          </w:tcPr>
          <w:p w14:paraId="0CA96C5B">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97.3%</w:t>
            </w:r>
          </w:p>
        </w:tc>
      </w:tr>
      <w:tr w14:paraId="0FD643D0">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6F2A7ADC">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经费控制情况（万元）</w:t>
            </w:r>
          </w:p>
        </w:tc>
        <w:tc>
          <w:tcPr>
            <w:tcW w:w="1904" w:type="dxa"/>
            <w:gridSpan w:val="2"/>
            <w:tcBorders>
              <w:top w:val="single" w:color="auto" w:sz="4" w:space="0"/>
              <w:left w:val="nil"/>
              <w:bottom w:val="single" w:color="auto" w:sz="4" w:space="0"/>
              <w:right w:val="single" w:color="000000" w:sz="4" w:space="0"/>
            </w:tcBorders>
            <w:noWrap w:val="0"/>
            <w:vAlign w:val="center"/>
          </w:tcPr>
          <w:p w14:paraId="4B16C851">
            <w:pPr>
              <w:widowControl/>
              <w:spacing w:line="360" w:lineRule="exact"/>
              <w:jc w:val="cente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202</w:t>
            </w:r>
            <w:r>
              <w:rPr>
                <w:rFonts w:hint="default" w:ascii="Times New Roman" w:hAnsi="Times New Roman" w:eastAsia="仿宋_GB2312" w:cs="Times New Roman"/>
                <w:b/>
                <w:bCs/>
                <w:color w:val="000000" w:themeColor="text1"/>
                <w:sz w:val="20"/>
                <w:szCs w:val="20"/>
                <w:highlight w:val="none"/>
                <w:lang w:val="en-US" w:eastAsia="zh-CN"/>
                <w14:textFill>
                  <w14:solidFill>
                    <w14:schemeClr w14:val="tx1"/>
                  </w14:solidFill>
                </w14:textFill>
              </w:rPr>
              <w:t>2</w:t>
            </w: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年决算数</w:t>
            </w:r>
          </w:p>
        </w:tc>
        <w:tc>
          <w:tcPr>
            <w:tcW w:w="2093" w:type="dxa"/>
            <w:gridSpan w:val="2"/>
            <w:tcBorders>
              <w:top w:val="single" w:color="auto" w:sz="4" w:space="0"/>
              <w:left w:val="nil"/>
              <w:bottom w:val="single" w:color="auto" w:sz="4" w:space="0"/>
              <w:right w:val="single" w:color="000000" w:sz="4" w:space="0"/>
            </w:tcBorders>
            <w:noWrap w:val="0"/>
            <w:vAlign w:val="center"/>
          </w:tcPr>
          <w:p w14:paraId="50E9C77D">
            <w:pPr>
              <w:widowControl/>
              <w:spacing w:line="360" w:lineRule="exact"/>
              <w:jc w:val="cente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202</w:t>
            </w:r>
            <w:r>
              <w:rPr>
                <w:rFonts w:hint="default" w:ascii="Times New Roman" w:hAnsi="Times New Roman" w:eastAsia="仿宋_GB2312" w:cs="Times New Roman"/>
                <w:b/>
                <w:bCs/>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年预算数</w:t>
            </w:r>
          </w:p>
        </w:tc>
        <w:tc>
          <w:tcPr>
            <w:tcW w:w="1906" w:type="dxa"/>
            <w:gridSpan w:val="2"/>
            <w:tcBorders>
              <w:top w:val="single" w:color="auto" w:sz="4" w:space="0"/>
              <w:left w:val="nil"/>
              <w:bottom w:val="single" w:color="auto" w:sz="4" w:space="0"/>
              <w:right w:val="single" w:color="000000" w:sz="4" w:space="0"/>
            </w:tcBorders>
            <w:noWrap w:val="0"/>
            <w:vAlign w:val="center"/>
          </w:tcPr>
          <w:p w14:paraId="7B5C8F96">
            <w:pPr>
              <w:widowControl/>
              <w:spacing w:line="360" w:lineRule="exact"/>
              <w:jc w:val="cente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202</w:t>
            </w:r>
            <w:r>
              <w:rPr>
                <w:rFonts w:hint="default" w:ascii="Times New Roman" w:hAnsi="Times New Roman" w:eastAsia="仿宋_GB2312" w:cs="Times New Roman"/>
                <w:b/>
                <w:bCs/>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b/>
                <w:bCs/>
                <w:color w:val="000000" w:themeColor="text1"/>
                <w:sz w:val="20"/>
                <w:szCs w:val="20"/>
                <w:highlight w:val="none"/>
                <w14:textFill>
                  <w14:solidFill>
                    <w14:schemeClr w14:val="tx1"/>
                  </w14:solidFill>
                </w14:textFill>
              </w:rPr>
              <w:t>年决算数</w:t>
            </w:r>
          </w:p>
        </w:tc>
      </w:tr>
      <w:tr w14:paraId="3A357782">
        <w:tblPrEx>
          <w:tblCellMar>
            <w:top w:w="0" w:type="dxa"/>
            <w:left w:w="108" w:type="dxa"/>
            <w:bottom w:w="0" w:type="dxa"/>
            <w:right w:w="108" w:type="dxa"/>
          </w:tblCellMar>
        </w:tblPrEx>
        <w:trPr>
          <w:trHeight w:val="90" w:hRule="atLeast"/>
          <w:jc w:val="center"/>
        </w:trPr>
        <w:tc>
          <w:tcPr>
            <w:tcW w:w="3134" w:type="dxa"/>
            <w:tcBorders>
              <w:top w:val="nil"/>
              <w:left w:val="single" w:color="auto" w:sz="4" w:space="0"/>
              <w:bottom w:val="single" w:color="auto" w:sz="4" w:space="0"/>
              <w:right w:val="single" w:color="auto" w:sz="4" w:space="0"/>
            </w:tcBorders>
            <w:noWrap w:val="0"/>
            <w:vAlign w:val="center"/>
          </w:tcPr>
          <w:p w14:paraId="22CBB01D">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三公经费</w:t>
            </w:r>
          </w:p>
        </w:tc>
        <w:tc>
          <w:tcPr>
            <w:tcW w:w="1904" w:type="dxa"/>
            <w:gridSpan w:val="2"/>
            <w:tcBorders>
              <w:top w:val="single" w:color="auto" w:sz="4" w:space="0"/>
              <w:left w:val="nil"/>
              <w:bottom w:val="single" w:color="auto" w:sz="4" w:space="0"/>
              <w:right w:val="single" w:color="000000" w:sz="4" w:space="0"/>
            </w:tcBorders>
            <w:noWrap w:val="0"/>
            <w:vAlign w:val="center"/>
          </w:tcPr>
          <w:p w14:paraId="731629AD">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6</w:t>
            </w:r>
          </w:p>
        </w:tc>
        <w:tc>
          <w:tcPr>
            <w:tcW w:w="2093" w:type="dxa"/>
            <w:gridSpan w:val="2"/>
            <w:tcBorders>
              <w:top w:val="single" w:color="auto" w:sz="4" w:space="0"/>
              <w:left w:val="nil"/>
              <w:bottom w:val="single" w:color="auto" w:sz="4" w:space="0"/>
              <w:right w:val="single" w:color="000000" w:sz="4" w:space="0"/>
            </w:tcBorders>
            <w:noWrap w:val="0"/>
            <w:vAlign w:val="center"/>
          </w:tcPr>
          <w:p w14:paraId="7E9BF266">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6</w:t>
            </w:r>
          </w:p>
        </w:tc>
        <w:tc>
          <w:tcPr>
            <w:tcW w:w="1906" w:type="dxa"/>
            <w:gridSpan w:val="2"/>
            <w:tcBorders>
              <w:top w:val="single" w:color="auto" w:sz="4" w:space="0"/>
              <w:left w:val="nil"/>
              <w:bottom w:val="single" w:color="auto" w:sz="4" w:space="0"/>
              <w:right w:val="single" w:color="000000" w:sz="4" w:space="0"/>
            </w:tcBorders>
            <w:noWrap w:val="0"/>
            <w:vAlign w:val="center"/>
          </w:tcPr>
          <w:p w14:paraId="2E682755">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4.13</w:t>
            </w:r>
          </w:p>
        </w:tc>
      </w:tr>
      <w:tr w14:paraId="18135129">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4C393F89">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1、公务用车购置和维护经费</w:t>
            </w:r>
          </w:p>
        </w:tc>
        <w:tc>
          <w:tcPr>
            <w:tcW w:w="1904" w:type="dxa"/>
            <w:gridSpan w:val="2"/>
            <w:tcBorders>
              <w:top w:val="single" w:color="auto" w:sz="4" w:space="0"/>
              <w:left w:val="nil"/>
              <w:bottom w:val="single" w:color="auto" w:sz="4" w:space="0"/>
              <w:right w:val="single" w:color="000000" w:sz="4" w:space="0"/>
            </w:tcBorders>
            <w:noWrap w:val="0"/>
            <w:vAlign w:val="center"/>
          </w:tcPr>
          <w:p w14:paraId="75C2CDB4">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093" w:type="dxa"/>
            <w:gridSpan w:val="2"/>
            <w:tcBorders>
              <w:top w:val="single" w:color="auto" w:sz="4" w:space="0"/>
              <w:left w:val="nil"/>
              <w:bottom w:val="single" w:color="auto" w:sz="4" w:space="0"/>
              <w:right w:val="single" w:color="000000" w:sz="4" w:space="0"/>
            </w:tcBorders>
            <w:noWrap w:val="0"/>
            <w:vAlign w:val="center"/>
          </w:tcPr>
          <w:p w14:paraId="756BF9A8">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906" w:type="dxa"/>
            <w:gridSpan w:val="2"/>
            <w:tcBorders>
              <w:top w:val="single" w:color="auto" w:sz="4" w:space="0"/>
              <w:left w:val="nil"/>
              <w:bottom w:val="single" w:color="auto" w:sz="4" w:space="0"/>
              <w:right w:val="single" w:color="000000" w:sz="4" w:space="0"/>
            </w:tcBorders>
            <w:noWrap w:val="0"/>
            <w:vAlign w:val="center"/>
          </w:tcPr>
          <w:p w14:paraId="7CB4FB47">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008D9114">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4A09B33A">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其中：公车购置</w:t>
            </w:r>
          </w:p>
        </w:tc>
        <w:tc>
          <w:tcPr>
            <w:tcW w:w="1904" w:type="dxa"/>
            <w:gridSpan w:val="2"/>
            <w:tcBorders>
              <w:top w:val="single" w:color="auto" w:sz="4" w:space="0"/>
              <w:left w:val="nil"/>
              <w:bottom w:val="single" w:color="auto" w:sz="4" w:space="0"/>
              <w:right w:val="single" w:color="000000" w:sz="4" w:space="0"/>
            </w:tcBorders>
            <w:noWrap w:val="0"/>
            <w:vAlign w:val="center"/>
          </w:tcPr>
          <w:p w14:paraId="535B44B4">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093" w:type="dxa"/>
            <w:gridSpan w:val="2"/>
            <w:tcBorders>
              <w:top w:val="single" w:color="auto" w:sz="4" w:space="0"/>
              <w:left w:val="nil"/>
              <w:bottom w:val="single" w:color="auto" w:sz="4" w:space="0"/>
              <w:right w:val="single" w:color="000000" w:sz="4" w:space="0"/>
            </w:tcBorders>
            <w:noWrap w:val="0"/>
            <w:vAlign w:val="center"/>
          </w:tcPr>
          <w:p w14:paraId="284BDF9B">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906" w:type="dxa"/>
            <w:gridSpan w:val="2"/>
            <w:tcBorders>
              <w:top w:val="single" w:color="auto" w:sz="4" w:space="0"/>
              <w:left w:val="nil"/>
              <w:bottom w:val="single" w:color="auto" w:sz="4" w:space="0"/>
              <w:right w:val="single" w:color="000000" w:sz="4" w:space="0"/>
            </w:tcBorders>
            <w:noWrap w:val="0"/>
            <w:vAlign w:val="center"/>
          </w:tcPr>
          <w:p w14:paraId="314D7CDE">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20E55EF3">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725497DC">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公车运行维护</w:t>
            </w:r>
          </w:p>
        </w:tc>
        <w:tc>
          <w:tcPr>
            <w:tcW w:w="1904" w:type="dxa"/>
            <w:gridSpan w:val="2"/>
            <w:tcBorders>
              <w:top w:val="single" w:color="auto" w:sz="4" w:space="0"/>
              <w:left w:val="nil"/>
              <w:bottom w:val="single" w:color="auto" w:sz="4" w:space="0"/>
              <w:right w:val="single" w:color="000000" w:sz="4" w:space="0"/>
            </w:tcBorders>
            <w:noWrap w:val="0"/>
            <w:vAlign w:val="center"/>
          </w:tcPr>
          <w:p w14:paraId="5CF9483C">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6</w:t>
            </w:r>
          </w:p>
        </w:tc>
        <w:tc>
          <w:tcPr>
            <w:tcW w:w="2093" w:type="dxa"/>
            <w:gridSpan w:val="2"/>
            <w:tcBorders>
              <w:top w:val="single" w:color="auto" w:sz="4" w:space="0"/>
              <w:left w:val="nil"/>
              <w:bottom w:val="single" w:color="auto" w:sz="4" w:space="0"/>
              <w:right w:val="single" w:color="000000" w:sz="4" w:space="0"/>
            </w:tcBorders>
            <w:noWrap w:val="0"/>
            <w:vAlign w:val="center"/>
          </w:tcPr>
          <w:p w14:paraId="0A6680D6">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6</w:t>
            </w:r>
          </w:p>
        </w:tc>
        <w:tc>
          <w:tcPr>
            <w:tcW w:w="1906" w:type="dxa"/>
            <w:gridSpan w:val="2"/>
            <w:tcBorders>
              <w:top w:val="single" w:color="auto" w:sz="4" w:space="0"/>
              <w:left w:val="nil"/>
              <w:bottom w:val="single" w:color="auto" w:sz="4" w:space="0"/>
              <w:right w:val="single" w:color="000000" w:sz="4" w:space="0"/>
            </w:tcBorders>
            <w:noWrap w:val="0"/>
            <w:vAlign w:val="center"/>
          </w:tcPr>
          <w:p w14:paraId="76E7CFEE">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4.13</w:t>
            </w:r>
          </w:p>
        </w:tc>
      </w:tr>
      <w:tr w14:paraId="795D442F">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74DF2FA8">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2、出国经费</w:t>
            </w:r>
          </w:p>
        </w:tc>
        <w:tc>
          <w:tcPr>
            <w:tcW w:w="1904" w:type="dxa"/>
            <w:gridSpan w:val="2"/>
            <w:tcBorders>
              <w:top w:val="single" w:color="auto" w:sz="4" w:space="0"/>
              <w:left w:val="nil"/>
              <w:bottom w:val="single" w:color="auto" w:sz="4" w:space="0"/>
              <w:right w:val="single" w:color="000000" w:sz="4" w:space="0"/>
            </w:tcBorders>
            <w:noWrap w:val="0"/>
            <w:vAlign w:val="center"/>
          </w:tcPr>
          <w:p w14:paraId="660808D9">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093" w:type="dxa"/>
            <w:gridSpan w:val="2"/>
            <w:tcBorders>
              <w:top w:val="single" w:color="auto" w:sz="4" w:space="0"/>
              <w:left w:val="nil"/>
              <w:bottom w:val="single" w:color="auto" w:sz="4" w:space="0"/>
              <w:right w:val="single" w:color="000000" w:sz="4" w:space="0"/>
            </w:tcBorders>
            <w:noWrap w:val="0"/>
            <w:vAlign w:val="center"/>
          </w:tcPr>
          <w:p w14:paraId="49A16B92">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906" w:type="dxa"/>
            <w:gridSpan w:val="2"/>
            <w:tcBorders>
              <w:top w:val="single" w:color="auto" w:sz="4" w:space="0"/>
              <w:left w:val="nil"/>
              <w:bottom w:val="single" w:color="auto" w:sz="4" w:space="0"/>
              <w:right w:val="single" w:color="000000" w:sz="4" w:space="0"/>
            </w:tcBorders>
            <w:noWrap w:val="0"/>
            <w:vAlign w:val="center"/>
          </w:tcPr>
          <w:p w14:paraId="67C2479C">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535D86A0">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29866F3F">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3、公务接待</w:t>
            </w:r>
          </w:p>
        </w:tc>
        <w:tc>
          <w:tcPr>
            <w:tcW w:w="1904" w:type="dxa"/>
            <w:gridSpan w:val="2"/>
            <w:tcBorders>
              <w:top w:val="single" w:color="auto" w:sz="4" w:space="0"/>
              <w:left w:val="nil"/>
              <w:bottom w:val="single" w:color="auto" w:sz="4" w:space="0"/>
              <w:right w:val="single" w:color="000000" w:sz="4" w:space="0"/>
            </w:tcBorders>
            <w:noWrap w:val="0"/>
            <w:vAlign w:val="center"/>
          </w:tcPr>
          <w:p w14:paraId="50DDBD72">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093" w:type="dxa"/>
            <w:gridSpan w:val="2"/>
            <w:tcBorders>
              <w:top w:val="single" w:color="auto" w:sz="4" w:space="0"/>
              <w:left w:val="nil"/>
              <w:bottom w:val="single" w:color="auto" w:sz="4" w:space="0"/>
              <w:right w:val="single" w:color="000000" w:sz="4" w:space="0"/>
            </w:tcBorders>
            <w:noWrap w:val="0"/>
            <w:vAlign w:val="center"/>
          </w:tcPr>
          <w:p w14:paraId="3A5AD572">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906" w:type="dxa"/>
            <w:gridSpan w:val="2"/>
            <w:tcBorders>
              <w:top w:val="single" w:color="auto" w:sz="4" w:space="0"/>
              <w:left w:val="nil"/>
              <w:bottom w:val="single" w:color="auto" w:sz="4" w:space="0"/>
              <w:right w:val="single" w:color="000000" w:sz="4" w:space="0"/>
            </w:tcBorders>
            <w:noWrap w:val="0"/>
            <w:vAlign w:val="center"/>
          </w:tcPr>
          <w:p w14:paraId="1A6435D6">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0DBF4626">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4AB61FD7">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项目支出：</w:t>
            </w:r>
          </w:p>
        </w:tc>
        <w:tc>
          <w:tcPr>
            <w:tcW w:w="1904" w:type="dxa"/>
            <w:gridSpan w:val="2"/>
            <w:tcBorders>
              <w:top w:val="single" w:color="auto" w:sz="4" w:space="0"/>
              <w:left w:val="nil"/>
              <w:bottom w:val="single" w:color="auto" w:sz="4" w:space="0"/>
              <w:right w:val="single" w:color="000000" w:sz="4" w:space="0"/>
            </w:tcBorders>
            <w:noWrap w:val="0"/>
            <w:vAlign w:val="center"/>
          </w:tcPr>
          <w:p w14:paraId="6B48D769">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5573</w:t>
            </w:r>
          </w:p>
        </w:tc>
        <w:tc>
          <w:tcPr>
            <w:tcW w:w="2093" w:type="dxa"/>
            <w:gridSpan w:val="2"/>
            <w:tcBorders>
              <w:top w:val="single" w:color="auto" w:sz="4" w:space="0"/>
              <w:left w:val="nil"/>
              <w:bottom w:val="single" w:color="auto" w:sz="4" w:space="0"/>
              <w:right w:val="single" w:color="000000" w:sz="4" w:space="0"/>
            </w:tcBorders>
            <w:noWrap w:val="0"/>
            <w:vAlign w:val="center"/>
          </w:tcPr>
          <w:p w14:paraId="1E134559">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173</w:t>
            </w:r>
          </w:p>
        </w:tc>
        <w:tc>
          <w:tcPr>
            <w:tcW w:w="1906" w:type="dxa"/>
            <w:gridSpan w:val="2"/>
            <w:tcBorders>
              <w:top w:val="single" w:color="auto" w:sz="4" w:space="0"/>
              <w:left w:val="nil"/>
              <w:bottom w:val="single" w:color="auto" w:sz="4" w:space="0"/>
              <w:right w:val="single" w:color="000000" w:sz="4" w:space="0"/>
            </w:tcBorders>
            <w:noWrap w:val="0"/>
            <w:vAlign w:val="center"/>
          </w:tcPr>
          <w:p w14:paraId="4985FB70">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lang w:val="en-US" w:eastAsia="zh-CN"/>
              </w:rPr>
              <w:t>1874</w:t>
            </w:r>
            <w:r>
              <w:rPr>
                <w:rFonts w:hint="eastAsia" w:ascii="Times New Roman" w:hAnsi="Times New Roman" w:eastAsia="仿宋_GB2312" w:cs="Times New Roman"/>
                <w:color w:val="auto"/>
                <w:sz w:val="20"/>
                <w:szCs w:val="20"/>
                <w:highlight w:val="none"/>
                <w:lang w:val="en-US" w:eastAsia="zh-CN"/>
              </w:rPr>
              <w:t>.05</w:t>
            </w:r>
          </w:p>
        </w:tc>
      </w:tr>
      <w:tr w14:paraId="33EE4D44">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4678C81C">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1、业务工作经费</w:t>
            </w:r>
          </w:p>
        </w:tc>
        <w:tc>
          <w:tcPr>
            <w:tcW w:w="1904" w:type="dxa"/>
            <w:gridSpan w:val="2"/>
            <w:tcBorders>
              <w:top w:val="single" w:color="auto" w:sz="4" w:space="0"/>
              <w:left w:val="nil"/>
              <w:bottom w:val="single" w:color="auto" w:sz="4" w:space="0"/>
              <w:right w:val="single" w:color="000000" w:sz="4" w:space="0"/>
            </w:tcBorders>
            <w:noWrap w:val="0"/>
            <w:vAlign w:val="center"/>
          </w:tcPr>
          <w:p w14:paraId="7E4AB45F">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283</w:t>
            </w:r>
          </w:p>
        </w:tc>
        <w:tc>
          <w:tcPr>
            <w:tcW w:w="2093" w:type="dxa"/>
            <w:gridSpan w:val="2"/>
            <w:tcBorders>
              <w:top w:val="single" w:color="auto" w:sz="4" w:space="0"/>
              <w:left w:val="nil"/>
              <w:bottom w:val="single" w:color="auto" w:sz="4" w:space="0"/>
              <w:right w:val="single" w:color="000000" w:sz="4" w:space="0"/>
            </w:tcBorders>
            <w:noWrap w:val="0"/>
            <w:vAlign w:val="center"/>
          </w:tcPr>
          <w:p w14:paraId="3814741A">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147</w:t>
            </w:r>
          </w:p>
        </w:tc>
        <w:tc>
          <w:tcPr>
            <w:tcW w:w="1906" w:type="dxa"/>
            <w:gridSpan w:val="2"/>
            <w:tcBorders>
              <w:top w:val="single" w:color="auto" w:sz="4" w:space="0"/>
              <w:left w:val="nil"/>
              <w:bottom w:val="single" w:color="auto" w:sz="4" w:space="0"/>
              <w:right w:val="single" w:color="000000" w:sz="4" w:space="0"/>
            </w:tcBorders>
            <w:noWrap w:val="0"/>
            <w:vAlign w:val="center"/>
          </w:tcPr>
          <w:p w14:paraId="6F8E1FE3">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146.86</w:t>
            </w:r>
          </w:p>
        </w:tc>
      </w:tr>
      <w:tr w14:paraId="464DA92C">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7E62EFA8">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2、运行维护经费</w:t>
            </w:r>
          </w:p>
        </w:tc>
        <w:tc>
          <w:tcPr>
            <w:tcW w:w="1904" w:type="dxa"/>
            <w:gridSpan w:val="2"/>
            <w:tcBorders>
              <w:top w:val="single" w:color="auto" w:sz="4" w:space="0"/>
              <w:left w:val="nil"/>
              <w:bottom w:val="single" w:color="auto" w:sz="4" w:space="0"/>
              <w:right w:val="single" w:color="000000" w:sz="4" w:space="0"/>
            </w:tcBorders>
            <w:noWrap w:val="0"/>
            <w:vAlign w:val="center"/>
          </w:tcPr>
          <w:p w14:paraId="374C11C0">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1515</w:t>
            </w:r>
          </w:p>
        </w:tc>
        <w:tc>
          <w:tcPr>
            <w:tcW w:w="2093" w:type="dxa"/>
            <w:gridSpan w:val="2"/>
            <w:tcBorders>
              <w:top w:val="single" w:color="auto" w:sz="4" w:space="0"/>
              <w:left w:val="nil"/>
              <w:bottom w:val="single" w:color="auto" w:sz="4" w:space="0"/>
              <w:right w:val="single" w:color="000000" w:sz="4" w:space="0"/>
            </w:tcBorders>
            <w:noWrap w:val="0"/>
            <w:vAlign w:val="center"/>
          </w:tcPr>
          <w:p w14:paraId="62E67765">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26</w:t>
            </w:r>
          </w:p>
        </w:tc>
        <w:tc>
          <w:tcPr>
            <w:tcW w:w="1906" w:type="dxa"/>
            <w:gridSpan w:val="2"/>
            <w:tcBorders>
              <w:top w:val="single" w:color="auto" w:sz="4" w:space="0"/>
              <w:left w:val="nil"/>
              <w:bottom w:val="single" w:color="auto" w:sz="4" w:space="0"/>
              <w:right w:val="single" w:color="000000" w:sz="4" w:space="0"/>
            </w:tcBorders>
            <w:noWrap w:val="0"/>
            <w:vAlign w:val="center"/>
          </w:tcPr>
          <w:p w14:paraId="48DF7D8F">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lang w:val="en-US" w:eastAsia="zh-CN"/>
              </w:rPr>
              <w:t>116.29</w:t>
            </w:r>
          </w:p>
        </w:tc>
      </w:tr>
      <w:tr w14:paraId="7F035160">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3CF37DFB">
            <w:pPr>
              <w:widowControl/>
              <w:spacing w:line="360" w:lineRule="exact"/>
              <w:ind w:firstLine="400" w:firstLineChars="200"/>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w:t>
            </w:r>
            <w:r>
              <w:rPr>
                <w:rFonts w:hint="default" w:ascii="Times New Roman" w:hAnsi="Times New Roman" w:eastAsia="仿宋_GB2312" w:cs="Times New Roman"/>
                <w:color w:val="000000" w:themeColor="text1"/>
                <w:sz w:val="20"/>
                <w:szCs w:val="20"/>
                <w:highlight w:val="none"/>
                <w:lang w:eastAsia="zh-CN"/>
                <w14:textFill>
                  <w14:solidFill>
                    <w14:schemeClr w14:val="tx1"/>
                  </w14:solidFill>
                </w14:textFill>
              </w:rPr>
              <w:t>市级</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专项资金</w:t>
            </w:r>
          </w:p>
        </w:tc>
        <w:tc>
          <w:tcPr>
            <w:tcW w:w="1904" w:type="dxa"/>
            <w:gridSpan w:val="2"/>
            <w:tcBorders>
              <w:top w:val="single" w:color="auto" w:sz="4" w:space="0"/>
              <w:left w:val="nil"/>
              <w:bottom w:val="single" w:color="auto" w:sz="4" w:space="0"/>
              <w:right w:val="single" w:color="000000" w:sz="4" w:space="0"/>
            </w:tcBorders>
            <w:noWrap w:val="0"/>
            <w:vAlign w:val="center"/>
          </w:tcPr>
          <w:p w14:paraId="51C5C686">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093" w:type="dxa"/>
            <w:gridSpan w:val="2"/>
            <w:tcBorders>
              <w:top w:val="single" w:color="auto" w:sz="4" w:space="0"/>
              <w:left w:val="nil"/>
              <w:bottom w:val="single" w:color="auto" w:sz="4" w:space="0"/>
              <w:right w:val="single" w:color="000000" w:sz="4" w:space="0"/>
            </w:tcBorders>
            <w:noWrap w:val="0"/>
            <w:vAlign w:val="center"/>
          </w:tcPr>
          <w:p w14:paraId="6F187DE2">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906" w:type="dxa"/>
            <w:gridSpan w:val="2"/>
            <w:tcBorders>
              <w:top w:val="single" w:color="auto" w:sz="4" w:space="0"/>
              <w:left w:val="nil"/>
              <w:bottom w:val="single" w:color="auto" w:sz="4" w:space="0"/>
              <w:right w:val="single" w:color="000000" w:sz="4" w:space="0"/>
            </w:tcBorders>
            <w:noWrap w:val="0"/>
            <w:vAlign w:val="center"/>
          </w:tcPr>
          <w:p w14:paraId="7D7E3B0C">
            <w:pPr>
              <w:widowControl/>
              <w:spacing w:line="360" w:lineRule="exact"/>
              <w:jc w:val="center"/>
              <w:rPr>
                <w:rFonts w:hint="default" w:ascii="Times New Roman" w:hAnsi="Times New Roman" w:eastAsia="仿宋_GB2312" w:cs="Times New Roman"/>
                <w:color w:val="auto"/>
                <w:sz w:val="20"/>
                <w:szCs w:val="20"/>
                <w:highlight w:val="none"/>
              </w:rPr>
            </w:pPr>
          </w:p>
        </w:tc>
      </w:tr>
      <w:tr w14:paraId="557CF2B6">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74ED091D">
            <w:pPr>
              <w:widowControl/>
              <w:spacing w:line="360" w:lineRule="exact"/>
              <w:jc w:val="left"/>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 xml:space="preserve">    保障房建设</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资金</w:t>
            </w:r>
          </w:p>
        </w:tc>
        <w:tc>
          <w:tcPr>
            <w:tcW w:w="1904" w:type="dxa"/>
            <w:gridSpan w:val="2"/>
            <w:tcBorders>
              <w:top w:val="single" w:color="auto" w:sz="4" w:space="0"/>
              <w:left w:val="nil"/>
              <w:bottom w:val="single" w:color="auto" w:sz="4" w:space="0"/>
              <w:right w:val="single" w:color="000000" w:sz="4" w:space="0"/>
            </w:tcBorders>
            <w:noWrap w:val="0"/>
            <w:vAlign w:val="center"/>
          </w:tcPr>
          <w:p w14:paraId="795C3904">
            <w:pPr>
              <w:widowControl/>
              <w:spacing w:line="360" w:lineRule="exact"/>
              <w:jc w:val="center"/>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3638</w:t>
            </w:r>
          </w:p>
        </w:tc>
        <w:tc>
          <w:tcPr>
            <w:tcW w:w="2093" w:type="dxa"/>
            <w:gridSpan w:val="2"/>
            <w:tcBorders>
              <w:top w:val="single" w:color="auto" w:sz="4" w:space="0"/>
              <w:left w:val="nil"/>
              <w:bottom w:val="single" w:color="auto" w:sz="4" w:space="0"/>
              <w:right w:val="single" w:color="000000" w:sz="4" w:space="0"/>
            </w:tcBorders>
            <w:noWrap w:val="0"/>
            <w:vAlign w:val="center"/>
          </w:tcPr>
          <w:p w14:paraId="6EF0B7E5">
            <w:pPr>
              <w:widowControl/>
              <w:spacing w:line="360" w:lineRule="exact"/>
              <w:jc w:val="cente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0</w:t>
            </w:r>
          </w:p>
        </w:tc>
        <w:tc>
          <w:tcPr>
            <w:tcW w:w="1906" w:type="dxa"/>
            <w:gridSpan w:val="2"/>
            <w:tcBorders>
              <w:top w:val="single" w:color="auto" w:sz="4" w:space="0"/>
              <w:left w:val="nil"/>
              <w:bottom w:val="single" w:color="auto" w:sz="4" w:space="0"/>
              <w:right w:val="single" w:color="000000" w:sz="4" w:space="0"/>
            </w:tcBorders>
            <w:noWrap w:val="0"/>
            <w:vAlign w:val="center"/>
          </w:tcPr>
          <w:p w14:paraId="36686F77">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lang w:val="en-US" w:eastAsia="zh-CN"/>
              </w:rPr>
              <w:t>1500</w:t>
            </w:r>
          </w:p>
        </w:tc>
      </w:tr>
      <w:tr w14:paraId="68BE86C9">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1BE2ECCE">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老旧小区配套改造</w:t>
            </w:r>
          </w:p>
        </w:tc>
        <w:tc>
          <w:tcPr>
            <w:tcW w:w="1904" w:type="dxa"/>
            <w:gridSpan w:val="2"/>
            <w:tcBorders>
              <w:top w:val="single" w:color="auto" w:sz="4" w:space="0"/>
              <w:left w:val="nil"/>
              <w:bottom w:val="single" w:color="auto" w:sz="4" w:space="0"/>
              <w:right w:val="single" w:color="000000" w:sz="4" w:space="0"/>
            </w:tcBorders>
            <w:noWrap w:val="0"/>
            <w:vAlign w:val="center"/>
          </w:tcPr>
          <w:p w14:paraId="493D4F61">
            <w:pPr>
              <w:widowControl/>
              <w:spacing w:line="360" w:lineRule="exact"/>
              <w:jc w:val="cente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137</w:t>
            </w:r>
          </w:p>
        </w:tc>
        <w:tc>
          <w:tcPr>
            <w:tcW w:w="2093" w:type="dxa"/>
            <w:gridSpan w:val="2"/>
            <w:tcBorders>
              <w:top w:val="single" w:color="auto" w:sz="4" w:space="0"/>
              <w:left w:val="nil"/>
              <w:bottom w:val="single" w:color="auto" w:sz="4" w:space="0"/>
              <w:right w:val="single" w:color="000000" w:sz="4" w:space="0"/>
            </w:tcBorders>
            <w:noWrap w:val="0"/>
            <w:vAlign w:val="center"/>
          </w:tcPr>
          <w:p w14:paraId="59E1A819">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0</w:t>
            </w:r>
          </w:p>
        </w:tc>
        <w:tc>
          <w:tcPr>
            <w:tcW w:w="1906" w:type="dxa"/>
            <w:gridSpan w:val="2"/>
            <w:tcBorders>
              <w:top w:val="single" w:color="auto" w:sz="4" w:space="0"/>
              <w:left w:val="nil"/>
              <w:bottom w:val="single" w:color="auto" w:sz="4" w:space="0"/>
              <w:right w:val="single" w:color="000000" w:sz="4" w:space="0"/>
            </w:tcBorders>
            <w:noWrap w:val="0"/>
            <w:vAlign w:val="center"/>
          </w:tcPr>
          <w:p w14:paraId="05EF0179">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lang w:val="en-US" w:eastAsia="zh-CN"/>
              </w:rPr>
              <w:t>32.81</w:t>
            </w:r>
          </w:p>
        </w:tc>
      </w:tr>
      <w:tr w14:paraId="33C5FDEC">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6D2162C3">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工作经费及其他资金</w:t>
            </w:r>
          </w:p>
        </w:tc>
        <w:tc>
          <w:tcPr>
            <w:tcW w:w="1904" w:type="dxa"/>
            <w:gridSpan w:val="2"/>
            <w:tcBorders>
              <w:top w:val="single" w:color="auto" w:sz="4" w:space="0"/>
              <w:left w:val="nil"/>
              <w:bottom w:val="single" w:color="auto" w:sz="4" w:space="0"/>
              <w:right w:val="single" w:color="000000" w:sz="4" w:space="0"/>
            </w:tcBorders>
            <w:noWrap w:val="0"/>
            <w:vAlign w:val="center"/>
          </w:tcPr>
          <w:p w14:paraId="27E2EA42">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0</w:t>
            </w:r>
          </w:p>
        </w:tc>
        <w:tc>
          <w:tcPr>
            <w:tcW w:w="2093" w:type="dxa"/>
            <w:gridSpan w:val="2"/>
            <w:tcBorders>
              <w:top w:val="single" w:color="auto" w:sz="4" w:space="0"/>
              <w:left w:val="nil"/>
              <w:bottom w:val="single" w:color="auto" w:sz="4" w:space="0"/>
              <w:right w:val="single" w:color="000000" w:sz="4" w:space="0"/>
            </w:tcBorders>
            <w:noWrap w:val="0"/>
            <w:vAlign w:val="center"/>
          </w:tcPr>
          <w:p w14:paraId="15835897">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0</w:t>
            </w:r>
          </w:p>
        </w:tc>
        <w:tc>
          <w:tcPr>
            <w:tcW w:w="1906" w:type="dxa"/>
            <w:gridSpan w:val="2"/>
            <w:tcBorders>
              <w:top w:val="single" w:color="auto" w:sz="4" w:space="0"/>
              <w:left w:val="nil"/>
              <w:bottom w:val="single" w:color="auto" w:sz="4" w:space="0"/>
              <w:right w:val="single" w:color="000000" w:sz="4" w:space="0"/>
            </w:tcBorders>
            <w:noWrap w:val="0"/>
            <w:vAlign w:val="center"/>
          </w:tcPr>
          <w:p w14:paraId="5C6CE270">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78.09</w:t>
            </w:r>
          </w:p>
        </w:tc>
      </w:tr>
      <w:tr w14:paraId="1CABDC1E">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59D28935">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公用经费</w:t>
            </w:r>
          </w:p>
        </w:tc>
        <w:tc>
          <w:tcPr>
            <w:tcW w:w="1904" w:type="dxa"/>
            <w:gridSpan w:val="2"/>
            <w:tcBorders>
              <w:top w:val="single" w:color="auto" w:sz="4" w:space="0"/>
              <w:left w:val="nil"/>
              <w:bottom w:val="single" w:color="auto" w:sz="4" w:space="0"/>
              <w:right w:val="single" w:color="000000" w:sz="4" w:space="0"/>
            </w:tcBorders>
            <w:noWrap w:val="0"/>
            <w:vAlign w:val="center"/>
          </w:tcPr>
          <w:p w14:paraId="1EBC79A9">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252.83</w:t>
            </w:r>
          </w:p>
        </w:tc>
        <w:tc>
          <w:tcPr>
            <w:tcW w:w="2093" w:type="dxa"/>
            <w:gridSpan w:val="2"/>
            <w:tcBorders>
              <w:top w:val="single" w:color="auto" w:sz="4" w:space="0"/>
              <w:left w:val="nil"/>
              <w:bottom w:val="single" w:color="auto" w:sz="4" w:space="0"/>
              <w:right w:val="single" w:color="000000" w:sz="4" w:space="0"/>
            </w:tcBorders>
            <w:noWrap w:val="0"/>
            <w:vAlign w:val="center"/>
          </w:tcPr>
          <w:p w14:paraId="2A3795FB">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117.89</w:t>
            </w:r>
          </w:p>
        </w:tc>
        <w:tc>
          <w:tcPr>
            <w:tcW w:w="1906" w:type="dxa"/>
            <w:gridSpan w:val="2"/>
            <w:tcBorders>
              <w:top w:val="single" w:color="auto" w:sz="4" w:space="0"/>
              <w:left w:val="nil"/>
              <w:bottom w:val="single" w:color="auto" w:sz="4" w:space="0"/>
              <w:right w:val="single" w:color="000000" w:sz="4" w:space="0"/>
            </w:tcBorders>
            <w:noWrap w:val="0"/>
            <w:vAlign w:val="center"/>
          </w:tcPr>
          <w:p w14:paraId="4C0E7E23">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138.21</w:t>
            </w:r>
          </w:p>
        </w:tc>
      </w:tr>
      <w:tr w14:paraId="2B08CCBD">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42D1097B">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其中：办公经费</w:t>
            </w:r>
          </w:p>
        </w:tc>
        <w:tc>
          <w:tcPr>
            <w:tcW w:w="1904" w:type="dxa"/>
            <w:gridSpan w:val="2"/>
            <w:tcBorders>
              <w:top w:val="single" w:color="auto" w:sz="4" w:space="0"/>
              <w:left w:val="nil"/>
              <w:bottom w:val="single" w:color="auto" w:sz="4" w:space="0"/>
              <w:right w:val="single" w:color="000000" w:sz="4" w:space="0"/>
            </w:tcBorders>
            <w:noWrap w:val="0"/>
            <w:vAlign w:val="center"/>
          </w:tcPr>
          <w:p w14:paraId="645FCCCC">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35.84</w:t>
            </w:r>
          </w:p>
        </w:tc>
        <w:tc>
          <w:tcPr>
            <w:tcW w:w="2093" w:type="dxa"/>
            <w:gridSpan w:val="2"/>
            <w:tcBorders>
              <w:top w:val="single" w:color="auto" w:sz="4" w:space="0"/>
              <w:left w:val="nil"/>
              <w:bottom w:val="single" w:color="auto" w:sz="4" w:space="0"/>
              <w:right w:val="single" w:color="000000" w:sz="4" w:space="0"/>
            </w:tcBorders>
            <w:noWrap w:val="0"/>
            <w:vAlign w:val="center"/>
          </w:tcPr>
          <w:p w14:paraId="0DB1652E">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20.25</w:t>
            </w:r>
          </w:p>
        </w:tc>
        <w:tc>
          <w:tcPr>
            <w:tcW w:w="1906" w:type="dxa"/>
            <w:gridSpan w:val="2"/>
            <w:tcBorders>
              <w:top w:val="single" w:color="auto" w:sz="4" w:space="0"/>
              <w:left w:val="nil"/>
              <w:bottom w:val="single" w:color="auto" w:sz="4" w:space="0"/>
              <w:right w:val="single" w:color="000000" w:sz="4" w:space="0"/>
            </w:tcBorders>
            <w:noWrap w:val="0"/>
            <w:vAlign w:val="center"/>
          </w:tcPr>
          <w:p w14:paraId="205689E1">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49.24</w:t>
            </w:r>
          </w:p>
        </w:tc>
      </w:tr>
      <w:tr w14:paraId="268DE4ED">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7412793B">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水费、电费、差旅费</w:t>
            </w:r>
          </w:p>
        </w:tc>
        <w:tc>
          <w:tcPr>
            <w:tcW w:w="1904" w:type="dxa"/>
            <w:gridSpan w:val="2"/>
            <w:tcBorders>
              <w:top w:val="single" w:color="auto" w:sz="4" w:space="0"/>
              <w:left w:val="nil"/>
              <w:bottom w:val="single" w:color="auto" w:sz="4" w:space="0"/>
              <w:right w:val="single" w:color="000000" w:sz="4" w:space="0"/>
            </w:tcBorders>
            <w:noWrap w:val="0"/>
            <w:vAlign w:val="center"/>
          </w:tcPr>
          <w:p w14:paraId="24E1F47B">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17.36</w:t>
            </w:r>
          </w:p>
        </w:tc>
        <w:tc>
          <w:tcPr>
            <w:tcW w:w="2093" w:type="dxa"/>
            <w:gridSpan w:val="2"/>
            <w:tcBorders>
              <w:top w:val="single" w:color="auto" w:sz="4" w:space="0"/>
              <w:left w:val="nil"/>
              <w:bottom w:val="single" w:color="auto" w:sz="4" w:space="0"/>
              <w:right w:val="single" w:color="000000" w:sz="4" w:space="0"/>
            </w:tcBorders>
            <w:noWrap w:val="0"/>
            <w:vAlign w:val="center"/>
          </w:tcPr>
          <w:p w14:paraId="1062BBC3">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20.77</w:t>
            </w:r>
          </w:p>
        </w:tc>
        <w:tc>
          <w:tcPr>
            <w:tcW w:w="1906" w:type="dxa"/>
            <w:gridSpan w:val="2"/>
            <w:tcBorders>
              <w:top w:val="single" w:color="auto" w:sz="4" w:space="0"/>
              <w:left w:val="nil"/>
              <w:bottom w:val="single" w:color="auto" w:sz="4" w:space="0"/>
              <w:right w:val="single" w:color="000000" w:sz="4" w:space="0"/>
            </w:tcBorders>
            <w:noWrap w:val="0"/>
            <w:vAlign w:val="center"/>
          </w:tcPr>
          <w:p w14:paraId="7B77A706">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24.49</w:t>
            </w:r>
          </w:p>
        </w:tc>
      </w:tr>
      <w:tr w14:paraId="6973E717">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0DACB9F0">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会议费、培训费</w:t>
            </w:r>
          </w:p>
        </w:tc>
        <w:tc>
          <w:tcPr>
            <w:tcW w:w="1904" w:type="dxa"/>
            <w:gridSpan w:val="2"/>
            <w:tcBorders>
              <w:top w:val="single" w:color="auto" w:sz="4" w:space="0"/>
              <w:left w:val="nil"/>
              <w:bottom w:val="single" w:color="auto" w:sz="4" w:space="0"/>
              <w:right w:val="single" w:color="000000" w:sz="4" w:space="0"/>
            </w:tcBorders>
            <w:noWrap w:val="0"/>
            <w:vAlign w:val="center"/>
          </w:tcPr>
          <w:p w14:paraId="23287377">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2093" w:type="dxa"/>
            <w:gridSpan w:val="2"/>
            <w:tcBorders>
              <w:top w:val="single" w:color="auto" w:sz="4" w:space="0"/>
              <w:left w:val="nil"/>
              <w:bottom w:val="single" w:color="auto" w:sz="4" w:space="0"/>
              <w:right w:val="single" w:color="000000" w:sz="4" w:space="0"/>
            </w:tcBorders>
            <w:noWrap w:val="0"/>
            <w:vAlign w:val="center"/>
          </w:tcPr>
          <w:p w14:paraId="6454F5A8">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906" w:type="dxa"/>
            <w:gridSpan w:val="2"/>
            <w:tcBorders>
              <w:top w:val="single" w:color="auto" w:sz="4" w:space="0"/>
              <w:left w:val="nil"/>
              <w:bottom w:val="single" w:color="auto" w:sz="4" w:space="0"/>
              <w:right w:val="single" w:color="000000" w:sz="4" w:space="0"/>
            </w:tcBorders>
            <w:noWrap w:val="0"/>
            <w:vAlign w:val="center"/>
          </w:tcPr>
          <w:p w14:paraId="3682D333">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29BD2B85">
        <w:tblPrEx>
          <w:tblCellMar>
            <w:top w:w="0" w:type="dxa"/>
            <w:left w:w="108" w:type="dxa"/>
            <w:bottom w:w="0" w:type="dxa"/>
            <w:right w:w="108" w:type="dxa"/>
          </w:tblCellMar>
        </w:tblPrEx>
        <w:trPr>
          <w:trHeight w:val="367" w:hRule="atLeast"/>
          <w:jc w:val="center"/>
        </w:trPr>
        <w:tc>
          <w:tcPr>
            <w:tcW w:w="3134" w:type="dxa"/>
            <w:tcBorders>
              <w:top w:val="nil"/>
              <w:left w:val="single" w:color="auto" w:sz="4" w:space="0"/>
              <w:bottom w:val="single" w:color="auto" w:sz="4" w:space="0"/>
              <w:right w:val="single" w:color="auto" w:sz="4" w:space="0"/>
            </w:tcBorders>
            <w:noWrap w:val="0"/>
            <w:vAlign w:val="center"/>
          </w:tcPr>
          <w:p w14:paraId="7906F989">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政府采购金额</w:t>
            </w:r>
          </w:p>
        </w:tc>
        <w:tc>
          <w:tcPr>
            <w:tcW w:w="1904" w:type="dxa"/>
            <w:gridSpan w:val="2"/>
            <w:tcBorders>
              <w:top w:val="single" w:color="auto" w:sz="4" w:space="0"/>
              <w:left w:val="nil"/>
              <w:bottom w:val="single" w:color="auto" w:sz="4" w:space="0"/>
              <w:right w:val="single" w:color="000000" w:sz="4" w:space="0"/>
            </w:tcBorders>
            <w:noWrap w:val="0"/>
            <w:vAlign w:val="center"/>
          </w:tcPr>
          <w:p w14:paraId="4D9CEC4D">
            <w:pPr>
              <w:widowControl/>
              <w:spacing w:line="360" w:lineRule="exact"/>
              <w:jc w:val="center"/>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t>——</w:t>
            </w:r>
          </w:p>
        </w:tc>
        <w:tc>
          <w:tcPr>
            <w:tcW w:w="2093" w:type="dxa"/>
            <w:gridSpan w:val="2"/>
            <w:tcBorders>
              <w:top w:val="single" w:color="auto" w:sz="4" w:space="0"/>
              <w:left w:val="nil"/>
              <w:bottom w:val="single" w:color="auto" w:sz="4" w:space="0"/>
              <w:right w:val="single" w:color="000000" w:sz="4" w:space="0"/>
            </w:tcBorders>
            <w:noWrap w:val="0"/>
            <w:vAlign w:val="center"/>
          </w:tcPr>
          <w:p w14:paraId="2A0C6DBF">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290.89</w:t>
            </w:r>
          </w:p>
        </w:tc>
        <w:tc>
          <w:tcPr>
            <w:tcW w:w="1906" w:type="dxa"/>
            <w:gridSpan w:val="2"/>
            <w:tcBorders>
              <w:top w:val="single" w:color="auto" w:sz="4" w:space="0"/>
              <w:left w:val="nil"/>
              <w:bottom w:val="single" w:color="auto" w:sz="4" w:space="0"/>
              <w:right w:val="single" w:color="000000" w:sz="4" w:space="0"/>
            </w:tcBorders>
            <w:noWrap w:val="0"/>
            <w:vAlign w:val="center"/>
          </w:tcPr>
          <w:p w14:paraId="7DACDD57">
            <w:pPr>
              <w:widowControl/>
              <w:spacing w:line="36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341.98</w:t>
            </w:r>
          </w:p>
        </w:tc>
      </w:tr>
      <w:tr w14:paraId="0C2E329C">
        <w:tblPrEx>
          <w:tblCellMar>
            <w:top w:w="0" w:type="dxa"/>
            <w:left w:w="108" w:type="dxa"/>
            <w:bottom w:w="0" w:type="dxa"/>
            <w:right w:w="108" w:type="dxa"/>
          </w:tblCellMar>
        </w:tblPrEx>
        <w:trPr>
          <w:trHeight w:val="90" w:hRule="atLeast"/>
          <w:jc w:val="center"/>
        </w:trPr>
        <w:tc>
          <w:tcPr>
            <w:tcW w:w="3134" w:type="dxa"/>
            <w:tcBorders>
              <w:top w:val="nil"/>
              <w:left w:val="single" w:color="auto" w:sz="4" w:space="0"/>
              <w:bottom w:val="single" w:color="auto" w:sz="4" w:space="0"/>
              <w:right w:val="single" w:color="auto" w:sz="4" w:space="0"/>
            </w:tcBorders>
            <w:noWrap w:val="0"/>
            <w:vAlign w:val="center"/>
          </w:tcPr>
          <w:p w14:paraId="0EB89CB3">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部门基本支出预算调整 </w:t>
            </w:r>
          </w:p>
        </w:tc>
        <w:tc>
          <w:tcPr>
            <w:tcW w:w="1904" w:type="dxa"/>
            <w:gridSpan w:val="2"/>
            <w:tcBorders>
              <w:top w:val="single" w:color="auto" w:sz="4" w:space="0"/>
              <w:left w:val="nil"/>
              <w:bottom w:val="single" w:color="auto" w:sz="4" w:space="0"/>
              <w:right w:val="single" w:color="000000" w:sz="4" w:space="0"/>
            </w:tcBorders>
            <w:noWrap w:val="0"/>
            <w:vAlign w:val="center"/>
          </w:tcPr>
          <w:p w14:paraId="3E8BA6D1">
            <w:pPr>
              <w:widowControl/>
              <w:spacing w:line="360" w:lineRule="exact"/>
              <w:jc w:val="center"/>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t>——</w:t>
            </w:r>
          </w:p>
        </w:tc>
        <w:tc>
          <w:tcPr>
            <w:tcW w:w="2093" w:type="dxa"/>
            <w:gridSpan w:val="2"/>
            <w:tcBorders>
              <w:top w:val="single" w:color="auto" w:sz="4" w:space="0"/>
              <w:left w:val="nil"/>
              <w:bottom w:val="single" w:color="auto" w:sz="4" w:space="0"/>
              <w:right w:val="single" w:color="000000" w:sz="4" w:space="0"/>
            </w:tcBorders>
            <w:noWrap w:val="0"/>
            <w:vAlign w:val="center"/>
          </w:tcPr>
          <w:p w14:paraId="2567DD8D">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1342.29</w:t>
            </w:r>
          </w:p>
        </w:tc>
        <w:tc>
          <w:tcPr>
            <w:tcW w:w="1906" w:type="dxa"/>
            <w:gridSpan w:val="2"/>
            <w:tcBorders>
              <w:top w:val="single" w:color="auto" w:sz="4" w:space="0"/>
              <w:left w:val="nil"/>
              <w:bottom w:val="single" w:color="auto" w:sz="4" w:space="0"/>
              <w:right w:val="single" w:color="000000" w:sz="4" w:space="0"/>
            </w:tcBorders>
            <w:noWrap w:val="0"/>
            <w:vAlign w:val="center"/>
          </w:tcPr>
          <w:p w14:paraId="5C6E08DF">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1323.41</w:t>
            </w:r>
          </w:p>
        </w:tc>
      </w:tr>
      <w:tr w14:paraId="49DB3E85">
        <w:tblPrEx>
          <w:tblCellMar>
            <w:top w:w="0" w:type="dxa"/>
            <w:left w:w="108" w:type="dxa"/>
            <w:bottom w:w="0" w:type="dxa"/>
            <w:right w:w="108" w:type="dxa"/>
          </w:tblCellMar>
        </w:tblPrEx>
        <w:trPr>
          <w:trHeight w:val="1079" w:hRule="atLeast"/>
          <w:jc w:val="center"/>
        </w:trPr>
        <w:tc>
          <w:tcPr>
            <w:tcW w:w="3134" w:type="dxa"/>
            <w:vMerge w:val="restart"/>
            <w:tcBorders>
              <w:top w:val="nil"/>
              <w:left w:val="single" w:color="auto" w:sz="4" w:space="0"/>
              <w:bottom w:val="single" w:color="auto" w:sz="4" w:space="0"/>
              <w:right w:val="single" w:color="auto" w:sz="4" w:space="0"/>
            </w:tcBorders>
            <w:noWrap w:val="0"/>
            <w:vAlign w:val="center"/>
          </w:tcPr>
          <w:p w14:paraId="6D36E9DB">
            <w:pPr>
              <w:widowControl/>
              <w:spacing w:line="360" w:lineRule="exact"/>
              <w:jc w:val="center"/>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楼堂馆所控制情况</w:t>
            </w:r>
          </w:p>
          <w:p w14:paraId="0120B87A">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（202</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年完工项目）</w:t>
            </w:r>
          </w:p>
        </w:tc>
        <w:tc>
          <w:tcPr>
            <w:tcW w:w="1110" w:type="dxa"/>
            <w:tcBorders>
              <w:top w:val="nil"/>
              <w:left w:val="nil"/>
              <w:bottom w:val="single" w:color="auto" w:sz="4" w:space="0"/>
              <w:right w:val="single" w:color="auto" w:sz="4" w:space="0"/>
            </w:tcBorders>
            <w:noWrap w:val="0"/>
            <w:vAlign w:val="center"/>
          </w:tcPr>
          <w:p w14:paraId="3ADC1437">
            <w:pPr>
              <w:widowControl/>
              <w:spacing w:line="360" w:lineRule="exact"/>
              <w:jc w:val="center"/>
              <w:rPr>
                <w:rFonts w:hint="eastAsia" w:ascii="Times New Roman" w:hAnsi="Times New Roman" w:eastAsia="仿宋_GB2312" w:cs="Times New Roman"/>
                <w:bCs/>
                <w:color w:val="000000" w:themeColor="text1"/>
                <w:sz w:val="20"/>
                <w:szCs w:val="20"/>
                <w:highlight w:val="none"/>
                <w:lang w:eastAsia="zh-CN"/>
                <w14:textFill>
                  <w14:solidFill>
                    <w14:schemeClr w14:val="tx1"/>
                  </w14:solidFill>
                </w14:textFill>
              </w:rPr>
            </w:pPr>
            <w:r>
              <w:rPr>
                <w:rFonts w:hint="default" w:ascii="Times New Roman" w:hAnsi="Times New Roman" w:eastAsia="仿宋_GB2312" w:cs="Times New Roman"/>
                <w:bCs/>
                <w:color w:val="000000" w:themeColor="text1"/>
                <w:sz w:val="20"/>
                <w:szCs w:val="20"/>
                <w:highlight w:val="none"/>
                <w14:textFill>
                  <w14:solidFill>
                    <w14:schemeClr w14:val="tx1"/>
                  </w14:solidFill>
                </w14:textFill>
              </w:rPr>
              <w:t>批复规模</w:t>
            </w:r>
          </w:p>
          <w:p w14:paraId="6D77BC10">
            <w:pPr>
              <w:widowControl/>
              <w:spacing w:line="360" w:lineRule="exact"/>
              <w:jc w:val="center"/>
              <w:rPr>
                <w:rFonts w:hint="default" w:ascii="Times New Roman" w:hAnsi="Times New Roman" w:eastAsia="仿宋_GB2312" w:cs="Times New Roman"/>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Cs/>
                <w:color w:val="000000" w:themeColor="text1"/>
                <w:sz w:val="20"/>
                <w:szCs w:val="20"/>
                <w:highlight w:val="none"/>
                <w14:textFill>
                  <w14:solidFill>
                    <w14:schemeClr w14:val="tx1"/>
                  </w14:solidFill>
                </w14:textFill>
              </w:rPr>
              <w:t>（㎡）</w:t>
            </w:r>
          </w:p>
        </w:tc>
        <w:tc>
          <w:tcPr>
            <w:tcW w:w="794" w:type="dxa"/>
            <w:tcBorders>
              <w:top w:val="nil"/>
              <w:left w:val="nil"/>
              <w:bottom w:val="single" w:color="auto" w:sz="4" w:space="0"/>
              <w:right w:val="single" w:color="auto" w:sz="4" w:space="0"/>
            </w:tcBorders>
            <w:noWrap w:val="0"/>
            <w:vAlign w:val="center"/>
          </w:tcPr>
          <w:p w14:paraId="114FFFDF">
            <w:pPr>
              <w:widowControl/>
              <w:spacing w:line="360" w:lineRule="exact"/>
              <w:jc w:val="center"/>
              <w:rPr>
                <w:rFonts w:hint="default" w:ascii="Times New Roman" w:hAnsi="Times New Roman" w:eastAsia="仿宋_GB2312" w:cs="Times New Roman"/>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Cs/>
                <w:color w:val="000000" w:themeColor="text1"/>
                <w:sz w:val="20"/>
                <w:szCs w:val="20"/>
                <w:highlight w:val="none"/>
                <w14:textFill>
                  <w14:solidFill>
                    <w14:schemeClr w14:val="tx1"/>
                  </w14:solidFill>
                </w14:textFill>
              </w:rPr>
              <w:t>实际规模（㎡）</w:t>
            </w:r>
          </w:p>
        </w:tc>
        <w:tc>
          <w:tcPr>
            <w:tcW w:w="1054" w:type="dxa"/>
            <w:tcBorders>
              <w:top w:val="nil"/>
              <w:left w:val="nil"/>
              <w:bottom w:val="single" w:color="auto" w:sz="4" w:space="0"/>
              <w:right w:val="single" w:color="auto" w:sz="4" w:space="0"/>
            </w:tcBorders>
            <w:noWrap w:val="0"/>
            <w:vAlign w:val="center"/>
          </w:tcPr>
          <w:p w14:paraId="0FF8CEF7">
            <w:pPr>
              <w:widowControl/>
              <w:spacing w:line="360" w:lineRule="exact"/>
              <w:jc w:val="center"/>
              <w:rPr>
                <w:rFonts w:hint="default" w:ascii="Times New Roman" w:hAnsi="Times New Roman" w:eastAsia="仿宋_GB2312" w:cs="Times New Roman"/>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Cs/>
                <w:color w:val="000000" w:themeColor="text1"/>
                <w:sz w:val="20"/>
                <w:szCs w:val="20"/>
                <w:highlight w:val="none"/>
                <w14:textFill>
                  <w14:solidFill>
                    <w14:schemeClr w14:val="tx1"/>
                  </w14:solidFill>
                </w14:textFill>
              </w:rPr>
              <w:t>规模控制率</w:t>
            </w:r>
          </w:p>
        </w:tc>
        <w:tc>
          <w:tcPr>
            <w:tcW w:w="1039" w:type="dxa"/>
            <w:tcBorders>
              <w:top w:val="nil"/>
              <w:left w:val="nil"/>
              <w:bottom w:val="single" w:color="auto" w:sz="4" w:space="0"/>
              <w:right w:val="single" w:color="auto" w:sz="4" w:space="0"/>
            </w:tcBorders>
            <w:noWrap w:val="0"/>
            <w:vAlign w:val="center"/>
          </w:tcPr>
          <w:p w14:paraId="13CB8E75">
            <w:pPr>
              <w:widowControl/>
              <w:spacing w:line="360" w:lineRule="exact"/>
              <w:jc w:val="center"/>
              <w:rPr>
                <w:rFonts w:hint="default" w:ascii="Times New Roman" w:hAnsi="Times New Roman" w:eastAsia="仿宋_GB2312" w:cs="Times New Roman"/>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Cs/>
                <w:color w:val="000000" w:themeColor="text1"/>
                <w:sz w:val="20"/>
                <w:szCs w:val="20"/>
                <w:highlight w:val="none"/>
                <w14:textFill>
                  <w14:solidFill>
                    <w14:schemeClr w14:val="tx1"/>
                  </w14:solidFill>
                </w14:textFill>
              </w:rPr>
              <w:t>预算投资（万元）</w:t>
            </w:r>
          </w:p>
        </w:tc>
        <w:tc>
          <w:tcPr>
            <w:tcW w:w="1009" w:type="dxa"/>
            <w:tcBorders>
              <w:top w:val="nil"/>
              <w:left w:val="nil"/>
              <w:bottom w:val="single" w:color="auto" w:sz="4" w:space="0"/>
              <w:right w:val="single" w:color="auto" w:sz="4" w:space="0"/>
            </w:tcBorders>
            <w:noWrap w:val="0"/>
            <w:vAlign w:val="center"/>
          </w:tcPr>
          <w:p w14:paraId="696EF27C">
            <w:pPr>
              <w:widowControl/>
              <w:spacing w:line="360" w:lineRule="exact"/>
              <w:jc w:val="center"/>
              <w:rPr>
                <w:rFonts w:hint="default" w:ascii="Times New Roman" w:hAnsi="Times New Roman" w:eastAsia="仿宋_GB2312" w:cs="Times New Roman"/>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Cs/>
                <w:color w:val="000000" w:themeColor="text1"/>
                <w:sz w:val="20"/>
                <w:szCs w:val="20"/>
                <w:highlight w:val="none"/>
                <w14:textFill>
                  <w14:solidFill>
                    <w14:schemeClr w14:val="tx1"/>
                  </w14:solidFill>
                </w14:textFill>
              </w:rPr>
              <w:t>实际投资（万元）</w:t>
            </w:r>
          </w:p>
        </w:tc>
        <w:tc>
          <w:tcPr>
            <w:tcW w:w="897" w:type="dxa"/>
            <w:tcBorders>
              <w:top w:val="nil"/>
              <w:left w:val="nil"/>
              <w:bottom w:val="single" w:color="auto" w:sz="4" w:space="0"/>
              <w:right w:val="single" w:color="auto" w:sz="4" w:space="0"/>
            </w:tcBorders>
            <w:noWrap w:val="0"/>
            <w:vAlign w:val="center"/>
          </w:tcPr>
          <w:p w14:paraId="0256E8A0">
            <w:pPr>
              <w:widowControl/>
              <w:spacing w:line="360" w:lineRule="exact"/>
              <w:jc w:val="center"/>
              <w:rPr>
                <w:rFonts w:hint="default" w:ascii="Times New Roman" w:hAnsi="Times New Roman" w:eastAsia="仿宋_GB2312" w:cs="Times New Roman"/>
                <w:bCs/>
                <w:color w:val="000000" w:themeColor="text1"/>
                <w:sz w:val="20"/>
                <w:szCs w:val="20"/>
                <w:highlight w:val="none"/>
                <w14:textFill>
                  <w14:solidFill>
                    <w14:schemeClr w14:val="tx1"/>
                  </w14:solidFill>
                </w14:textFill>
              </w:rPr>
            </w:pPr>
            <w:r>
              <w:rPr>
                <w:rFonts w:hint="default" w:ascii="Times New Roman" w:hAnsi="Times New Roman" w:eastAsia="仿宋_GB2312" w:cs="Times New Roman"/>
                <w:bCs/>
                <w:color w:val="000000" w:themeColor="text1"/>
                <w:sz w:val="20"/>
                <w:szCs w:val="20"/>
                <w:highlight w:val="none"/>
                <w14:textFill>
                  <w14:solidFill>
                    <w14:schemeClr w14:val="tx1"/>
                  </w14:solidFill>
                </w14:textFill>
              </w:rPr>
              <w:t>投资概算控制率</w:t>
            </w:r>
          </w:p>
        </w:tc>
      </w:tr>
      <w:tr w14:paraId="146BD031">
        <w:tblPrEx>
          <w:tblCellMar>
            <w:top w:w="0" w:type="dxa"/>
            <w:left w:w="108" w:type="dxa"/>
            <w:bottom w:w="0" w:type="dxa"/>
            <w:right w:w="108" w:type="dxa"/>
          </w:tblCellMar>
        </w:tblPrEx>
        <w:trPr>
          <w:trHeight w:val="367" w:hRule="atLeast"/>
          <w:jc w:val="center"/>
        </w:trPr>
        <w:tc>
          <w:tcPr>
            <w:tcW w:w="3134" w:type="dxa"/>
            <w:vMerge w:val="continue"/>
            <w:tcBorders>
              <w:top w:val="nil"/>
              <w:left w:val="single" w:color="auto" w:sz="4" w:space="0"/>
              <w:bottom w:val="single" w:color="auto" w:sz="4" w:space="0"/>
              <w:right w:val="single" w:color="auto" w:sz="4" w:space="0"/>
            </w:tcBorders>
            <w:noWrap w:val="0"/>
            <w:vAlign w:val="center"/>
          </w:tcPr>
          <w:p w14:paraId="097A16B2">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10" w:type="dxa"/>
            <w:tcBorders>
              <w:top w:val="nil"/>
              <w:left w:val="nil"/>
              <w:bottom w:val="single" w:color="auto" w:sz="4" w:space="0"/>
              <w:right w:val="single" w:color="auto" w:sz="4" w:space="0"/>
            </w:tcBorders>
            <w:noWrap w:val="0"/>
            <w:vAlign w:val="center"/>
          </w:tcPr>
          <w:p w14:paraId="25E8CA0C">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794" w:type="dxa"/>
            <w:tcBorders>
              <w:top w:val="nil"/>
              <w:left w:val="nil"/>
              <w:bottom w:val="single" w:color="auto" w:sz="4" w:space="0"/>
              <w:right w:val="single" w:color="auto" w:sz="4" w:space="0"/>
            </w:tcBorders>
            <w:noWrap w:val="0"/>
            <w:vAlign w:val="center"/>
          </w:tcPr>
          <w:p w14:paraId="7258D5A8">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54" w:type="dxa"/>
            <w:tcBorders>
              <w:top w:val="nil"/>
              <w:left w:val="nil"/>
              <w:bottom w:val="single" w:color="auto" w:sz="4" w:space="0"/>
              <w:right w:val="single" w:color="auto" w:sz="4" w:space="0"/>
            </w:tcBorders>
            <w:noWrap w:val="0"/>
            <w:vAlign w:val="center"/>
          </w:tcPr>
          <w:p w14:paraId="69A2E1F0">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39" w:type="dxa"/>
            <w:tcBorders>
              <w:top w:val="nil"/>
              <w:left w:val="nil"/>
              <w:bottom w:val="single" w:color="auto" w:sz="4" w:space="0"/>
              <w:right w:val="single" w:color="auto" w:sz="4" w:space="0"/>
            </w:tcBorders>
            <w:noWrap w:val="0"/>
            <w:vAlign w:val="center"/>
          </w:tcPr>
          <w:p w14:paraId="5E01EF34">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09" w:type="dxa"/>
            <w:tcBorders>
              <w:top w:val="nil"/>
              <w:left w:val="nil"/>
              <w:bottom w:val="single" w:color="auto" w:sz="4" w:space="0"/>
              <w:right w:val="single" w:color="auto" w:sz="4" w:space="0"/>
            </w:tcBorders>
            <w:noWrap w:val="0"/>
            <w:vAlign w:val="center"/>
          </w:tcPr>
          <w:p w14:paraId="62D26281">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897" w:type="dxa"/>
            <w:tcBorders>
              <w:top w:val="nil"/>
              <w:left w:val="nil"/>
              <w:bottom w:val="single" w:color="auto" w:sz="4" w:space="0"/>
              <w:right w:val="single" w:color="auto" w:sz="4" w:space="0"/>
            </w:tcBorders>
            <w:noWrap w:val="0"/>
            <w:vAlign w:val="center"/>
          </w:tcPr>
          <w:p w14:paraId="532ACBB2">
            <w:pPr>
              <w:widowControl/>
              <w:spacing w:line="36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11B6AA50">
        <w:tblPrEx>
          <w:tblCellMar>
            <w:top w:w="0" w:type="dxa"/>
            <w:left w:w="108" w:type="dxa"/>
            <w:bottom w:w="0" w:type="dxa"/>
            <w:right w:w="108" w:type="dxa"/>
          </w:tblCellMar>
        </w:tblPrEx>
        <w:trPr>
          <w:trHeight w:val="395" w:hRule="atLeast"/>
          <w:jc w:val="center"/>
        </w:trPr>
        <w:tc>
          <w:tcPr>
            <w:tcW w:w="3134" w:type="dxa"/>
            <w:tcBorders>
              <w:top w:val="nil"/>
              <w:left w:val="single" w:color="auto" w:sz="4" w:space="0"/>
              <w:bottom w:val="single" w:color="auto" w:sz="4" w:space="0"/>
              <w:right w:val="single" w:color="auto" w:sz="4" w:space="0"/>
            </w:tcBorders>
            <w:noWrap w:val="0"/>
            <w:vAlign w:val="center"/>
          </w:tcPr>
          <w:p w14:paraId="51F9175A">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厉行节约保障措施</w:t>
            </w:r>
          </w:p>
        </w:tc>
        <w:tc>
          <w:tcPr>
            <w:tcW w:w="5903" w:type="dxa"/>
            <w:gridSpan w:val="6"/>
            <w:tcBorders>
              <w:top w:val="single" w:color="auto" w:sz="4" w:space="0"/>
              <w:left w:val="nil"/>
              <w:bottom w:val="single" w:color="auto" w:sz="4" w:space="0"/>
              <w:right w:val="single" w:color="000000" w:sz="4" w:space="0"/>
            </w:tcBorders>
            <w:noWrap w:val="0"/>
            <w:vAlign w:val="center"/>
          </w:tcPr>
          <w:p w14:paraId="2462808C">
            <w:pPr>
              <w:widowControl/>
              <w:spacing w:line="36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bl>
    <w:p w14:paraId="5B9C30E6">
      <w:pPr>
        <w:widowControl/>
        <w:spacing w:afterLines="0" w:line="400" w:lineRule="exact"/>
        <w:jc w:val="left"/>
        <w:rPr>
          <w:rFonts w:hint="default" w:ascii="Times New Roman" w:hAnsi="Times New Roman" w:eastAsia="仿宋_GB2312" w:cs="Times New Roman"/>
          <w:color w:val="000000" w:themeColor="text1"/>
          <w:sz w:val="22"/>
          <w:highlight w:val="none"/>
          <w14:textFill>
            <w14:solidFill>
              <w14:schemeClr w14:val="tx1"/>
            </w14:solidFill>
          </w14:textFill>
        </w:rPr>
      </w:pPr>
      <w:r>
        <w:rPr>
          <w:rFonts w:hint="default" w:ascii="Times New Roman" w:hAnsi="Times New Roman" w:eastAsia="仿宋_GB2312" w:cs="Times New Roman"/>
          <w:color w:val="000000" w:themeColor="text1"/>
          <w:sz w:val="22"/>
          <w:highlight w:val="none"/>
          <w14:textFill>
            <w14:solidFill>
              <w14:schemeClr w14:val="tx1"/>
            </w14:solidFill>
          </w14:textFill>
        </w:rPr>
        <w:t>说明：“项目支出”需要填报基本支出以外的所有项目支出情况，“公用经费”填报基本支出中的一般商品和服务支出。</w:t>
      </w:r>
    </w:p>
    <w:p w14:paraId="55FA68FE">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仿宋_GB2312" w:cs="Times New Roman"/>
          <w:color w:val="000000" w:themeColor="text1"/>
          <w:sz w:val="22"/>
          <w:highlight w:val="none"/>
          <w14:textFill>
            <w14:solidFill>
              <w14:schemeClr w14:val="tx1"/>
            </w14:solidFill>
          </w14:textFill>
        </w:rPr>
        <w:sectPr>
          <w:pgSz w:w="11906" w:h="16838"/>
          <w:pgMar w:top="1440" w:right="1800" w:bottom="1440" w:left="1800" w:header="851" w:footer="992" w:gutter="0"/>
          <w:pgNumType w:fmt="decimal" w:start="1"/>
          <w:cols w:space="425" w:num="1"/>
          <w:docGrid w:type="lines" w:linePitch="312" w:charSpace="0"/>
        </w:sectPr>
      </w:pPr>
      <w:r>
        <w:rPr>
          <w:rFonts w:hint="default" w:ascii="Times New Roman" w:hAnsi="Times New Roman" w:eastAsia="仿宋_GB2312" w:cs="Times New Roman"/>
          <w:color w:val="000000" w:themeColor="text1"/>
          <w:sz w:val="22"/>
          <w:highlight w:val="none"/>
          <w14:textFill>
            <w14:solidFill>
              <w14:schemeClr w14:val="tx1"/>
            </w14:solidFill>
          </w14:textFill>
        </w:rPr>
        <w:t>填表人：</w:t>
      </w:r>
      <w:r>
        <w:rPr>
          <w:rFonts w:hint="eastAsia" w:ascii="Times New Roman" w:hAnsi="Times New Roman" w:eastAsia="仿宋_GB2312" w:cs="Times New Roman"/>
          <w:color w:val="000000" w:themeColor="text1"/>
          <w:sz w:val="22"/>
          <w:highlight w:val="none"/>
          <w:lang w:val="en-US" w:eastAsia="zh-CN"/>
          <w14:textFill>
            <w14:solidFill>
              <w14:schemeClr w14:val="tx1"/>
            </w14:solidFill>
          </w14:textFill>
        </w:rPr>
        <w:t>刘庆芳</w:t>
      </w:r>
      <w:r>
        <w:rPr>
          <w:rFonts w:hint="default" w:ascii="Times New Roman" w:hAnsi="Times New Roman" w:eastAsia="仿宋_GB2312" w:cs="Times New Roman"/>
          <w:color w:val="000000" w:themeColor="text1"/>
          <w:sz w:val="22"/>
          <w:highlight w:val="none"/>
          <w14:textFill>
            <w14:solidFill>
              <w14:schemeClr w14:val="tx1"/>
            </w14:solidFill>
          </w14:textFill>
        </w:rPr>
        <w:t xml:space="preserve"> 填报日期：</w:t>
      </w:r>
      <w:r>
        <w:rPr>
          <w:rFonts w:hint="eastAsia" w:ascii="Times New Roman" w:hAnsi="Times New Roman" w:eastAsia="仿宋_GB2312" w:cs="Times New Roman"/>
          <w:color w:val="000000" w:themeColor="text1"/>
          <w:sz w:val="22"/>
          <w:highlight w:val="none"/>
          <w:lang w:val="en-US" w:eastAsia="zh-CN"/>
          <w14:textFill>
            <w14:solidFill>
              <w14:schemeClr w14:val="tx1"/>
            </w14:solidFill>
          </w14:textFill>
        </w:rPr>
        <w:t>2024.6.5</w:t>
      </w:r>
      <w:r>
        <w:rPr>
          <w:rFonts w:hint="default" w:ascii="Times New Roman" w:hAnsi="Times New Roman" w:eastAsia="仿宋_GB2312" w:cs="Times New Roman"/>
          <w:color w:val="000000" w:themeColor="text1"/>
          <w:sz w:val="22"/>
          <w:highlight w:val="none"/>
          <w14:textFill>
            <w14:solidFill>
              <w14:schemeClr w14:val="tx1"/>
            </w14:solidFill>
          </w14:textFill>
        </w:rPr>
        <w:t xml:space="preserve"> 联系电话：</w:t>
      </w:r>
      <w:r>
        <w:rPr>
          <w:rFonts w:hint="eastAsia" w:ascii="Times New Roman" w:hAnsi="Times New Roman" w:eastAsia="仿宋_GB2312" w:cs="Times New Roman"/>
          <w:color w:val="000000" w:themeColor="text1"/>
          <w:sz w:val="22"/>
          <w:highlight w:val="none"/>
          <w:lang w:val="en-US" w:eastAsia="zh-CN"/>
          <w14:textFill>
            <w14:solidFill>
              <w14:schemeClr w14:val="tx1"/>
            </w14:solidFill>
          </w14:textFill>
        </w:rPr>
        <w:t>13975071386</w:t>
      </w:r>
      <w:r>
        <w:rPr>
          <w:rFonts w:hint="default" w:ascii="Times New Roman" w:hAnsi="Times New Roman" w:eastAsia="仿宋_GB2312" w:cs="Times New Roman"/>
          <w:color w:val="000000" w:themeColor="text1"/>
          <w:sz w:val="22"/>
          <w:highlight w:val="none"/>
          <w14:textFill>
            <w14:solidFill>
              <w14:schemeClr w14:val="tx1"/>
            </w14:solidFill>
          </w14:textFill>
        </w:rPr>
        <w:t>单位负责人签字：</w:t>
      </w:r>
      <w:r>
        <w:rPr>
          <w:rFonts w:hint="default" w:ascii="Times New Roman" w:hAnsi="Times New Roman" w:eastAsia="仿宋_GB2312" w:cs="Times New Roman"/>
          <w:color w:val="000000" w:themeColor="text1"/>
          <w:sz w:val="22"/>
          <w:highlight w:val="none"/>
          <w14:textFill>
            <w14:solidFill>
              <w14:schemeClr w14:val="tx1"/>
            </w14:solidFill>
          </w14:textFill>
        </w:rPr>
        <w:br w:type="page"/>
      </w:r>
    </w:p>
    <w:p w14:paraId="24B95D57">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default" w:ascii="Times New Roman" w:hAnsi="Times New Roman" w:eastAsia="黑体"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附件</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2</w:t>
      </w:r>
    </w:p>
    <w:p w14:paraId="186648B5">
      <w:pPr>
        <w:widowControl/>
        <w:spacing w:after="120" w:afterLines="50"/>
        <w:jc w:val="cente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pP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202</w:t>
      </w:r>
      <w:r>
        <w:rPr>
          <w:rFonts w:hint="default" w:ascii="Times New Roman" w:hAnsi="Times New Roman" w:eastAsia="方正小标宋简体" w:cs="Times New Roman"/>
          <w:color w:val="000000" w:themeColor="text1"/>
          <w:sz w:val="36"/>
          <w:szCs w:val="36"/>
          <w:highlight w:val="none"/>
          <w:lang w:val="en-US" w:eastAsia="zh-CN"/>
          <w14:textFill>
            <w14:solidFill>
              <w14:schemeClr w14:val="tx1"/>
            </w14:solidFill>
          </w14:textFill>
        </w:rPr>
        <w:t>3</w:t>
      </w: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年度部门整体支出绩效自评表</w:t>
      </w:r>
    </w:p>
    <w:tbl>
      <w:tblPr>
        <w:tblStyle w:val="12"/>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058"/>
        <w:gridCol w:w="1056"/>
        <w:gridCol w:w="1368"/>
        <w:gridCol w:w="1596"/>
        <w:gridCol w:w="1500"/>
        <w:gridCol w:w="759"/>
        <w:gridCol w:w="861"/>
        <w:gridCol w:w="1031"/>
      </w:tblGrid>
      <w:tr w14:paraId="390D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14:paraId="2B5AF1C4">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eastAsia="zh-CN"/>
                <w14:textFill>
                  <w14:solidFill>
                    <w14:schemeClr w14:val="tx1"/>
                  </w14:solidFill>
                </w14:textFill>
              </w:rPr>
              <w:t>市</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级预算部门名称</w:t>
            </w:r>
          </w:p>
        </w:tc>
        <w:tc>
          <w:tcPr>
            <w:tcW w:w="9229" w:type="dxa"/>
            <w:gridSpan w:val="8"/>
            <w:noWrap w:val="0"/>
            <w:vAlign w:val="center"/>
          </w:tcPr>
          <w:p w14:paraId="66EEB0E0">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岳阳市住房保障服务中心</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483F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restart"/>
            <w:noWrap w:val="0"/>
            <w:vAlign w:val="center"/>
          </w:tcPr>
          <w:p w14:paraId="2CF87DF0">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年度预</w:t>
            </w:r>
          </w:p>
          <w:p w14:paraId="7326A3FD">
            <w:pPr>
              <w:widowControl/>
              <w:spacing w:line="240" w:lineRule="exact"/>
              <w:jc w:val="center"/>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算申请</w:t>
            </w:r>
          </w:p>
          <w:p w14:paraId="3D0E671A">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（万元）</w:t>
            </w:r>
          </w:p>
        </w:tc>
        <w:tc>
          <w:tcPr>
            <w:tcW w:w="2114" w:type="dxa"/>
            <w:gridSpan w:val="2"/>
            <w:noWrap w:val="0"/>
            <w:vAlign w:val="center"/>
          </w:tcPr>
          <w:p w14:paraId="7FACCAC9">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368" w:type="dxa"/>
            <w:noWrap w:val="0"/>
            <w:vAlign w:val="center"/>
          </w:tcPr>
          <w:p w14:paraId="10783344">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年初预算数</w:t>
            </w:r>
          </w:p>
        </w:tc>
        <w:tc>
          <w:tcPr>
            <w:tcW w:w="1596" w:type="dxa"/>
            <w:noWrap w:val="0"/>
            <w:vAlign w:val="center"/>
          </w:tcPr>
          <w:p w14:paraId="007123DA">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全年预算数</w:t>
            </w:r>
          </w:p>
        </w:tc>
        <w:tc>
          <w:tcPr>
            <w:tcW w:w="1500" w:type="dxa"/>
            <w:noWrap w:val="0"/>
            <w:vAlign w:val="center"/>
          </w:tcPr>
          <w:p w14:paraId="756C4558">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全年执行数</w:t>
            </w:r>
          </w:p>
        </w:tc>
        <w:tc>
          <w:tcPr>
            <w:tcW w:w="759" w:type="dxa"/>
            <w:noWrap w:val="0"/>
            <w:vAlign w:val="center"/>
          </w:tcPr>
          <w:p w14:paraId="25AC1970">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861" w:type="dxa"/>
            <w:noWrap w:val="0"/>
            <w:vAlign w:val="center"/>
          </w:tcPr>
          <w:p w14:paraId="000575CF">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执行率</w:t>
            </w:r>
          </w:p>
        </w:tc>
        <w:tc>
          <w:tcPr>
            <w:tcW w:w="1031" w:type="dxa"/>
            <w:noWrap w:val="0"/>
            <w:vAlign w:val="center"/>
          </w:tcPr>
          <w:p w14:paraId="1AB27250">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r>
      <w:tr w14:paraId="7D9A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56885C97">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14" w:type="dxa"/>
            <w:gridSpan w:val="2"/>
            <w:noWrap w:val="0"/>
            <w:vAlign w:val="center"/>
          </w:tcPr>
          <w:p w14:paraId="3C99B2A4">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年度资金总额</w:t>
            </w:r>
          </w:p>
        </w:tc>
        <w:tc>
          <w:tcPr>
            <w:tcW w:w="1368" w:type="dxa"/>
            <w:noWrap w:val="0"/>
            <w:vAlign w:val="center"/>
          </w:tcPr>
          <w:p w14:paraId="2B94796F">
            <w:pPr>
              <w:spacing w:line="24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1380.68</w:t>
            </w:r>
          </w:p>
        </w:tc>
        <w:tc>
          <w:tcPr>
            <w:tcW w:w="1596" w:type="dxa"/>
            <w:noWrap w:val="0"/>
            <w:vAlign w:val="center"/>
          </w:tcPr>
          <w:p w14:paraId="76ED49E5">
            <w:pPr>
              <w:spacing w:line="24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3216.47</w:t>
            </w:r>
          </w:p>
        </w:tc>
        <w:tc>
          <w:tcPr>
            <w:tcW w:w="1500" w:type="dxa"/>
            <w:noWrap w:val="0"/>
            <w:vAlign w:val="center"/>
          </w:tcPr>
          <w:p w14:paraId="2143BF41">
            <w:pPr>
              <w:spacing w:line="24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3197.46</w:t>
            </w:r>
          </w:p>
        </w:tc>
        <w:tc>
          <w:tcPr>
            <w:tcW w:w="759" w:type="dxa"/>
            <w:noWrap w:val="0"/>
            <w:vAlign w:val="center"/>
          </w:tcPr>
          <w:p w14:paraId="29D26E2B">
            <w:pPr>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w:t>
            </w:r>
          </w:p>
        </w:tc>
        <w:tc>
          <w:tcPr>
            <w:tcW w:w="861" w:type="dxa"/>
            <w:noWrap w:val="0"/>
            <w:vAlign w:val="center"/>
          </w:tcPr>
          <w:p w14:paraId="6778BB8B">
            <w:pPr>
              <w:spacing w:line="24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99.41</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w:t>
            </w:r>
          </w:p>
        </w:tc>
        <w:tc>
          <w:tcPr>
            <w:tcW w:w="1031" w:type="dxa"/>
            <w:noWrap w:val="0"/>
            <w:vAlign w:val="center"/>
          </w:tcPr>
          <w:p w14:paraId="190F0112">
            <w:pPr>
              <w:spacing w:line="240" w:lineRule="exact"/>
              <w:jc w:val="cente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9.94</w:t>
            </w:r>
          </w:p>
        </w:tc>
      </w:tr>
      <w:tr w14:paraId="08916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468AC42A">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1E4651CA">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按收入性质分：</w:t>
            </w:r>
          </w:p>
        </w:tc>
        <w:tc>
          <w:tcPr>
            <w:tcW w:w="4151" w:type="dxa"/>
            <w:gridSpan w:val="4"/>
            <w:noWrap w:val="0"/>
            <w:vAlign w:val="center"/>
          </w:tcPr>
          <w:p w14:paraId="273A1944">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按支出性质分：</w:t>
            </w:r>
          </w:p>
        </w:tc>
      </w:tr>
      <w:tr w14:paraId="04FA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620C3BB3">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22FFF20C">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xml:space="preserve">  其中：  一般公共预算：</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3126.95</w:t>
            </w:r>
          </w:p>
        </w:tc>
        <w:tc>
          <w:tcPr>
            <w:tcW w:w="4151" w:type="dxa"/>
            <w:gridSpan w:val="4"/>
            <w:noWrap w:val="0"/>
            <w:vAlign w:val="center"/>
          </w:tcPr>
          <w:p w14:paraId="0670BFCE">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其中：基本支出：</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1323.41</w:t>
            </w:r>
          </w:p>
        </w:tc>
      </w:tr>
      <w:tr w14:paraId="5C4A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10A684B3">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1C7D8682">
            <w:pPr>
              <w:widowControl/>
              <w:spacing w:line="240" w:lineRule="exact"/>
              <w:ind w:firstLine="800" w:firstLineChars="400"/>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政府性基金拨款：</w:t>
            </w:r>
          </w:p>
        </w:tc>
        <w:tc>
          <w:tcPr>
            <w:tcW w:w="4151" w:type="dxa"/>
            <w:gridSpan w:val="4"/>
            <w:noWrap w:val="0"/>
            <w:vAlign w:val="center"/>
          </w:tcPr>
          <w:p w14:paraId="67D0F7B3">
            <w:pPr>
              <w:widowControl/>
              <w:spacing w:line="240" w:lineRule="exact"/>
              <w:ind w:firstLine="600" w:firstLineChars="300"/>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项目支出：</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1874.05</w:t>
            </w:r>
          </w:p>
        </w:tc>
      </w:tr>
      <w:tr w14:paraId="157B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Merge w:val="continue"/>
            <w:noWrap w:val="0"/>
            <w:vAlign w:val="center"/>
          </w:tcPr>
          <w:p w14:paraId="48DD8936">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27CBAD59">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纳入专户管理的非税收入拨款：</w:t>
            </w:r>
          </w:p>
        </w:tc>
        <w:tc>
          <w:tcPr>
            <w:tcW w:w="4151" w:type="dxa"/>
            <w:gridSpan w:val="4"/>
            <w:noWrap w:val="0"/>
            <w:vAlign w:val="center"/>
          </w:tcPr>
          <w:p w14:paraId="2D7D1602">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1F4A8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57DC7547">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402666C8">
            <w:pPr>
              <w:widowControl/>
              <w:spacing w:line="240" w:lineRule="exact"/>
              <w:ind w:firstLine="1400" w:firstLineChars="700"/>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其他资金：</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89.52</w:t>
            </w:r>
          </w:p>
        </w:tc>
        <w:tc>
          <w:tcPr>
            <w:tcW w:w="4151" w:type="dxa"/>
            <w:gridSpan w:val="4"/>
            <w:noWrap w:val="0"/>
            <w:vAlign w:val="center"/>
          </w:tcPr>
          <w:p w14:paraId="61F45D01">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138C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restart"/>
            <w:noWrap w:val="0"/>
            <w:vAlign w:val="center"/>
          </w:tcPr>
          <w:p w14:paraId="31454B52">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年度总体目标</w:t>
            </w:r>
          </w:p>
        </w:tc>
        <w:tc>
          <w:tcPr>
            <w:tcW w:w="5078" w:type="dxa"/>
            <w:gridSpan w:val="4"/>
            <w:noWrap w:val="0"/>
            <w:vAlign w:val="center"/>
          </w:tcPr>
          <w:p w14:paraId="33F9F397">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预期目标</w:t>
            </w:r>
          </w:p>
        </w:tc>
        <w:tc>
          <w:tcPr>
            <w:tcW w:w="4151" w:type="dxa"/>
            <w:gridSpan w:val="4"/>
            <w:noWrap w:val="0"/>
            <w:vAlign w:val="center"/>
          </w:tcPr>
          <w:p w14:paraId="14B99B7F">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实际完成情况　</w:t>
            </w:r>
          </w:p>
        </w:tc>
      </w:tr>
      <w:tr w14:paraId="2FDA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7BA86B1F">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078" w:type="dxa"/>
            <w:gridSpan w:val="4"/>
            <w:noWrap w:val="0"/>
            <w:vAlign w:val="center"/>
          </w:tcPr>
          <w:p w14:paraId="662D57F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加快发展保障性租赁住房，持续推进公租房建设，出台《岳阳市保障性租赁住房发展指导意见》《岳阳市公共租赁住房管理办法》，指导和督促市中心城区开工建设一批保障性租赁住房，争取中央和省级专项补贴资金。扎实做好公租房运营管理，完成租金收缴1</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30</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万元。</w:t>
            </w:r>
          </w:p>
          <w:p w14:paraId="0AE094A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2.全力抓好物业维修资金归集。完成物业维修资金归集1亿元，实现增值收益900万元。</w:t>
            </w:r>
          </w:p>
          <w:p w14:paraId="0A3E0BF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3.切实规范物业管理服务活动。指导、督促属地政府（管委会）做好物业管理服务活动，建立市、区联动工作机制。启动《岳阳市物业管理条例》立法编制工作。</w:t>
            </w:r>
          </w:p>
          <w:p w14:paraId="1D5AAC4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4.加大白蚁防治和新技术推广力度工作。组织开展白蚁防治科研活动，完成中心城区白蚁防治相关工作。</w:t>
            </w:r>
          </w:p>
          <w:p w14:paraId="760A83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5.协助局机关做好住房租赁相关工作，扎实搞好调查研究，启动房屋租赁平台搭建及相关配套措施文件拟制等相关工作。</w:t>
            </w:r>
          </w:p>
          <w:p w14:paraId="6944DE8F">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6.强力推进老旧小区改造、既有住宅加装电梯，以及棚户区改造收尾等工作，争取中央专项补贴资金，力争获得全省先进。　　　　</w:t>
            </w:r>
          </w:p>
        </w:tc>
        <w:tc>
          <w:tcPr>
            <w:tcW w:w="4151" w:type="dxa"/>
            <w:gridSpan w:val="4"/>
            <w:noWrap w:val="0"/>
            <w:vAlign w:val="center"/>
          </w:tcPr>
          <w:p w14:paraId="6169879E">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年度总体目标</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全部完成</w:t>
            </w:r>
          </w:p>
        </w:tc>
      </w:tr>
      <w:tr w14:paraId="3232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restart"/>
            <w:noWrap w:val="0"/>
            <w:vAlign w:val="center"/>
          </w:tcPr>
          <w:p w14:paraId="46EE3456">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绩</w:t>
            </w:r>
          </w:p>
          <w:p w14:paraId="1D308A28">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w:t>
            </w:r>
          </w:p>
          <w:p w14:paraId="52ABAA13">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w:t>
            </w:r>
          </w:p>
          <w:p w14:paraId="366F04BF">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标</w:t>
            </w:r>
          </w:p>
          <w:p w14:paraId="1D797F18">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noWrap w:val="0"/>
            <w:vAlign w:val="center"/>
          </w:tcPr>
          <w:p w14:paraId="2AFBABD5">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一级指标</w:t>
            </w:r>
          </w:p>
        </w:tc>
        <w:tc>
          <w:tcPr>
            <w:tcW w:w="1056" w:type="dxa"/>
            <w:noWrap w:val="0"/>
            <w:vAlign w:val="center"/>
          </w:tcPr>
          <w:p w14:paraId="5C30F155">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二级指标</w:t>
            </w:r>
          </w:p>
        </w:tc>
        <w:tc>
          <w:tcPr>
            <w:tcW w:w="1368" w:type="dxa"/>
            <w:noWrap w:val="0"/>
            <w:vAlign w:val="center"/>
          </w:tcPr>
          <w:p w14:paraId="760AAAF4">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三级指标</w:t>
            </w:r>
          </w:p>
        </w:tc>
        <w:tc>
          <w:tcPr>
            <w:tcW w:w="1596" w:type="dxa"/>
            <w:noWrap w:val="0"/>
            <w:vAlign w:val="center"/>
          </w:tcPr>
          <w:p w14:paraId="717A900A">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年度指标值</w:t>
            </w:r>
          </w:p>
        </w:tc>
        <w:tc>
          <w:tcPr>
            <w:tcW w:w="1500" w:type="dxa"/>
            <w:noWrap w:val="0"/>
            <w:vAlign w:val="center"/>
          </w:tcPr>
          <w:p w14:paraId="26C1F555">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实际完成值</w:t>
            </w:r>
          </w:p>
        </w:tc>
        <w:tc>
          <w:tcPr>
            <w:tcW w:w="759" w:type="dxa"/>
            <w:noWrap w:val="0"/>
            <w:vAlign w:val="center"/>
          </w:tcPr>
          <w:p w14:paraId="0062E5AD">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861" w:type="dxa"/>
            <w:noWrap w:val="0"/>
            <w:vAlign w:val="center"/>
          </w:tcPr>
          <w:p w14:paraId="66C1BAF4">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c>
          <w:tcPr>
            <w:tcW w:w="1031" w:type="dxa"/>
            <w:noWrap w:val="0"/>
            <w:vAlign w:val="center"/>
          </w:tcPr>
          <w:p w14:paraId="2E342867">
            <w:pPr>
              <w:widowControl/>
              <w:spacing w:line="240" w:lineRule="exact"/>
              <w:jc w:val="both"/>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偏差原因分析及改进措施</w:t>
            </w:r>
          </w:p>
        </w:tc>
      </w:tr>
      <w:tr w14:paraId="4C26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438F2E64">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restart"/>
            <w:noWrap w:val="0"/>
            <w:vAlign w:val="center"/>
          </w:tcPr>
          <w:p w14:paraId="5DA187CD">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产出指标</w:t>
            </w:r>
          </w:p>
          <w:p w14:paraId="6A408117">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14:paraId="4BF88FDD">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(50分)</w:t>
            </w:r>
          </w:p>
        </w:tc>
        <w:tc>
          <w:tcPr>
            <w:tcW w:w="1056" w:type="dxa"/>
            <w:vMerge w:val="restart"/>
            <w:noWrap w:val="0"/>
            <w:vAlign w:val="center"/>
          </w:tcPr>
          <w:p w14:paraId="0FB9D7F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数量指标</w:t>
            </w:r>
          </w:p>
        </w:tc>
        <w:tc>
          <w:tcPr>
            <w:tcW w:w="1368" w:type="dxa"/>
            <w:noWrap w:val="0"/>
            <w:vAlign w:val="center"/>
          </w:tcPr>
          <w:p w14:paraId="2ABB43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1.按时足额收取租金</w:t>
            </w:r>
          </w:p>
        </w:tc>
        <w:tc>
          <w:tcPr>
            <w:tcW w:w="1596" w:type="dxa"/>
            <w:noWrap w:val="0"/>
            <w:vAlign w:val="center"/>
          </w:tcPr>
          <w:p w14:paraId="4F9984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130万元</w:t>
            </w:r>
          </w:p>
        </w:tc>
        <w:tc>
          <w:tcPr>
            <w:tcW w:w="1500" w:type="dxa"/>
            <w:noWrap w:val="0"/>
            <w:vAlign w:val="center"/>
          </w:tcPr>
          <w:p w14:paraId="049351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130万元</w:t>
            </w:r>
          </w:p>
        </w:tc>
        <w:tc>
          <w:tcPr>
            <w:tcW w:w="759" w:type="dxa"/>
            <w:noWrap w:val="0"/>
            <w:vAlign w:val="center"/>
          </w:tcPr>
          <w:p w14:paraId="20621A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861" w:type="dxa"/>
            <w:noWrap w:val="0"/>
            <w:vAlign w:val="center"/>
          </w:tcPr>
          <w:p w14:paraId="4C8765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1031" w:type="dxa"/>
            <w:noWrap w:val="0"/>
            <w:vAlign w:val="center"/>
          </w:tcPr>
          <w:p w14:paraId="6C01EEB9">
            <w:pPr>
              <w:widowControl/>
              <w:spacing w:line="240" w:lineRule="exact"/>
              <w:jc w:val="left"/>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7CB99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5C19AA81">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5829213E">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34C549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368" w:type="dxa"/>
            <w:noWrap w:val="0"/>
            <w:vAlign w:val="center"/>
          </w:tcPr>
          <w:p w14:paraId="0FDB89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2.物业维修资金归集</w:t>
            </w:r>
          </w:p>
        </w:tc>
        <w:tc>
          <w:tcPr>
            <w:tcW w:w="1596" w:type="dxa"/>
            <w:noWrap w:val="0"/>
            <w:vAlign w:val="center"/>
          </w:tcPr>
          <w:p w14:paraId="43BEDC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1亿元</w:t>
            </w:r>
          </w:p>
        </w:tc>
        <w:tc>
          <w:tcPr>
            <w:tcW w:w="1500" w:type="dxa"/>
            <w:noWrap w:val="0"/>
            <w:vAlign w:val="center"/>
          </w:tcPr>
          <w:p w14:paraId="6E29C1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1.63亿元</w:t>
            </w:r>
          </w:p>
        </w:tc>
        <w:tc>
          <w:tcPr>
            <w:tcW w:w="759" w:type="dxa"/>
            <w:noWrap w:val="0"/>
            <w:vAlign w:val="center"/>
          </w:tcPr>
          <w:p w14:paraId="6B69D5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861" w:type="dxa"/>
            <w:noWrap w:val="0"/>
            <w:vAlign w:val="center"/>
          </w:tcPr>
          <w:p w14:paraId="76B247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1031" w:type="dxa"/>
            <w:noWrap w:val="0"/>
            <w:vAlign w:val="center"/>
          </w:tcPr>
          <w:p w14:paraId="49FEA0BE">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E5C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0E0D5EEB">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0BA1219C">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6F8862A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368" w:type="dxa"/>
            <w:noWrap w:val="0"/>
            <w:vAlign w:val="center"/>
          </w:tcPr>
          <w:p w14:paraId="4834CA8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3.公租房实物配租</w:t>
            </w:r>
          </w:p>
        </w:tc>
        <w:tc>
          <w:tcPr>
            <w:tcW w:w="1596" w:type="dxa"/>
            <w:noWrap w:val="0"/>
            <w:vAlign w:val="center"/>
          </w:tcPr>
          <w:p w14:paraId="16F0AF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496户</w:t>
            </w:r>
          </w:p>
        </w:tc>
        <w:tc>
          <w:tcPr>
            <w:tcW w:w="1500" w:type="dxa"/>
            <w:noWrap w:val="0"/>
            <w:vAlign w:val="center"/>
          </w:tcPr>
          <w:p w14:paraId="23AF5F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496户</w:t>
            </w:r>
          </w:p>
        </w:tc>
        <w:tc>
          <w:tcPr>
            <w:tcW w:w="759" w:type="dxa"/>
            <w:noWrap w:val="0"/>
            <w:vAlign w:val="center"/>
          </w:tcPr>
          <w:p w14:paraId="5FFC45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628CDE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w:t>
            </w:r>
          </w:p>
        </w:tc>
        <w:tc>
          <w:tcPr>
            <w:tcW w:w="1031" w:type="dxa"/>
            <w:noWrap w:val="0"/>
            <w:vAlign w:val="center"/>
          </w:tcPr>
          <w:p w14:paraId="05F967F7">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需求大于供应，继续多方多渠道筹集房源</w:t>
            </w:r>
          </w:p>
        </w:tc>
      </w:tr>
      <w:tr w14:paraId="08B5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1957E235">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0610392D">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restart"/>
            <w:noWrap w:val="0"/>
            <w:vAlign w:val="center"/>
          </w:tcPr>
          <w:p w14:paraId="23F42F0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质量指标</w:t>
            </w:r>
          </w:p>
        </w:tc>
        <w:tc>
          <w:tcPr>
            <w:tcW w:w="1368" w:type="dxa"/>
            <w:noWrap w:val="0"/>
            <w:vAlign w:val="center"/>
          </w:tcPr>
          <w:p w14:paraId="5C82713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1.租金足额收缴完成率</w:t>
            </w:r>
          </w:p>
        </w:tc>
        <w:tc>
          <w:tcPr>
            <w:tcW w:w="1596" w:type="dxa"/>
            <w:noWrap w:val="0"/>
            <w:vAlign w:val="center"/>
          </w:tcPr>
          <w:p w14:paraId="2C356E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100%</w:t>
            </w:r>
          </w:p>
        </w:tc>
        <w:tc>
          <w:tcPr>
            <w:tcW w:w="1500" w:type="dxa"/>
            <w:noWrap w:val="0"/>
            <w:vAlign w:val="center"/>
          </w:tcPr>
          <w:p w14:paraId="25FA78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100%</w:t>
            </w:r>
          </w:p>
        </w:tc>
        <w:tc>
          <w:tcPr>
            <w:tcW w:w="759" w:type="dxa"/>
            <w:noWrap w:val="0"/>
            <w:vAlign w:val="center"/>
          </w:tcPr>
          <w:p w14:paraId="0BA41A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37B3E6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4466AD99">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899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0D68503E">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62A36F18">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082FC41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368" w:type="dxa"/>
            <w:noWrap w:val="0"/>
            <w:vAlign w:val="center"/>
          </w:tcPr>
          <w:p w14:paraId="3AEB96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2.出台《岳阳市保障性租赁住房发展指导意见》《岳阳市公共租赁住房管理办法》</w:t>
            </w:r>
          </w:p>
        </w:tc>
        <w:tc>
          <w:tcPr>
            <w:tcW w:w="1596" w:type="dxa"/>
            <w:noWrap w:val="0"/>
            <w:vAlign w:val="center"/>
          </w:tcPr>
          <w:p w14:paraId="485534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出台</w:t>
            </w:r>
          </w:p>
        </w:tc>
        <w:tc>
          <w:tcPr>
            <w:tcW w:w="1500" w:type="dxa"/>
            <w:noWrap w:val="0"/>
            <w:vAlign w:val="center"/>
          </w:tcPr>
          <w:p w14:paraId="745739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出台</w:t>
            </w:r>
          </w:p>
        </w:tc>
        <w:tc>
          <w:tcPr>
            <w:tcW w:w="759" w:type="dxa"/>
            <w:noWrap w:val="0"/>
            <w:vAlign w:val="center"/>
          </w:tcPr>
          <w:p w14:paraId="0195C1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7B311A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35F3938C">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3D1E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2F0B13E1">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43809DAD">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244FB3D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368" w:type="dxa"/>
            <w:noWrap w:val="0"/>
            <w:vAlign w:val="center"/>
          </w:tcPr>
          <w:p w14:paraId="44C85AA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启动《岳阳市物业管理条例》立法编制</w:t>
            </w:r>
          </w:p>
        </w:tc>
        <w:tc>
          <w:tcPr>
            <w:tcW w:w="1596" w:type="dxa"/>
            <w:noWrap w:val="0"/>
            <w:vAlign w:val="center"/>
          </w:tcPr>
          <w:p w14:paraId="62E85C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启动</w:t>
            </w:r>
          </w:p>
        </w:tc>
        <w:tc>
          <w:tcPr>
            <w:tcW w:w="1500" w:type="dxa"/>
            <w:noWrap w:val="0"/>
            <w:vAlign w:val="center"/>
          </w:tcPr>
          <w:p w14:paraId="11CD27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启动</w:t>
            </w:r>
          </w:p>
        </w:tc>
        <w:tc>
          <w:tcPr>
            <w:tcW w:w="759" w:type="dxa"/>
            <w:noWrap w:val="0"/>
            <w:vAlign w:val="center"/>
          </w:tcPr>
          <w:p w14:paraId="519CD2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26720B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228E7969">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2F076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58482BD1">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65F0247D">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noWrap w:val="0"/>
            <w:vAlign w:val="center"/>
          </w:tcPr>
          <w:p w14:paraId="00ECC43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时效指标</w:t>
            </w:r>
          </w:p>
        </w:tc>
        <w:tc>
          <w:tcPr>
            <w:tcW w:w="1368" w:type="dxa"/>
            <w:noWrap w:val="0"/>
            <w:vAlign w:val="center"/>
          </w:tcPr>
          <w:p w14:paraId="250695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一年</w:t>
            </w:r>
          </w:p>
        </w:tc>
        <w:tc>
          <w:tcPr>
            <w:tcW w:w="1596" w:type="dxa"/>
            <w:noWrap w:val="0"/>
            <w:vAlign w:val="center"/>
          </w:tcPr>
          <w:p w14:paraId="34F332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202</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.1.1-202</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12.31</w:t>
            </w:r>
          </w:p>
        </w:tc>
        <w:tc>
          <w:tcPr>
            <w:tcW w:w="1500" w:type="dxa"/>
            <w:noWrap w:val="0"/>
            <w:vAlign w:val="center"/>
          </w:tcPr>
          <w:p w14:paraId="66E8CD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202</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.1.1-202</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12.31</w:t>
            </w:r>
          </w:p>
        </w:tc>
        <w:tc>
          <w:tcPr>
            <w:tcW w:w="759" w:type="dxa"/>
            <w:noWrap w:val="0"/>
            <w:vAlign w:val="center"/>
          </w:tcPr>
          <w:p w14:paraId="7E5E05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6CCDEB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497F0E4D">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1F41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4292D502">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3DD56B5A">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noWrap w:val="0"/>
            <w:vAlign w:val="center"/>
          </w:tcPr>
          <w:p w14:paraId="276AE47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成本指标</w:t>
            </w:r>
          </w:p>
        </w:tc>
        <w:tc>
          <w:tcPr>
            <w:tcW w:w="1368" w:type="dxa"/>
            <w:noWrap w:val="0"/>
            <w:vAlign w:val="center"/>
          </w:tcPr>
          <w:p w14:paraId="74C58E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控制成本，多干实事</w:t>
            </w:r>
          </w:p>
        </w:tc>
        <w:tc>
          <w:tcPr>
            <w:tcW w:w="1596" w:type="dxa"/>
            <w:noWrap w:val="0"/>
            <w:vAlign w:val="center"/>
          </w:tcPr>
          <w:p w14:paraId="69E77F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不超预算</w:t>
            </w:r>
          </w:p>
        </w:tc>
        <w:tc>
          <w:tcPr>
            <w:tcW w:w="1500" w:type="dxa"/>
            <w:noWrap w:val="0"/>
            <w:vAlign w:val="center"/>
          </w:tcPr>
          <w:p w14:paraId="18125C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不超预算</w:t>
            </w:r>
          </w:p>
        </w:tc>
        <w:tc>
          <w:tcPr>
            <w:tcW w:w="759" w:type="dxa"/>
            <w:noWrap w:val="0"/>
            <w:vAlign w:val="center"/>
          </w:tcPr>
          <w:p w14:paraId="540A81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7F395D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2EE0DF62">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3421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2829F2C6">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restart"/>
            <w:noWrap w:val="0"/>
            <w:vAlign w:val="center"/>
          </w:tcPr>
          <w:p w14:paraId="0A4BD876">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效益指标</w:t>
            </w:r>
          </w:p>
          <w:p w14:paraId="089E78D0">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14:paraId="2929CCC7">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（30分）</w:t>
            </w:r>
          </w:p>
          <w:p w14:paraId="75AFB603">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56" w:type="dxa"/>
            <w:vMerge w:val="restart"/>
            <w:noWrap w:val="0"/>
            <w:vAlign w:val="center"/>
          </w:tcPr>
          <w:p w14:paraId="38638E7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经济效</w:t>
            </w:r>
          </w:p>
          <w:p w14:paraId="3BF5816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益指标</w:t>
            </w:r>
          </w:p>
        </w:tc>
        <w:tc>
          <w:tcPr>
            <w:tcW w:w="1368" w:type="dxa"/>
            <w:noWrap w:val="0"/>
            <w:vAlign w:val="center"/>
          </w:tcPr>
          <w:p w14:paraId="1DAA803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1.收取租金130万元</w:t>
            </w:r>
          </w:p>
        </w:tc>
        <w:tc>
          <w:tcPr>
            <w:tcW w:w="1596" w:type="dxa"/>
            <w:noWrap w:val="0"/>
            <w:vAlign w:val="center"/>
          </w:tcPr>
          <w:p w14:paraId="74D110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130万元</w:t>
            </w:r>
          </w:p>
        </w:tc>
        <w:tc>
          <w:tcPr>
            <w:tcW w:w="1500" w:type="dxa"/>
            <w:noWrap w:val="0"/>
            <w:vAlign w:val="center"/>
          </w:tcPr>
          <w:p w14:paraId="28458F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130万元</w:t>
            </w:r>
          </w:p>
        </w:tc>
        <w:tc>
          <w:tcPr>
            <w:tcW w:w="759" w:type="dxa"/>
            <w:noWrap w:val="0"/>
            <w:vAlign w:val="center"/>
          </w:tcPr>
          <w:p w14:paraId="1C9DB2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4AD369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5636CC4A">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08C3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149E6992">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225F0299">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4F5F4E7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368" w:type="dxa"/>
            <w:noWrap w:val="0"/>
            <w:vAlign w:val="center"/>
          </w:tcPr>
          <w:p w14:paraId="085A823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实现维修资金增值收益900万元</w:t>
            </w:r>
          </w:p>
        </w:tc>
        <w:tc>
          <w:tcPr>
            <w:tcW w:w="1596" w:type="dxa"/>
            <w:noWrap w:val="0"/>
            <w:vAlign w:val="center"/>
          </w:tcPr>
          <w:p w14:paraId="1024FC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900万元</w:t>
            </w:r>
          </w:p>
        </w:tc>
        <w:tc>
          <w:tcPr>
            <w:tcW w:w="1500" w:type="dxa"/>
            <w:noWrap w:val="0"/>
            <w:vAlign w:val="center"/>
          </w:tcPr>
          <w:p w14:paraId="516B4C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5086万元</w:t>
            </w:r>
          </w:p>
        </w:tc>
        <w:tc>
          <w:tcPr>
            <w:tcW w:w="759" w:type="dxa"/>
            <w:noWrap w:val="0"/>
            <w:vAlign w:val="center"/>
          </w:tcPr>
          <w:p w14:paraId="67F561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5153BC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21D01434">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0D3F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39639295">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145536AF">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restart"/>
            <w:noWrap w:val="0"/>
            <w:vAlign w:val="center"/>
          </w:tcPr>
          <w:p w14:paraId="2F42507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社会效</w:t>
            </w:r>
          </w:p>
          <w:p w14:paraId="4B3857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益指标</w:t>
            </w:r>
          </w:p>
        </w:tc>
        <w:tc>
          <w:tcPr>
            <w:tcW w:w="1368" w:type="dxa"/>
            <w:noWrap w:val="0"/>
            <w:vAlign w:val="center"/>
          </w:tcPr>
          <w:p w14:paraId="00C34F8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解决中低收入家族住房困难</w:t>
            </w:r>
          </w:p>
        </w:tc>
        <w:tc>
          <w:tcPr>
            <w:tcW w:w="1596" w:type="dxa"/>
            <w:noWrap w:val="0"/>
            <w:vAlign w:val="center"/>
          </w:tcPr>
          <w:p w14:paraId="2C8810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496户</w:t>
            </w:r>
          </w:p>
        </w:tc>
        <w:tc>
          <w:tcPr>
            <w:tcW w:w="1500" w:type="dxa"/>
            <w:noWrap w:val="0"/>
            <w:vAlign w:val="center"/>
          </w:tcPr>
          <w:p w14:paraId="1288C4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496户</w:t>
            </w:r>
          </w:p>
        </w:tc>
        <w:tc>
          <w:tcPr>
            <w:tcW w:w="759" w:type="dxa"/>
            <w:noWrap w:val="0"/>
            <w:vAlign w:val="center"/>
          </w:tcPr>
          <w:p w14:paraId="58721D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6F7CB3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w:t>
            </w:r>
          </w:p>
        </w:tc>
        <w:tc>
          <w:tcPr>
            <w:tcW w:w="1031" w:type="dxa"/>
            <w:noWrap w:val="0"/>
            <w:vAlign w:val="center"/>
          </w:tcPr>
          <w:p w14:paraId="787D21BB">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需求大于供应，继续多方多渠道筹集房源</w:t>
            </w:r>
          </w:p>
        </w:tc>
      </w:tr>
      <w:tr w14:paraId="0585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continue"/>
            <w:noWrap w:val="0"/>
            <w:vAlign w:val="center"/>
          </w:tcPr>
          <w:p w14:paraId="06AD7E2C">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2E393CE2">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vMerge w:val="continue"/>
            <w:noWrap w:val="0"/>
            <w:vAlign w:val="center"/>
          </w:tcPr>
          <w:p w14:paraId="54CF920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368" w:type="dxa"/>
            <w:noWrap w:val="0"/>
            <w:vAlign w:val="center"/>
          </w:tcPr>
          <w:p w14:paraId="415BD3E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2.</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建设和谐宜居城市</w:t>
            </w:r>
          </w:p>
        </w:tc>
        <w:tc>
          <w:tcPr>
            <w:tcW w:w="1596" w:type="dxa"/>
            <w:noWrap w:val="0"/>
            <w:vAlign w:val="center"/>
          </w:tcPr>
          <w:p w14:paraId="6DABD2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496户</w:t>
            </w:r>
          </w:p>
        </w:tc>
        <w:tc>
          <w:tcPr>
            <w:tcW w:w="1500" w:type="dxa"/>
            <w:noWrap w:val="0"/>
            <w:vAlign w:val="center"/>
          </w:tcPr>
          <w:p w14:paraId="769469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496户</w:t>
            </w:r>
          </w:p>
        </w:tc>
        <w:tc>
          <w:tcPr>
            <w:tcW w:w="759" w:type="dxa"/>
            <w:noWrap w:val="0"/>
            <w:vAlign w:val="center"/>
          </w:tcPr>
          <w:p w14:paraId="1083BF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3C2162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6162B695">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03E98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Merge w:val="continue"/>
            <w:noWrap w:val="0"/>
            <w:vAlign w:val="center"/>
          </w:tcPr>
          <w:p w14:paraId="79235C5F">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6EA54277">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noWrap w:val="0"/>
            <w:vAlign w:val="center"/>
          </w:tcPr>
          <w:p w14:paraId="6275391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生态效</w:t>
            </w:r>
          </w:p>
          <w:p w14:paraId="2E2BF25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益指标</w:t>
            </w:r>
          </w:p>
        </w:tc>
        <w:tc>
          <w:tcPr>
            <w:tcW w:w="1368" w:type="dxa"/>
            <w:noWrap w:val="0"/>
            <w:vAlign w:val="center"/>
          </w:tcPr>
          <w:p w14:paraId="45DD83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建设水墨丹青岳阳，建设青山绿水宜居小区</w:t>
            </w:r>
          </w:p>
        </w:tc>
        <w:tc>
          <w:tcPr>
            <w:tcW w:w="1596" w:type="dxa"/>
            <w:noWrap w:val="0"/>
            <w:vAlign w:val="center"/>
          </w:tcPr>
          <w:p w14:paraId="73BFCA8E">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小区配套设施齐全、服务功能完善</w:t>
            </w:r>
          </w:p>
        </w:tc>
        <w:tc>
          <w:tcPr>
            <w:tcW w:w="1500" w:type="dxa"/>
            <w:noWrap w:val="0"/>
            <w:vAlign w:val="center"/>
          </w:tcPr>
          <w:p w14:paraId="20E486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小区配套设施齐全、服务功能完善</w:t>
            </w:r>
          </w:p>
        </w:tc>
        <w:tc>
          <w:tcPr>
            <w:tcW w:w="759" w:type="dxa"/>
            <w:noWrap w:val="0"/>
            <w:vAlign w:val="center"/>
          </w:tcPr>
          <w:p w14:paraId="6C9C3B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73A89A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55A5A36C">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2CA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50" w:type="dxa"/>
            <w:vMerge w:val="continue"/>
            <w:noWrap w:val="0"/>
            <w:vAlign w:val="center"/>
          </w:tcPr>
          <w:p w14:paraId="760EC46A">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vMerge w:val="continue"/>
            <w:noWrap w:val="0"/>
            <w:vAlign w:val="center"/>
          </w:tcPr>
          <w:p w14:paraId="4752E817">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6" w:type="dxa"/>
            <w:noWrap w:val="0"/>
            <w:vAlign w:val="center"/>
          </w:tcPr>
          <w:p w14:paraId="615E431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可持续影响指标</w:t>
            </w:r>
          </w:p>
        </w:tc>
        <w:tc>
          <w:tcPr>
            <w:tcW w:w="1368" w:type="dxa"/>
            <w:noWrap w:val="0"/>
            <w:vAlign w:val="center"/>
          </w:tcPr>
          <w:p w14:paraId="2B53791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建立准入退出机制。保障低收入家族住房</w:t>
            </w:r>
          </w:p>
        </w:tc>
        <w:tc>
          <w:tcPr>
            <w:tcW w:w="1596" w:type="dxa"/>
            <w:noWrap w:val="0"/>
            <w:vAlign w:val="center"/>
          </w:tcPr>
          <w:p w14:paraId="379A62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496户</w:t>
            </w:r>
          </w:p>
        </w:tc>
        <w:tc>
          <w:tcPr>
            <w:tcW w:w="1500" w:type="dxa"/>
            <w:noWrap w:val="0"/>
            <w:vAlign w:val="center"/>
          </w:tcPr>
          <w:p w14:paraId="030DCC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496户</w:t>
            </w:r>
          </w:p>
        </w:tc>
        <w:tc>
          <w:tcPr>
            <w:tcW w:w="759" w:type="dxa"/>
            <w:noWrap w:val="0"/>
            <w:vAlign w:val="center"/>
          </w:tcPr>
          <w:p w14:paraId="6231B0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61" w:type="dxa"/>
            <w:noWrap w:val="0"/>
            <w:vAlign w:val="center"/>
          </w:tcPr>
          <w:p w14:paraId="101348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031" w:type="dxa"/>
            <w:noWrap w:val="0"/>
            <w:vAlign w:val="center"/>
          </w:tcPr>
          <w:p w14:paraId="3FB7A79A">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784E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0" w:type="dxa"/>
            <w:vMerge w:val="continue"/>
            <w:noWrap w:val="0"/>
            <w:vAlign w:val="center"/>
          </w:tcPr>
          <w:p w14:paraId="3736C3AD">
            <w:pPr>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58" w:type="dxa"/>
            <w:noWrap w:val="0"/>
            <w:vAlign w:val="center"/>
          </w:tcPr>
          <w:p w14:paraId="1F52F85F">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满意度</w:t>
            </w:r>
          </w:p>
          <w:p w14:paraId="25C27524">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指标</w:t>
            </w:r>
          </w:p>
          <w:p w14:paraId="05FD3655">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（10分）</w:t>
            </w:r>
          </w:p>
        </w:tc>
        <w:tc>
          <w:tcPr>
            <w:tcW w:w="1056" w:type="dxa"/>
            <w:noWrap w:val="0"/>
            <w:vAlign w:val="center"/>
          </w:tcPr>
          <w:p w14:paraId="3A5ECEC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服务对象满意度指标</w:t>
            </w:r>
          </w:p>
        </w:tc>
        <w:tc>
          <w:tcPr>
            <w:tcW w:w="1368" w:type="dxa"/>
            <w:noWrap w:val="0"/>
            <w:vAlign w:val="center"/>
          </w:tcPr>
          <w:p w14:paraId="6148794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获租住人们满意</w:t>
            </w:r>
          </w:p>
        </w:tc>
        <w:tc>
          <w:tcPr>
            <w:tcW w:w="1596" w:type="dxa"/>
            <w:noWrap w:val="0"/>
            <w:vAlign w:val="center"/>
          </w:tcPr>
          <w:p w14:paraId="4640EB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95%</w:t>
            </w:r>
          </w:p>
        </w:tc>
        <w:tc>
          <w:tcPr>
            <w:tcW w:w="1500" w:type="dxa"/>
            <w:noWrap w:val="0"/>
            <w:vAlign w:val="center"/>
          </w:tcPr>
          <w:p w14:paraId="44E720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95%</w:t>
            </w:r>
          </w:p>
        </w:tc>
        <w:tc>
          <w:tcPr>
            <w:tcW w:w="759" w:type="dxa"/>
            <w:noWrap w:val="0"/>
            <w:vAlign w:val="center"/>
          </w:tcPr>
          <w:p w14:paraId="48D69D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861" w:type="dxa"/>
            <w:noWrap w:val="0"/>
            <w:vAlign w:val="center"/>
          </w:tcPr>
          <w:p w14:paraId="7565C3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1031" w:type="dxa"/>
            <w:noWrap w:val="0"/>
            <w:vAlign w:val="center"/>
          </w:tcPr>
          <w:p w14:paraId="43D4CEF0">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3396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28" w:type="dxa"/>
            <w:gridSpan w:val="6"/>
            <w:noWrap w:val="0"/>
            <w:vAlign w:val="center"/>
          </w:tcPr>
          <w:p w14:paraId="68849969">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总分</w:t>
            </w:r>
          </w:p>
        </w:tc>
        <w:tc>
          <w:tcPr>
            <w:tcW w:w="759" w:type="dxa"/>
            <w:noWrap w:val="0"/>
            <w:vAlign w:val="center"/>
          </w:tcPr>
          <w:p w14:paraId="39F2322A">
            <w:pPr>
              <w:widowControl/>
              <w:spacing w:line="240" w:lineRule="exact"/>
              <w:jc w:val="center"/>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100</w:t>
            </w:r>
          </w:p>
        </w:tc>
        <w:tc>
          <w:tcPr>
            <w:tcW w:w="861" w:type="dxa"/>
            <w:noWrap w:val="0"/>
            <w:vAlign w:val="center"/>
          </w:tcPr>
          <w:p w14:paraId="45E302AA">
            <w:pPr>
              <w:widowControl/>
              <w:spacing w:line="240" w:lineRule="exact"/>
              <w:jc w:val="center"/>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9</w:t>
            </w: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7.94</w:t>
            </w:r>
          </w:p>
        </w:tc>
        <w:tc>
          <w:tcPr>
            <w:tcW w:w="1031" w:type="dxa"/>
            <w:noWrap w:val="0"/>
            <w:vAlign w:val="center"/>
          </w:tcPr>
          <w:p w14:paraId="16CD1A9E">
            <w:pPr>
              <w:widowControl/>
              <w:spacing w:line="240" w:lineRule="exact"/>
              <w:jc w:val="left"/>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bl>
    <w:p w14:paraId="7B99411C">
      <w:pPr>
        <w:widowControl/>
        <w:spacing w:line="600" w:lineRule="auto"/>
        <w:jc w:val="left"/>
        <w:rPr>
          <w:rFonts w:hint="default" w:ascii="Times New Roman" w:hAnsi="Times New Roman" w:eastAsia="仿宋_GB2312" w:cs="Times New Roman"/>
          <w:color w:val="000000" w:themeColor="text1"/>
          <w:sz w:val="22"/>
          <w:szCs w:val="22"/>
          <w:highlight w:val="none"/>
          <w14:textFill>
            <w14:solidFill>
              <w14:schemeClr w14:val="tx1"/>
            </w14:solidFill>
          </w14:textFill>
        </w:rPr>
        <w:sectPr>
          <w:pgSz w:w="11906" w:h="16838"/>
          <w:pgMar w:top="1440" w:right="1800" w:bottom="1440" w:left="1800" w:header="851" w:footer="992" w:gutter="0"/>
          <w:pgNumType w:fmt="decimal" w:start="1"/>
          <w:cols w:space="425" w:num="1"/>
          <w:docGrid w:type="lines" w:linePitch="312" w:charSpace="0"/>
        </w:sectPr>
      </w:pPr>
      <w:r>
        <w:rPr>
          <w:rFonts w:hint="default" w:ascii="Times New Roman" w:hAnsi="Times New Roman" w:eastAsia="仿宋_GB2312" w:cs="Times New Roman"/>
          <w:color w:val="000000" w:themeColor="text1"/>
          <w:sz w:val="22"/>
          <w:szCs w:val="22"/>
          <w:highlight w:val="none"/>
          <w14:textFill>
            <w14:solidFill>
              <w14:schemeClr w14:val="tx1"/>
            </w14:solidFill>
          </w14:textFill>
        </w:rPr>
        <w:t>填表人：</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涂姣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填报日期：</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2024.6.24</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 xml:space="preserve"> 联系电话：</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15074497086</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 xml:space="preserve"> 单位负责人签字：</w:t>
      </w:r>
      <w:r>
        <w:rPr>
          <w:rFonts w:hint="default" w:ascii="Times New Roman" w:hAnsi="Times New Roman" w:eastAsia="仿宋_GB2312" w:cs="Times New Roman"/>
          <w:color w:val="000000" w:themeColor="text1"/>
          <w:sz w:val="22"/>
          <w:szCs w:val="22"/>
          <w:highlight w:val="none"/>
          <w14:textFill>
            <w14:solidFill>
              <w14:schemeClr w14:val="tx1"/>
            </w14:solidFill>
          </w14:textFill>
        </w:rPr>
        <w:br w:type="page"/>
      </w:r>
    </w:p>
    <w:p w14:paraId="4D747647">
      <w:pPr>
        <w:widowControl/>
        <w:spacing w:line="600" w:lineRule="auto"/>
        <w:jc w:val="left"/>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附件</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3</w:t>
      </w: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-1</w:t>
      </w:r>
    </w:p>
    <w:p w14:paraId="0A9CD305">
      <w:pPr>
        <w:widowControl/>
        <w:spacing w:line="600" w:lineRule="exact"/>
        <w:jc w:val="cente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pP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202</w:t>
      </w:r>
      <w:r>
        <w:rPr>
          <w:rFonts w:hint="default" w:ascii="Times New Roman" w:hAnsi="Times New Roman" w:eastAsia="方正小标宋简体" w:cs="Times New Roman"/>
          <w:color w:val="000000" w:themeColor="text1"/>
          <w:sz w:val="36"/>
          <w:szCs w:val="36"/>
          <w:highlight w:val="none"/>
          <w:lang w:val="en-US" w:eastAsia="zh-CN"/>
          <w14:textFill>
            <w14:solidFill>
              <w14:schemeClr w14:val="tx1"/>
            </w14:solidFill>
          </w14:textFill>
        </w:rPr>
        <w:t>3</w:t>
      </w: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年度项目支出绩效自评表</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8"/>
        <w:gridCol w:w="1079"/>
        <w:gridCol w:w="1078"/>
        <w:gridCol w:w="2030"/>
        <w:gridCol w:w="1055"/>
        <w:gridCol w:w="1079"/>
        <w:gridCol w:w="791"/>
        <w:gridCol w:w="733"/>
        <w:gridCol w:w="928"/>
      </w:tblGrid>
      <w:tr w14:paraId="2557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noWrap w:val="0"/>
            <w:vAlign w:val="center"/>
          </w:tcPr>
          <w:p w14:paraId="1ECE43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项目支</w:t>
            </w:r>
          </w:p>
          <w:p w14:paraId="5B2AA3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出名称</w:t>
            </w:r>
          </w:p>
        </w:tc>
        <w:tc>
          <w:tcPr>
            <w:tcW w:w="8773" w:type="dxa"/>
            <w:gridSpan w:val="8"/>
            <w:noWrap w:val="0"/>
            <w:vAlign w:val="center"/>
          </w:tcPr>
          <w:p w14:paraId="2E2C9F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住房保障事务管理经费</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4330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noWrap w:val="0"/>
            <w:vAlign w:val="center"/>
          </w:tcPr>
          <w:p w14:paraId="3B7B7FC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主管部门</w:t>
            </w:r>
          </w:p>
        </w:tc>
        <w:tc>
          <w:tcPr>
            <w:tcW w:w="5242" w:type="dxa"/>
            <w:gridSpan w:val="4"/>
            <w:noWrap w:val="0"/>
            <w:vAlign w:val="center"/>
          </w:tcPr>
          <w:p w14:paraId="1F74BA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岳阳市住房和城乡建设局</w:t>
            </w:r>
          </w:p>
        </w:tc>
        <w:tc>
          <w:tcPr>
            <w:tcW w:w="1079" w:type="dxa"/>
            <w:noWrap w:val="0"/>
            <w:vAlign w:val="center"/>
          </w:tcPr>
          <w:p w14:paraId="6ED4D9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实施单位</w:t>
            </w:r>
          </w:p>
        </w:tc>
        <w:tc>
          <w:tcPr>
            <w:tcW w:w="2452" w:type="dxa"/>
            <w:gridSpan w:val="3"/>
            <w:noWrap w:val="0"/>
            <w:vAlign w:val="center"/>
          </w:tcPr>
          <w:p w14:paraId="61EA2D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岳阳市住房保障服务中心</w:t>
            </w:r>
          </w:p>
        </w:tc>
      </w:tr>
      <w:tr w14:paraId="31C4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restart"/>
            <w:noWrap w:val="0"/>
            <w:vAlign w:val="center"/>
          </w:tcPr>
          <w:p w14:paraId="243B9F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项目资金</w:t>
            </w:r>
          </w:p>
          <w:p w14:paraId="6A840A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（万元）</w:t>
            </w:r>
          </w:p>
        </w:tc>
        <w:tc>
          <w:tcPr>
            <w:tcW w:w="2157" w:type="dxa"/>
            <w:gridSpan w:val="2"/>
            <w:noWrap w:val="0"/>
            <w:vAlign w:val="center"/>
          </w:tcPr>
          <w:p w14:paraId="00BAAA0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2030" w:type="dxa"/>
            <w:noWrap w:val="0"/>
            <w:vAlign w:val="center"/>
          </w:tcPr>
          <w:p w14:paraId="6BFDC6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年初</w:t>
            </w:r>
          </w:p>
          <w:p w14:paraId="0B96B5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预算数</w:t>
            </w:r>
          </w:p>
        </w:tc>
        <w:tc>
          <w:tcPr>
            <w:tcW w:w="1055" w:type="dxa"/>
            <w:noWrap w:val="0"/>
            <w:vAlign w:val="center"/>
          </w:tcPr>
          <w:p w14:paraId="220799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w:t>
            </w:r>
          </w:p>
          <w:p w14:paraId="06AB22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预算数</w:t>
            </w:r>
          </w:p>
        </w:tc>
        <w:tc>
          <w:tcPr>
            <w:tcW w:w="1079" w:type="dxa"/>
            <w:noWrap w:val="0"/>
            <w:vAlign w:val="center"/>
          </w:tcPr>
          <w:p w14:paraId="184D42A9">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w:t>
            </w:r>
          </w:p>
          <w:p w14:paraId="683736FD">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执行数</w:t>
            </w:r>
          </w:p>
        </w:tc>
        <w:tc>
          <w:tcPr>
            <w:tcW w:w="791" w:type="dxa"/>
            <w:noWrap w:val="0"/>
            <w:vAlign w:val="center"/>
          </w:tcPr>
          <w:p w14:paraId="1FCD2736">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733" w:type="dxa"/>
            <w:noWrap w:val="0"/>
            <w:vAlign w:val="center"/>
          </w:tcPr>
          <w:p w14:paraId="0BD28F5C">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执行率</w:t>
            </w:r>
          </w:p>
        </w:tc>
        <w:tc>
          <w:tcPr>
            <w:tcW w:w="928" w:type="dxa"/>
            <w:noWrap w:val="0"/>
            <w:vAlign w:val="center"/>
          </w:tcPr>
          <w:p w14:paraId="18D7A911">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r>
      <w:tr w14:paraId="3ADF0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349427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57" w:type="dxa"/>
            <w:gridSpan w:val="2"/>
            <w:noWrap w:val="0"/>
            <w:vAlign w:val="center"/>
          </w:tcPr>
          <w:p w14:paraId="053C92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年度资金总额　</w:t>
            </w:r>
          </w:p>
        </w:tc>
        <w:tc>
          <w:tcPr>
            <w:tcW w:w="2030" w:type="dxa"/>
            <w:noWrap w:val="0"/>
            <w:vAlign w:val="center"/>
          </w:tcPr>
          <w:p w14:paraId="095162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147</w:t>
            </w:r>
          </w:p>
        </w:tc>
        <w:tc>
          <w:tcPr>
            <w:tcW w:w="1055" w:type="dxa"/>
            <w:noWrap w:val="0"/>
            <w:vAlign w:val="center"/>
          </w:tcPr>
          <w:p w14:paraId="2350093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147</w:t>
            </w:r>
          </w:p>
        </w:tc>
        <w:tc>
          <w:tcPr>
            <w:tcW w:w="1079" w:type="dxa"/>
            <w:noWrap w:val="0"/>
            <w:vAlign w:val="center"/>
          </w:tcPr>
          <w:p w14:paraId="00252C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146.86</w:t>
            </w:r>
          </w:p>
        </w:tc>
        <w:tc>
          <w:tcPr>
            <w:tcW w:w="791" w:type="dxa"/>
            <w:noWrap w:val="0"/>
            <w:vAlign w:val="center"/>
          </w:tcPr>
          <w:p w14:paraId="3F89D31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10</w:t>
            </w:r>
          </w:p>
        </w:tc>
        <w:tc>
          <w:tcPr>
            <w:tcW w:w="733" w:type="dxa"/>
            <w:noWrap w:val="0"/>
            <w:vAlign w:val="center"/>
          </w:tcPr>
          <w:p w14:paraId="59632F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99.9</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w:t>
            </w:r>
          </w:p>
        </w:tc>
        <w:tc>
          <w:tcPr>
            <w:tcW w:w="928" w:type="dxa"/>
            <w:noWrap w:val="0"/>
            <w:vAlign w:val="center"/>
          </w:tcPr>
          <w:p w14:paraId="19D18C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9.99</w:t>
            </w:r>
          </w:p>
        </w:tc>
      </w:tr>
      <w:tr w14:paraId="225F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0207F90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57" w:type="dxa"/>
            <w:gridSpan w:val="2"/>
            <w:noWrap w:val="0"/>
            <w:vAlign w:val="center"/>
          </w:tcPr>
          <w:p w14:paraId="6E6F5F9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其中：当年财政拨款　</w:t>
            </w:r>
          </w:p>
        </w:tc>
        <w:tc>
          <w:tcPr>
            <w:tcW w:w="2030" w:type="dxa"/>
            <w:noWrap w:val="0"/>
            <w:vAlign w:val="center"/>
          </w:tcPr>
          <w:p w14:paraId="6DF11A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147</w:t>
            </w:r>
          </w:p>
        </w:tc>
        <w:tc>
          <w:tcPr>
            <w:tcW w:w="1055" w:type="dxa"/>
            <w:noWrap w:val="0"/>
            <w:vAlign w:val="center"/>
          </w:tcPr>
          <w:p w14:paraId="39F9157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147</w:t>
            </w:r>
          </w:p>
        </w:tc>
        <w:tc>
          <w:tcPr>
            <w:tcW w:w="1079" w:type="dxa"/>
            <w:noWrap w:val="0"/>
            <w:vAlign w:val="center"/>
          </w:tcPr>
          <w:p w14:paraId="52E348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146.86</w:t>
            </w:r>
          </w:p>
        </w:tc>
        <w:tc>
          <w:tcPr>
            <w:tcW w:w="791" w:type="dxa"/>
            <w:noWrap w:val="0"/>
            <w:vAlign w:val="center"/>
          </w:tcPr>
          <w:p w14:paraId="68B90AD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733" w:type="dxa"/>
            <w:noWrap w:val="0"/>
            <w:vAlign w:val="center"/>
          </w:tcPr>
          <w:p w14:paraId="2AEF53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99.9</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w:t>
            </w:r>
          </w:p>
        </w:tc>
        <w:tc>
          <w:tcPr>
            <w:tcW w:w="928" w:type="dxa"/>
            <w:noWrap w:val="0"/>
            <w:vAlign w:val="center"/>
          </w:tcPr>
          <w:p w14:paraId="729E32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9.99</w:t>
            </w:r>
          </w:p>
        </w:tc>
      </w:tr>
      <w:tr w14:paraId="6AF8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7FFB7D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57" w:type="dxa"/>
            <w:gridSpan w:val="2"/>
            <w:noWrap w:val="0"/>
            <w:vAlign w:val="center"/>
          </w:tcPr>
          <w:p w14:paraId="2B5B0F52">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上年结转资金　</w:t>
            </w:r>
          </w:p>
        </w:tc>
        <w:tc>
          <w:tcPr>
            <w:tcW w:w="2030" w:type="dxa"/>
            <w:noWrap w:val="0"/>
            <w:vAlign w:val="center"/>
          </w:tcPr>
          <w:p w14:paraId="0BF74B0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55" w:type="dxa"/>
            <w:noWrap w:val="0"/>
            <w:vAlign w:val="center"/>
          </w:tcPr>
          <w:p w14:paraId="14240D3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79" w:type="dxa"/>
            <w:noWrap w:val="0"/>
            <w:vAlign w:val="center"/>
          </w:tcPr>
          <w:p w14:paraId="1B27046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791" w:type="dxa"/>
            <w:noWrap w:val="0"/>
            <w:vAlign w:val="center"/>
          </w:tcPr>
          <w:p w14:paraId="6E56D6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733" w:type="dxa"/>
            <w:noWrap w:val="0"/>
            <w:vAlign w:val="center"/>
          </w:tcPr>
          <w:p w14:paraId="013F820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928" w:type="dxa"/>
            <w:noWrap w:val="0"/>
            <w:vAlign w:val="center"/>
          </w:tcPr>
          <w:p w14:paraId="2AA2FCD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1B71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445CE2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57" w:type="dxa"/>
            <w:gridSpan w:val="2"/>
            <w:noWrap w:val="0"/>
            <w:vAlign w:val="center"/>
          </w:tcPr>
          <w:p w14:paraId="7E49D72D">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其他资金</w:t>
            </w:r>
          </w:p>
        </w:tc>
        <w:tc>
          <w:tcPr>
            <w:tcW w:w="2030" w:type="dxa"/>
            <w:noWrap w:val="0"/>
            <w:vAlign w:val="center"/>
          </w:tcPr>
          <w:p w14:paraId="17E9802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55" w:type="dxa"/>
            <w:noWrap w:val="0"/>
            <w:vAlign w:val="center"/>
          </w:tcPr>
          <w:p w14:paraId="7ABD624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79" w:type="dxa"/>
            <w:noWrap w:val="0"/>
            <w:vAlign w:val="center"/>
          </w:tcPr>
          <w:p w14:paraId="3DF97D5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791" w:type="dxa"/>
            <w:noWrap w:val="0"/>
            <w:vAlign w:val="center"/>
          </w:tcPr>
          <w:p w14:paraId="077D3F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733" w:type="dxa"/>
            <w:noWrap w:val="0"/>
            <w:vAlign w:val="center"/>
          </w:tcPr>
          <w:p w14:paraId="4C76060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928" w:type="dxa"/>
            <w:noWrap w:val="0"/>
            <w:vAlign w:val="center"/>
          </w:tcPr>
          <w:p w14:paraId="63DD32C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14:paraId="69B5A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restart"/>
            <w:noWrap w:val="0"/>
            <w:vAlign w:val="center"/>
          </w:tcPr>
          <w:p w14:paraId="23C381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年度总体目标</w:t>
            </w:r>
          </w:p>
        </w:tc>
        <w:tc>
          <w:tcPr>
            <w:tcW w:w="5242" w:type="dxa"/>
            <w:gridSpan w:val="4"/>
            <w:noWrap w:val="0"/>
            <w:vAlign w:val="center"/>
          </w:tcPr>
          <w:p w14:paraId="58E887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预期目标</w:t>
            </w:r>
          </w:p>
        </w:tc>
        <w:tc>
          <w:tcPr>
            <w:tcW w:w="3531" w:type="dxa"/>
            <w:gridSpan w:val="4"/>
            <w:noWrap w:val="0"/>
            <w:vAlign w:val="center"/>
          </w:tcPr>
          <w:p w14:paraId="6E2D72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实际完成情况　</w:t>
            </w:r>
          </w:p>
        </w:tc>
      </w:tr>
      <w:tr w14:paraId="4BA4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7CD778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5242" w:type="dxa"/>
            <w:gridSpan w:val="4"/>
            <w:noWrap w:val="0"/>
            <w:vAlign w:val="center"/>
          </w:tcPr>
          <w:p w14:paraId="515122A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做好中心城区新建、改建、扩建、装饰装修等房屋白蚁预防和原有房屋的白蚁检查与灭治的管理工作；对城区南湖公园、金鹗公园、王家河公园、南湖广场等多个园林单位以及中心城区主干道行道树木进行白蚁灭治。</w:t>
            </w:r>
          </w:p>
          <w:p w14:paraId="63B15F2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公租房小区的配租、清查和退出管理</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；和档案信息更新</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w:t>
            </w:r>
          </w:p>
          <w:p w14:paraId="043418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乡村振兴</w:t>
            </w:r>
            <w:r>
              <w:rPr>
                <w:rFonts w:hint="default" w:ascii="Times New Roman" w:hAnsi="Times New Roman" w:eastAsia="仿宋_GB2312" w:cs="Times New Roman"/>
                <w:color w:val="000000" w:themeColor="text1"/>
                <w:sz w:val="20"/>
                <w:szCs w:val="20"/>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文明创建</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等</w:t>
            </w:r>
            <w:r>
              <w:rPr>
                <w:rFonts w:hint="default" w:ascii="Times New Roman" w:hAnsi="Times New Roman" w:eastAsia="仿宋_GB2312" w:cs="Times New Roman"/>
                <w:color w:val="000000" w:themeColor="text1"/>
                <w:sz w:val="20"/>
                <w:szCs w:val="20"/>
                <w:highlight w:val="none"/>
                <w:lang w:eastAsia="zh-CN"/>
                <w14:textFill>
                  <w14:solidFill>
                    <w14:schemeClr w14:val="tx1"/>
                  </w14:solidFill>
                </w14:textFill>
              </w:rPr>
              <w:t>。</w:t>
            </w:r>
          </w:p>
        </w:tc>
        <w:tc>
          <w:tcPr>
            <w:tcW w:w="3531" w:type="dxa"/>
            <w:gridSpan w:val="4"/>
            <w:noWrap w:val="0"/>
            <w:vAlign w:val="center"/>
          </w:tcPr>
          <w:p w14:paraId="4F43F8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年度总体目标</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全部完成</w:t>
            </w:r>
          </w:p>
        </w:tc>
      </w:tr>
      <w:tr w14:paraId="6B75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restart"/>
            <w:noWrap w:val="0"/>
            <w:vAlign w:val="center"/>
          </w:tcPr>
          <w:p w14:paraId="49ABA1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绩</w:t>
            </w:r>
          </w:p>
          <w:p w14:paraId="45A850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w:t>
            </w:r>
          </w:p>
          <w:p w14:paraId="2DB896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w:t>
            </w:r>
          </w:p>
          <w:p w14:paraId="567057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标</w:t>
            </w:r>
          </w:p>
        </w:tc>
        <w:tc>
          <w:tcPr>
            <w:tcW w:w="1079" w:type="dxa"/>
            <w:noWrap w:val="0"/>
            <w:vAlign w:val="center"/>
          </w:tcPr>
          <w:p w14:paraId="51A8E3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一级指标</w:t>
            </w:r>
          </w:p>
        </w:tc>
        <w:tc>
          <w:tcPr>
            <w:tcW w:w="1078" w:type="dxa"/>
            <w:noWrap w:val="0"/>
            <w:vAlign w:val="center"/>
          </w:tcPr>
          <w:p w14:paraId="7E7CC8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二级指标</w:t>
            </w:r>
          </w:p>
        </w:tc>
        <w:tc>
          <w:tcPr>
            <w:tcW w:w="2030" w:type="dxa"/>
            <w:noWrap w:val="0"/>
            <w:vAlign w:val="center"/>
          </w:tcPr>
          <w:p w14:paraId="4A47A2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三级指标</w:t>
            </w:r>
          </w:p>
        </w:tc>
        <w:tc>
          <w:tcPr>
            <w:tcW w:w="1055" w:type="dxa"/>
            <w:noWrap w:val="0"/>
            <w:vAlign w:val="center"/>
          </w:tcPr>
          <w:p w14:paraId="0646F5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w:t>
            </w:r>
          </w:p>
          <w:p w14:paraId="0BE093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指标值</w:t>
            </w:r>
          </w:p>
        </w:tc>
        <w:tc>
          <w:tcPr>
            <w:tcW w:w="1079" w:type="dxa"/>
            <w:noWrap w:val="0"/>
            <w:vAlign w:val="center"/>
          </w:tcPr>
          <w:p w14:paraId="725516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w:t>
            </w:r>
          </w:p>
          <w:p w14:paraId="59AB7B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完成值</w:t>
            </w:r>
          </w:p>
        </w:tc>
        <w:tc>
          <w:tcPr>
            <w:tcW w:w="791" w:type="dxa"/>
            <w:noWrap w:val="0"/>
            <w:vAlign w:val="center"/>
          </w:tcPr>
          <w:p w14:paraId="7139A1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733" w:type="dxa"/>
            <w:noWrap w:val="0"/>
            <w:vAlign w:val="center"/>
          </w:tcPr>
          <w:p w14:paraId="078EEF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c>
          <w:tcPr>
            <w:tcW w:w="928" w:type="dxa"/>
            <w:noWrap w:val="0"/>
            <w:vAlign w:val="center"/>
          </w:tcPr>
          <w:p w14:paraId="367583E5">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偏差原因分析及改进措施</w:t>
            </w:r>
          </w:p>
        </w:tc>
      </w:tr>
      <w:tr w14:paraId="7CF3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237AB70A">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restart"/>
            <w:noWrap w:val="0"/>
            <w:vAlign w:val="center"/>
          </w:tcPr>
          <w:p w14:paraId="5E837A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产出指标</w:t>
            </w:r>
          </w:p>
          <w:p w14:paraId="510BB7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14:paraId="05BAE7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(50分)</w:t>
            </w:r>
          </w:p>
        </w:tc>
        <w:tc>
          <w:tcPr>
            <w:tcW w:w="1078" w:type="dxa"/>
            <w:vMerge w:val="restart"/>
            <w:noWrap w:val="0"/>
            <w:vAlign w:val="center"/>
          </w:tcPr>
          <w:p w14:paraId="27840457">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数量指标</w:t>
            </w:r>
          </w:p>
        </w:tc>
        <w:tc>
          <w:tcPr>
            <w:tcW w:w="2030" w:type="dxa"/>
            <w:noWrap w:val="0"/>
            <w:vAlign w:val="top"/>
          </w:tcPr>
          <w:p w14:paraId="7D8C5C35">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确保城区南湖公园、金鹗公园、王家河公园、南湖广场等多个园林单位以及城区主干道行道绿化树木90%的灭治区域无明显蚁害现象。</w:t>
            </w:r>
          </w:p>
        </w:tc>
        <w:tc>
          <w:tcPr>
            <w:tcW w:w="1055" w:type="dxa"/>
            <w:noWrap w:val="0"/>
            <w:vAlign w:val="center"/>
          </w:tcPr>
          <w:p w14:paraId="0FA11977">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 xml:space="preserve">90%的灭治区域 </w:t>
            </w:r>
          </w:p>
        </w:tc>
        <w:tc>
          <w:tcPr>
            <w:tcW w:w="1079" w:type="dxa"/>
            <w:noWrap w:val="0"/>
            <w:vAlign w:val="center"/>
          </w:tcPr>
          <w:p w14:paraId="39E968D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21C686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733" w:type="dxa"/>
            <w:noWrap w:val="0"/>
            <w:vAlign w:val="center"/>
          </w:tcPr>
          <w:p w14:paraId="2D046A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928" w:type="dxa"/>
            <w:noWrap w:val="0"/>
            <w:vAlign w:val="center"/>
          </w:tcPr>
          <w:p w14:paraId="37A1A7F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1BC8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09870299">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50609A89">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vMerge w:val="continue"/>
            <w:noWrap w:val="0"/>
            <w:vAlign w:val="center"/>
          </w:tcPr>
          <w:p w14:paraId="3088F3DD">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2030" w:type="dxa"/>
            <w:noWrap w:val="0"/>
            <w:vAlign w:val="center"/>
          </w:tcPr>
          <w:p w14:paraId="3F4970AC">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城区新建房屋达到施工条件的进行施工全覆盖。</w:t>
            </w:r>
          </w:p>
        </w:tc>
        <w:tc>
          <w:tcPr>
            <w:tcW w:w="1055" w:type="dxa"/>
            <w:noWrap w:val="0"/>
            <w:vAlign w:val="center"/>
          </w:tcPr>
          <w:p w14:paraId="6BE8F805">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300万平方米</w:t>
            </w:r>
          </w:p>
        </w:tc>
        <w:tc>
          <w:tcPr>
            <w:tcW w:w="1079" w:type="dxa"/>
            <w:noWrap w:val="0"/>
            <w:vAlign w:val="center"/>
          </w:tcPr>
          <w:p w14:paraId="16E0F10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3DB249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733" w:type="dxa"/>
            <w:noWrap w:val="0"/>
            <w:vAlign w:val="center"/>
          </w:tcPr>
          <w:p w14:paraId="117E77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9</w:t>
            </w:r>
          </w:p>
        </w:tc>
        <w:tc>
          <w:tcPr>
            <w:tcW w:w="928" w:type="dxa"/>
            <w:noWrap w:val="0"/>
            <w:vAlign w:val="center"/>
          </w:tcPr>
          <w:p w14:paraId="460E260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0A31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688499D5">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53956F84">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vMerge w:val="continue"/>
            <w:noWrap w:val="0"/>
            <w:vAlign w:val="center"/>
          </w:tcPr>
          <w:p w14:paraId="62364099">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2030" w:type="dxa"/>
            <w:noWrap w:val="0"/>
            <w:vAlign w:val="center"/>
          </w:tcPr>
          <w:p w14:paraId="3491E431">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制定施工方案</w:t>
            </w:r>
          </w:p>
        </w:tc>
        <w:tc>
          <w:tcPr>
            <w:tcW w:w="1055" w:type="dxa"/>
            <w:noWrap w:val="0"/>
            <w:vAlign w:val="center"/>
          </w:tcPr>
          <w:p w14:paraId="588AF6BC">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1个</w:t>
            </w:r>
          </w:p>
        </w:tc>
        <w:tc>
          <w:tcPr>
            <w:tcW w:w="1079" w:type="dxa"/>
            <w:noWrap w:val="0"/>
            <w:vAlign w:val="center"/>
          </w:tcPr>
          <w:p w14:paraId="198786F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625C6F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733" w:type="dxa"/>
            <w:noWrap w:val="0"/>
            <w:vAlign w:val="center"/>
          </w:tcPr>
          <w:p w14:paraId="5BB8CA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28" w:type="dxa"/>
            <w:noWrap w:val="0"/>
            <w:vAlign w:val="center"/>
          </w:tcPr>
          <w:p w14:paraId="18D16D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6100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394AD94D">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161652D0">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noWrap w:val="0"/>
            <w:vAlign w:val="center"/>
          </w:tcPr>
          <w:p w14:paraId="00D07082">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质量指标</w:t>
            </w:r>
          </w:p>
        </w:tc>
        <w:tc>
          <w:tcPr>
            <w:tcW w:w="2030" w:type="dxa"/>
            <w:noWrap w:val="0"/>
            <w:vAlign w:val="center"/>
          </w:tcPr>
          <w:p w14:paraId="00A5F320">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验收后确保城区南湖公园、金鹗公园、王家河公园、南湖广场等多个园林单位以及城区主干道行道绿化树木90%</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ab/>
            </w:r>
          </w:p>
        </w:tc>
        <w:tc>
          <w:tcPr>
            <w:tcW w:w="1055" w:type="dxa"/>
            <w:noWrap w:val="0"/>
            <w:vAlign w:val="center"/>
          </w:tcPr>
          <w:p w14:paraId="22BCA2E8">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1、无明显蚁害现象</w:t>
            </w:r>
          </w:p>
          <w:p w14:paraId="0ED65E8E">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2、不出现重复蚁</w:t>
            </w:r>
          </w:p>
        </w:tc>
        <w:tc>
          <w:tcPr>
            <w:tcW w:w="1079" w:type="dxa"/>
            <w:noWrap w:val="0"/>
            <w:vAlign w:val="center"/>
          </w:tcPr>
          <w:p w14:paraId="1882BD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271178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733" w:type="dxa"/>
            <w:noWrap w:val="0"/>
            <w:vAlign w:val="center"/>
          </w:tcPr>
          <w:p w14:paraId="248E49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28" w:type="dxa"/>
            <w:noWrap w:val="0"/>
            <w:vAlign w:val="center"/>
          </w:tcPr>
          <w:p w14:paraId="78D2FC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0957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3F255E45">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1D5DCFC4">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noWrap w:val="0"/>
            <w:vAlign w:val="center"/>
          </w:tcPr>
          <w:p w14:paraId="34B65F18">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时效指标</w:t>
            </w:r>
          </w:p>
        </w:tc>
        <w:tc>
          <w:tcPr>
            <w:tcW w:w="2030" w:type="dxa"/>
            <w:noWrap w:val="0"/>
            <w:vAlign w:val="center"/>
          </w:tcPr>
          <w:p w14:paraId="57206ED8">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保防期内复查、复治</w:t>
            </w:r>
          </w:p>
        </w:tc>
        <w:tc>
          <w:tcPr>
            <w:tcW w:w="1055" w:type="dxa"/>
            <w:noWrap w:val="0"/>
            <w:vAlign w:val="center"/>
          </w:tcPr>
          <w:p w14:paraId="3A9E57EB">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完成年内施工方案</w:t>
            </w:r>
          </w:p>
        </w:tc>
        <w:tc>
          <w:tcPr>
            <w:tcW w:w="1079" w:type="dxa"/>
            <w:noWrap w:val="0"/>
            <w:vAlign w:val="center"/>
          </w:tcPr>
          <w:p w14:paraId="5E56DCD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1659CE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733" w:type="dxa"/>
            <w:noWrap w:val="0"/>
            <w:vAlign w:val="center"/>
          </w:tcPr>
          <w:p w14:paraId="7625DD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928" w:type="dxa"/>
            <w:noWrap w:val="0"/>
            <w:vAlign w:val="center"/>
          </w:tcPr>
          <w:p w14:paraId="40B0552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036B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66291F4A">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3220A216">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noWrap w:val="0"/>
            <w:vAlign w:val="center"/>
          </w:tcPr>
          <w:p w14:paraId="28190993">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成本指标</w:t>
            </w:r>
          </w:p>
        </w:tc>
        <w:tc>
          <w:tcPr>
            <w:tcW w:w="2030" w:type="dxa"/>
            <w:noWrap w:val="0"/>
            <w:vAlign w:val="center"/>
          </w:tcPr>
          <w:p w14:paraId="3306B648">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严格按预算控制支出</w:t>
            </w:r>
          </w:p>
        </w:tc>
        <w:tc>
          <w:tcPr>
            <w:tcW w:w="1055" w:type="dxa"/>
            <w:noWrap w:val="0"/>
            <w:vAlign w:val="center"/>
          </w:tcPr>
          <w:p w14:paraId="74AB1D37">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147万元</w:t>
            </w:r>
          </w:p>
        </w:tc>
        <w:tc>
          <w:tcPr>
            <w:tcW w:w="1079" w:type="dxa"/>
            <w:noWrap w:val="0"/>
            <w:vAlign w:val="center"/>
          </w:tcPr>
          <w:p w14:paraId="1B91D76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146.86</w:t>
            </w:r>
          </w:p>
        </w:tc>
        <w:tc>
          <w:tcPr>
            <w:tcW w:w="791" w:type="dxa"/>
            <w:noWrap w:val="0"/>
            <w:vAlign w:val="center"/>
          </w:tcPr>
          <w:p w14:paraId="4C5C48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733" w:type="dxa"/>
            <w:noWrap w:val="0"/>
            <w:vAlign w:val="center"/>
          </w:tcPr>
          <w:p w14:paraId="562FAD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9.98</w:t>
            </w:r>
          </w:p>
        </w:tc>
        <w:tc>
          <w:tcPr>
            <w:tcW w:w="928" w:type="dxa"/>
            <w:noWrap w:val="0"/>
            <w:vAlign w:val="center"/>
          </w:tcPr>
          <w:p w14:paraId="693F954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4513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5D17FD83">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restart"/>
            <w:noWrap w:val="0"/>
            <w:vAlign w:val="center"/>
          </w:tcPr>
          <w:p w14:paraId="2581AE6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效益指标</w:t>
            </w:r>
          </w:p>
          <w:p w14:paraId="16F2086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14:paraId="6122709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（30分）</w:t>
            </w:r>
          </w:p>
          <w:p w14:paraId="2AFB3C6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78" w:type="dxa"/>
            <w:noWrap w:val="0"/>
            <w:vAlign w:val="center"/>
          </w:tcPr>
          <w:p w14:paraId="4EFE6FD9">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经济效</w:t>
            </w:r>
          </w:p>
          <w:p w14:paraId="76ED071B">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益指标</w:t>
            </w:r>
          </w:p>
        </w:tc>
        <w:tc>
          <w:tcPr>
            <w:tcW w:w="2030" w:type="dxa"/>
            <w:noWrap w:val="0"/>
            <w:vAlign w:val="center"/>
          </w:tcPr>
          <w:p w14:paraId="03F0CDA6">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无直接经济效益</w:t>
            </w:r>
          </w:p>
        </w:tc>
        <w:tc>
          <w:tcPr>
            <w:tcW w:w="1055" w:type="dxa"/>
            <w:noWrap w:val="0"/>
            <w:vAlign w:val="center"/>
          </w:tcPr>
          <w:p w14:paraId="54747597">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不适用</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　</w:t>
            </w:r>
          </w:p>
        </w:tc>
        <w:tc>
          <w:tcPr>
            <w:tcW w:w="1079" w:type="dxa"/>
            <w:noWrap w:val="0"/>
            <w:vAlign w:val="center"/>
          </w:tcPr>
          <w:p w14:paraId="6388DE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不适用</w:t>
            </w:r>
          </w:p>
        </w:tc>
        <w:tc>
          <w:tcPr>
            <w:tcW w:w="791" w:type="dxa"/>
            <w:noWrap w:val="0"/>
            <w:vAlign w:val="center"/>
          </w:tcPr>
          <w:p w14:paraId="3B4ABC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733" w:type="dxa"/>
            <w:noWrap w:val="0"/>
            <w:vAlign w:val="center"/>
          </w:tcPr>
          <w:p w14:paraId="1FC132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928" w:type="dxa"/>
            <w:noWrap w:val="0"/>
            <w:vAlign w:val="center"/>
          </w:tcPr>
          <w:p w14:paraId="2242BD7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14:paraId="3BBEF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7991FC5B">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140A6665">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vMerge w:val="restart"/>
            <w:noWrap w:val="0"/>
            <w:vAlign w:val="center"/>
          </w:tcPr>
          <w:p w14:paraId="2BB949F9">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社会效</w:t>
            </w:r>
          </w:p>
          <w:p w14:paraId="7F942D6D">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益指标</w:t>
            </w:r>
          </w:p>
        </w:tc>
        <w:tc>
          <w:tcPr>
            <w:tcW w:w="2030" w:type="dxa"/>
            <w:noWrap w:val="0"/>
            <w:vAlign w:val="center"/>
          </w:tcPr>
          <w:p w14:paraId="2C050903">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城区南湖公园、金鹗公园、王家河公园、南湖广场等多个园林单位以及城区主干道行道树木逐渐消除蚁害。</w:t>
            </w:r>
          </w:p>
        </w:tc>
        <w:tc>
          <w:tcPr>
            <w:tcW w:w="1055" w:type="dxa"/>
            <w:noWrap w:val="0"/>
            <w:vAlign w:val="center"/>
          </w:tcPr>
          <w:p w14:paraId="6C8D4FCF">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达到良好的社会效益</w:t>
            </w:r>
          </w:p>
        </w:tc>
        <w:tc>
          <w:tcPr>
            <w:tcW w:w="1079" w:type="dxa"/>
            <w:noWrap w:val="0"/>
            <w:vAlign w:val="center"/>
          </w:tcPr>
          <w:p w14:paraId="5BEF61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5D3E55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733" w:type="dxa"/>
            <w:noWrap w:val="0"/>
            <w:vAlign w:val="center"/>
          </w:tcPr>
          <w:p w14:paraId="183749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4</w:t>
            </w:r>
          </w:p>
        </w:tc>
        <w:tc>
          <w:tcPr>
            <w:tcW w:w="928" w:type="dxa"/>
            <w:noWrap w:val="0"/>
            <w:vAlign w:val="center"/>
          </w:tcPr>
          <w:p w14:paraId="3A310ED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2846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74B418AC">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10A3CB7C">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vMerge w:val="continue"/>
            <w:noWrap w:val="0"/>
            <w:vAlign w:val="center"/>
          </w:tcPr>
          <w:p w14:paraId="0159FAAC">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2030" w:type="dxa"/>
            <w:noWrap w:val="0"/>
            <w:vAlign w:val="center"/>
          </w:tcPr>
          <w:p w14:paraId="1B83742E">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降低城市房屋白蚁危害。</w:t>
            </w:r>
          </w:p>
        </w:tc>
        <w:tc>
          <w:tcPr>
            <w:tcW w:w="1055" w:type="dxa"/>
            <w:noWrap w:val="0"/>
            <w:vAlign w:val="center"/>
          </w:tcPr>
          <w:p w14:paraId="28DEA3BD">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确保城市房屋住用安全</w:t>
            </w:r>
          </w:p>
        </w:tc>
        <w:tc>
          <w:tcPr>
            <w:tcW w:w="1079" w:type="dxa"/>
            <w:noWrap w:val="0"/>
            <w:vAlign w:val="center"/>
          </w:tcPr>
          <w:p w14:paraId="16D79C1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297723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733" w:type="dxa"/>
            <w:noWrap w:val="0"/>
            <w:vAlign w:val="center"/>
          </w:tcPr>
          <w:p w14:paraId="31C364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4</w:t>
            </w:r>
          </w:p>
        </w:tc>
        <w:tc>
          <w:tcPr>
            <w:tcW w:w="928" w:type="dxa"/>
            <w:noWrap w:val="0"/>
            <w:vAlign w:val="center"/>
          </w:tcPr>
          <w:p w14:paraId="5F8377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3773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7150DDE5">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73C4BEA5">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vMerge w:val="restart"/>
            <w:noWrap w:val="0"/>
            <w:vAlign w:val="center"/>
          </w:tcPr>
          <w:p w14:paraId="7A10AB7A">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生态效</w:t>
            </w:r>
          </w:p>
          <w:p w14:paraId="254A84F0">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益指标</w:t>
            </w:r>
          </w:p>
        </w:tc>
        <w:tc>
          <w:tcPr>
            <w:tcW w:w="2030" w:type="dxa"/>
            <w:noWrap w:val="0"/>
            <w:vAlign w:val="center"/>
          </w:tcPr>
          <w:p w14:paraId="14C43C34">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逐渐消除城市园林绿地蚁害，达到山清水绿。</w:t>
            </w:r>
          </w:p>
        </w:tc>
        <w:tc>
          <w:tcPr>
            <w:tcW w:w="1055" w:type="dxa"/>
            <w:noWrap w:val="0"/>
            <w:vAlign w:val="center"/>
          </w:tcPr>
          <w:p w14:paraId="0DE19610">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环境效益好</w:t>
            </w:r>
          </w:p>
        </w:tc>
        <w:tc>
          <w:tcPr>
            <w:tcW w:w="1079" w:type="dxa"/>
            <w:noWrap w:val="0"/>
            <w:vAlign w:val="center"/>
          </w:tcPr>
          <w:p w14:paraId="190BA86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20EB10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733" w:type="dxa"/>
            <w:noWrap w:val="0"/>
            <w:vAlign w:val="center"/>
          </w:tcPr>
          <w:p w14:paraId="52BF2E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28" w:type="dxa"/>
            <w:noWrap w:val="0"/>
            <w:vAlign w:val="center"/>
          </w:tcPr>
          <w:p w14:paraId="484E0C9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22A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49C74188">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0137BD7C">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vMerge w:val="continue"/>
            <w:noWrap w:val="0"/>
            <w:vAlign w:val="center"/>
          </w:tcPr>
          <w:p w14:paraId="63C1B505">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2030" w:type="dxa"/>
            <w:noWrap w:val="0"/>
            <w:vAlign w:val="center"/>
          </w:tcPr>
          <w:p w14:paraId="19E11E5C">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降低城市房屋白蚁危害，确保城市房屋住用安全。</w:t>
            </w:r>
          </w:p>
        </w:tc>
        <w:tc>
          <w:tcPr>
            <w:tcW w:w="1055" w:type="dxa"/>
            <w:noWrap w:val="0"/>
            <w:vAlign w:val="center"/>
          </w:tcPr>
          <w:p w14:paraId="6ACC6028">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环境效益好</w:t>
            </w:r>
          </w:p>
        </w:tc>
        <w:tc>
          <w:tcPr>
            <w:tcW w:w="1079" w:type="dxa"/>
            <w:noWrap w:val="0"/>
            <w:vAlign w:val="center"/>
          </w:tcPr>
          <w:p w14:paraId="30DC95F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6A30E5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733" w:type="dxa"/>
            <w:noWrap w:val="0"/>
            <w:vAlign w:val="center"/>
          </w:tcPr>
          <w:p w14:paraId="2F378E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28" w:type="dxa"/>
            <w:noWrap w:val="0"/>
            <w:vAlign w:val="center"/>
          </w:tcPr>
          <w:p w14:paraId="2464DAD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386A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790C85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1C432C2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vMerge w:val="restart"/>
            <w:noWrap w:val="0"/>
            <w:vAlign w:val="center"/>
          </w:tcPr>
          <w:p w14:paraId="3376E7AD">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可持续影响指标</w:t>
            </w:r>
          </w:p>
        </w:tc>
        <w:tc>
          <w:tcPr>
            <w:tcW w:w="2030" w:type="dxa"/>
            <w:noWrap w:val="0"/>
            <w:vAlign w:val="center"/>
          </w:tcPr>
          <w:p w14:paraId="30A93EB4">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蚁害逐年递减</w:t>
            </w:r>
          </w:p>
        </w:tc>
        <w:tc>
          <w:tcPr>
            <w:tcW w:w="1055" w:type="dxa"/>
            <w:noWrap w:val="0"/>
            <w:vAlign w:val="center"/>
          </w:tcPr>
          <w:p w14:paraId="38C812B5">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有可持续影响</w:t>
            </w:r>
          </w:p>
        </w:tc>
        <w:tc>
          <w:tcPr>
            <w:tcW w:w="1079" w:type="dxa"/>
            <w:noWrap w:val="0"/>
            <w:vAlign w:val="center"/>
          </w:tcPr>
          <w:p w14:paraId="30583AB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74CC54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733" w:type="dxa"/>
            <w:noWrap w:val="0"/>
            <w:vAlign w:val="center"/>
          </w:tcPr>
          <w:p w14:paraId="5C56F6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28" w:type="dxa"/>
            <w:noWrap w:val="0"/>
            <w:vAlign w:val="center"/>
          </w:tcPr>
          <w:p w14:paraId="0AFA85B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78C5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454015C0">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vMerge w:val="continue"/>
            <w:noWrap w:val="0"/>
            <w:vAlign w:val="center"/>
          </w:tcPr>
          <w:p w14:paraId="5B5DD346">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8" w:type="dxa"/>
            <w:vMerge w:val="continue"/>
            <w:noWrap w:val="0"/>
            <w:vAlign w:val="center"/>
          </w:tcPr>
          <w:p w14:paraId="27B69785">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2030" w:type="dxa"/>
            <w:noWrap w:val="0"/>
            <w:vAlign w:val="center"/>
          </w:tcPr>
          <w:p w14:paraId="6A8AC0C8">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城市房屋15年保防期内无蚁害现象发生</w:t>
            </w:r>
          </w:p>
        </w:tc>
        <w:tc>
          <w:tcPr>
            <w:tcW w:w="1055" w:type="dxa"/>
            <w:noWrap w:val="0"/>
            <w:vAlign w:val="center"/>
          </w:tcPr>
          <w:p w14:paraId="6BD900A5">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有可持续影响</w:t>
            </w:r>
          </w:p>
        </w:tc>
        <w:tc>
          <w:tcPr>
            <w:tcW w:w="1079" w:type="dxa"/>
            <w:noWrap w:val="0"/>
            <w:vAlign w:val="center"/>
          </w:tcPr>
          <w:p w14:paraId="523C91B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100%</w:t>
            </w:r>
          </w:p>
        </w:tc>
        <w:tc>
          <w:tcPr>
            <w:tcW w:w="791" w:type="dxa"/>
            <w:noWrap w:val="0"/>
            <w:vAlign w:val="center"/>
          </w:tcPr>
          <w:p w14:paraId="523359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733" w:type="dxa"/>
            <w:noWrap w:val="0"/>
            <w:vAlign w:val="center"/>
          </w:tcPr>
          <w:p w14:paraId="7BA436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928" w:type="dxa"/>
            <w:noWrap w:val="0"/>
            <w:vAlign w:val="center"/>
          </w:tcPr>
          <w:p w14:paraId="462027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3250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vMerge w:val="continue"/>
            <w:noWrap w:val="0"/>
            <w:vAlign w:val="center"/>
          </w:tcPr>
          <w:p w14:paraId="777CB034">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79" w:type="dxa"/>
            <w:noWrap w:val="0"/>
            <w:vAlign w:val="center"/>
          </w:tcPr>
          <w:p w14:paraId="04856D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满意度</w:t>
            </w:r>
          </w:p>
          <w:p w14:paraId="552705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指标</w:t>
            </w:r>
          </w:p>
          <w:p w14:paraId="678873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（10分）</w:t>
            </w:r>
          </w:p>
        </w:tc>
        <w:tc>
          <w:tcPr>
            <w:tcW w:w="1078" w:type="dxa"/>
            <w:noWrap w:val="0"/>
            <w:vAlign w:val="center"/>
          </w:tcPr>
          <w:p w14:paraId="4CC11777">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服务对象满意度指标</w:t>
            </w:r>
          </w:p>
        </w:tc>
        <w:tc>
          <w:tcPr>
            <w:tcW w:w="2030" w:type="dxa"/>
            <w:noWrap w:val="0"/>
            <w:vAlign w:val="center"/>
          </w:tcPr>
          <w:p w14:paraId="4BCF226E">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施工验收后达到90%以上的满意度</w:t>
            </w:r>
          </w:p>
        </w:tc>
        <w:tc>
          <w:tcPr>
            <w:tcW w:w="1055" w:type="dxa"/>
            <w:noWrap w:val="0"/>
            <w:vAlign w:val="center"/>
          </w:tcPr>
          <w:p w14:paraId="25061835">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90%</w:t>
            </w:r>
          </w:p>
        </w:tc>
        <w:tc>
          <w:tcPr>
            <w:tcW w:w="1079" w:type="dxa"/>
            <w:noWrap w:val="0"/>
            <w:vAlign w:val="center"/>
          </w:tcPr>
          <w:p w14:paraId="446F82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90%</w:t>
            </w:r>
          </w:p>
        </w:tc>
        <w:tc>
          <w:tcPr>
            <w:tcW w:w="791" w:type="dxa"/>
            <w:noWrap w:val="0"/>
            <w:vAlign w:val="center"/>
          </w:tcPr>
          <w:p w14:paraId="4A7444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733" w:type="dxa"/>
            <w:noWrap w:val="0"/>
            <w:vAlign w:val="center"/>
          </w:tcPr>
          <w:p w14:paraId="3E5B22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928" w:type="dxa"/>
            <w:noWrap w:val="0"/>
            <w:vAlign w:val="center"/>
          </w:tcPr>
          <w:p w14:paraId="09C500D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0830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9" w:type="dxa"/>
            <w:gridSpan w:val="6"/>
            <w:noWrap w:val="0"/>
            <w:vAlign w:val="center"/>
          </w:tcPr>
          <w:p w14:paraId="7060F4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总分</w:t>
            </w:r>
          </w:p>
        </w:tc>
        <w:tc>
          <w:tcPr>
            <w:tcW w:w="791" w:type="dxa"/>
            <w:noWrap w:val="0"/>
            <w:vAlign w:val="center"/>
          </w:tcPr>
          <w:p w14:paraId="44392A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100</w:t>
            </w:r>
          </w:p>
        </w:tc>
        <w:tc>
          <w:tcPr>
            <w:tcW w:w="733" w:type="dxa"/>
            <w:noWrap w:val="0"/>
            <w:vAlign w:val="center"/>
          </w:tcPr>
          <w:p w14:paraId="273463E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96.97</w:t>
            </w:r>
          </w:p>
        </w:tc>
        <w:tc>
          <w:tcPr>
            <w:tcW w:w="928" w:type="dxa"/>
            <w:noWrap w:val="0"/>
            <w:vAlign w:val="center"/>
          </w:tcPr>
          <w:p w14:paraId="66A09D6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bl>
    <w:p w14:paraId="3052E757">
      <w:pPr>
        <w:keepNext w:val="0"/>
        <w:keepLines w:val="0"/>
        <w:pageBreakBefore w:val="0"/>
        <w:widowControl w:val="0"/>
        <w:kinsoku/>
        <w:wordWrap/>
        <w:overflowPunct/>
        <w:topLinePunct w:val="0"/>
        <w:autoSpaceDE/>
        <w:autoSpaceDN/>
        <w:bidi w:val="0"/>
        <w:adjustRightInd/>
        <w:snapToGrid/>
        <w:spacing w:afterLines="0" w:line="240" w:lineRule="auto"/>
        <w:ind w:right="0" w:rightChars="0"/>
        <w:jc w:val="both"/>
        <w:textAlignment w:val="auto"/>
        <w:rPr>
          <w:rFonts w:hint="default" w:ascii="Times New Roman" w:hAnsi="Times New Roman" w:eastAsia="仿宋_GB2312" w:cs="Times New Roman"/>
          <w:color w:val="000000" w:themeColor="text1"/>
          <w:sz w:val="22"/>
          <w:szCs w:val="22"/>
          <w:highlight w:val="none"/>
          <w14:textFill>
            <w14:solidFill>
              <w14:schemeClr w14:val="tx1"/>
            </w14:solidFill>
          </w14:textFill>
        </w:rPr>
      </w:pPr>
    </w:p>
    <w:p w14:paraId="6BB91FE7">
      <w:pPr>
        <w:keepNext w:val="0"/>
        <w:keepLines w:val="0"/>
        <w:pageBreakBefore w:val="0"/>
        <w:widowControl w:val="0"/>
        <w:kinsoku/>
        <w:wordWrap/>
        <w:overflowPunct/>
        <w:topLinePunct w:val="0"/>
        <w:autoSpaceDE/>
        <w:autoSpaceDN/>
        <w:bidi w:val="0"/>
        <w:adjustRightInd/>
        <w:snapToGrid/>
        <w:spacing w:afterLines="0" w:line="240" w:lineRule="auto"/>
        <w:ind w:right="0" w:rightChars="0"/>
        <w:jc w:val="both"/>
        <w:textAlignment w:val="auto"/>
        <w:rPr>
          <w:rFonts w:hint="default" w:ascii="Times New Roman" w:hAnsi="Times New Roman" w:eastAsia="仿宋_GB2312" w:cs="Times New Roman"/>
          <w:color w:val="000000" w:themeColor="text1"/>
          <w:sz w:val="22"/>
          <w:szCs w:val="22"/>
          <w:highlight w:val="none"/>
          <w14:textFill>
            <w14:solidFill>
              <w14:schemeClr w14:val="tx1"/>
            </w14:solidFill>
          </w14:textFill>
        </w:rPr>
        <w:sectPr>
          <w:pgSz w:w="11906" w:h="16838"/>
          <w:pgMar w:top="1440" w:right="1800" w:bottom="1440" w:left="1800" w:header="851" w:footer="992" w:gutter="0"/>
          <w:pgNumType w:fmt="decimal" w:start="1"/>
          <w:cols w:space="425" w:num="1"/>
          <w:docGrid w:type="lines" w:linePitch="312" w:charSpace="0"/>
        </w:sectPr>
      </w:pPr>
      <w:r>
        <w:rPr>
          <w:rFonts w:hint="default" w:ascii="Times New Roman" w:hAnsi="Times New Roman" w:eastAsia="仿宋_GB2312" w:cs="Times New Roman"/>
          <w:color w:val="000000" w:themeColor="text1"/>
          <w:sz w:val="22"/>
          <w:szCs w:val="22"/>
          <w:highlight w:val="none"/>
          <w14:textFill>
            <w14:solidFill>
              <w14:schemeClr w14:val="tx1"/>
            </w14:solidFill>
          </w14:textFill>
        </w:rPr>
        <w:t>填表人：</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涂姣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填报日期：</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2024.6.5</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 xml:space="preserve"> 联系电话：</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15074497086</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 xml:space="preserve"> 单位负责人签字</w:t>
      </w:r>
    </w:p>
    <w:p w14:paraId="14B8BC3A">
      <w:pPr>
        <w:widowControl/>
        <w:spacing w:line="600" w:lineRule="exact"/>
        <w:jc w:val="left"/>
        <w:rPr>
          <w:rFonts w:hint="default" w:ascii="Times New Roman" w:hAnsi="Times New Roman" w:eastAsia="黑体" w:cs="Times New Roman"/>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w:t>
      </w:r>
    </w:p>
    <w:p w14:paraId="6AE5F5D3">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2"/>
        <w:tblW w:w="9963" w:type="dxa"/>
        <w:jc w:val="center"/>
        <w:tblLayout w:type="fixed"/>
        <w:tblCellMar>
          <w:top w:w="0" w:type="dxa"/>
          <w:left w:w="108" w:type="dxa"/>
          <w:bottom w:w="0" w:type="dxa"/>
          <w:right w:w="108" w:type="dxa"/>
        </w:tblCellMar>
      </w:tblPr>
      <w:tblGrid>
        <w:gridCol w:w="1049"/>
        <w:gridCol w:w="1024"/>
        <w:gridCol w:w="1395"/>
        <w:gridCol w:w="1987"/>
        <w:gridCol w:w="907"/>
        <w:gridCol w:w="1021"/>
        <w:gridCol w:w="615"/>
        <w:gridCol w:w="660"/>
        <w:gridCol w:w="1305"/>
      </w:tblGrid>
      <w:tr w14:paraId="6CA4FBE9">
        <w:tblPrEx>
          <w:tblCellMar>
            <w:top w:w="0" w:type="dxa"/>
            <w:left w:w="108" w:type="dxa"/>
            <w:bottom w:w="0" w:type="dxa"/>
            <w:right w:w="108" w:type="dxa"/>
          </w:tblCellMar>
        </w:tblPrEx>
        <w:trPr>
          <w:jc w:val="center"/>
        </w:trPr>
        <w:tc>
          <w:tcPr>
            <w:tcW w:w="1049" w:type="dxa"/>
            <w:tcBorders>
              <w:top w:val="single" w:color="auto" w:sz="4" w:space="0"/>
              <w:left w:val="single" w:color="auto" w:sz="4" w:space="0"/>
              <w:bottom w:val="single" w:color="auto" w:sz="4" w:space="0"/>
              <w:right w:val="single" w:color="auto" w:sz="4" w:space="0"/>
            </w:tcBorders>
            <w:noWrap w:val="0"/>
            <w:vAlign w:val="center"/>
          </w:tcPr>
          <w:p w14:paraId="612518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BB6D4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914" w:type="dxa"/>
            <w:gridSpan w:val="8"/>
            <w:tcBorders>
              <w:top w:val="single" w:color="auto" w:sz="4" w:space="0"/>
              <w:left w:val="nil"/>
              <w:bottom w:val="single" w:color="auto" w:sz="4" w:space="0"/>
              <w:right w:val="single" w:color="auto" w:sz="4" w:space="0"/>
            </w:tcBorders>
            <w:noWrap w:val="0"/>
            <w:vAlign w:val="center"/>
          </w:tcPr>
          <w:p w14:paraId="0C80BE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非税收入执收成本</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　</w:t>
            </w:r>
          </w:p>
        </w:tc>
      </w:tr>
      <w:tr w14:paraId="410106D9">
        <w:tblPrEx>
          <w:tblCellMar>
            <w:top w:w="0" w:type="dxa"/>
            <w:left w:w="108" w:type="dxa"/>
            <w:bottom w:w="0" w:type="dxa"/>
            <w:right w:w="108" w:type="dxa"/>
          </w:tblCellMar>
        </w:tblPrEx>
        <w:trPr>
          <w:jc w:val="center"/>
        </w:trPr>
        <w:tc>
          <w:tcPr>
            <w:tcW w:w="1049" w:type="dxa"/>
            <w:tcBorders>
              <w:top w:val="nil"/>
              <w:left w:val="single" w:color="auto" w:sz="4" w:space="0"/>
              <w:bottom w:val="single" w:color="auto" w:sz="4" w:space="0"/>
              <w:right w:val="single" w:color="auto" w:sz="4" w:space="0"/>
            </w:tcBorders>
            <w:noWrap w:val="0"/>
            <w:vAlign w:val="center"/>
          </w:tcPr>
          <w:p w14:paraId="7E583D0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5313" w:type="dxa"/>
            <w:gridSpan w:val="4"/>
            <w:tcBorders>
              <w:top w:val="single" w:color="auto" w:sz="4" w:space="0"/>
              <w:left w:val="nil"/>
              <w:bottom w:val="single" w:color="auto" w:sz="4" w:space="0"/>
              <w:right w:val="single" w:color="auto" w:sz="4" w:space="0"/>
            </w:tcBorders>
            <w:noWrap w:val="0"/>
            <w:vAlign w:val="center"/>
          </w:tcPr>
          <w:p w14:paraId="362EF72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岳阳市住房和城乡建设局</w:t>
            </w:r>
          </w:p>
        </w:tc>
        <w:tc>
          <w:tcPr>
            <w:tcW w:w="1021" w:type="dxa"/>
            <w:tcBorders>
              <w:top w:val="single" w:color="auto" w:sz="4" w:space="0"/>
              <w:left w:val="nil"/>
              <w:bottom w:val="single" w:color="auto" w:sz="4" w:space="0"/>
              <w:right w:val="single" w:color="000000" w:sz="4" w:space="0"/>
            </w:tcBorders>
            <w:noWrap w:val="0"/>
            <w:vAlign w:val="center"/>
          </w:tcPr>
          <w:p w14:paraId="3C09F1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2580" w:type="dxa"/>
            <w:gridSpan w:val="3"/>
            <w:tcBorders>
              <w:top w:val="single" w:color="auto" w:sz="4" w:space="0"/>
              <w:left w:val="nil"/>
              <w:bottom w:val="single" w:color="auto" w:sz="4" w:space="0"/>
              <w:right w:val="single" w:color="auto" w:sz="4" w:space="0"/>
            </w:tcBorders>
            <w:noWrap w:val="0"/>
            <w:vAlign w:val="center"/>
          </w:tcPr>
          <w:p w14:paraId="0B09F72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岳阳市住房保障服务中心</w:t>
            </w:r>
          </w:p>
        </w:tc>
      </w:tr>
      <w:tr w14:paraId="0AC4C171">
        <w:tblPrEx>
          <w:tblCellMar>
            <w:top w:w="0" w:type="dxa"/>
            <w:left w:w="108" w:type="dxa"/>
            <w:bottom w:w="0" w:type="dxa"/>
            <w:right w:w="108" w:type="dxa"/>
          </w:tblCellMar>
        </w:tblPrEx>
        <w:trPr>
          <w:jc w:val="center"/>
        </w:trPr>
        <w:tc>
          <w:tcPr>
            <w:tcW w:w="1049" w:type="dxa"/>
            <w:vMerge w:val="restart"/>
            <w:tcBorders>
              <w:top w:val="nil"/>
              <w:left w:val="single" w:color="auto" w:sz="4" w:space="0"/>
              <w:bottom w:val="single" w:color="000000" w:sz="4" w:space="0"/>
              <w:right w:val="single" w:color="auto" w:sz="4" w:space="0"/>
            </w:tcBorders>
            <w:noWrap w:val="0"/>
            <w:vAlign w:val="center"/>
          </w:tcPr>
          <w:p w14:paraId="6A4077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项目资金</w:t>
            </w:r>
          </w:p>
          <w:p w14:paraId="6D97F8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（万元）</w:t>
            </w:r>
          </w:p>
        </w:tc>
        <w:tc>
          <w:tcPr>
            <w:tcW w:w="2419" w:type="dxa"/>
            <w:gridSpan w:val="2"/>
            <w:tcBorders>
              <w:top w:val="nil"/>
              <w:left w:val="nil"/>
              <w:bottom w:val="single" w:color="auto" w:sz="4" w:space="0"/>
              <w:right w:val="single" w:color="auto" w:sz="4" w:space="0"/>
            </w:tcBorders>
            <w:noWrap w:val="0"/>
            <w:vAlign w:val="center"/>
          </w:tcPr>
          <w:p w14:paraId="5A2AA55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987" w:type="dxa"/>
            <w:tcBorders>
              <w:top w:val="nil"/>
              <w:left w:val="nil"/>
              <w:bottom w:val="single" w:color="auto" w:sz="4" w:space="0"/>
              <w:right w:val="single" w:color="auto" w:sz="4" w:space="0"/>
            </w:tcBorders>
            <w:noWrap w:val="0"/>
            <w:vAlign w:val="center"/>
          </w:tcPr>
          <w:p w14:paraId="00B411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37407A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907" w:type="dxa"/>
            <w:tcBorders>
              <w:top w:val="nil"/>
              <w:left w:val="nil"/>
              <w:bottom w:val="single" w:color="auto" w:sz="4" w:space="0"/>
              <w:right w:val="single" w:color="auto" w:sz="4" w:space="0"/>
            </w:tcBorders>
            <w:noWrap w:val="0"/>
            <w:vAlign w:val="center"/>
          </w:tcPr>
          <w:p w14:paraId="03EE45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059244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21" w:type="dxa"/>
            <w:tcBorders>
              <w:top w:val="nil"/>
              <w:left w:val="nil"/>
              <w:bottom w:val="single" w:color="auto" w:sz="4" w:space="0"/>
              <w:right w:val="single" w:color="auto" w:sz="4" w:space="0"/>
            </w:tcBorders>
            <w:noWrap w:val="0"/>
            <w:vAlign w:val="center"/>
          </w:tcPr>
          <w:p w14:paraId="2AB4116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6E00498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615" w:type="dxa"/>
            <w:tcBorders>
              <w:top w:val="nil"/>
              <w:left w:val="nil"/>
              <w:bottom w:val="single" w:color="auto" w:sz="4" w:space="0"/>
              <w:right w:val="single" w:color="auto" w:sz="4" w:space="0"/>
            </w:tcBorders>
            <w:noWrap w:val="0"/>
            <w:vAlign w:val="center"/>
          </w:tcPr>
          <w:p w14:paraId="6A2E974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660" w:type="dxa"/>
            <w:tcBorders>
              <w:top w:val="nil"/>
              <w:left w:val="nil"/>
              <w:bottom w:val="single" w:color="auto" w:sz="4" w:space="0"/>
              <w:right w:val="single" w:color="auto" w:sz="4" w:space="0"/>
            </w:tcBorders>
            <w:noWrap w:val="0"/>
            <w:vAlign w:val="center"/>
          </w:tcPr>
          <w:p w14:paraId="1689F66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05" w:type="dxa"/>
            <w:tcBorders>
              <w:top w:val="nil"/>
              <w:left w:val="nil"/>
              <w:bottom w:val="single" w:color="auto" w:sz="4" w:space="0"/>
              <w:right w:val="single" w:color="auto" w:sz="4" w:space="0"/>
            </w:tcBorders>
            <w:noWrap w:val="0"/>
            <w:vAlign w:val="center"/>
          </w:tcPr>
          <w:p w14:paraId="5647CF4E">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72E2C4C5">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1E20FE3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419" w:type="dxa"/>
            <w:gridSpan w:val="2"/>
            <w:tcBorders>
              <w:top w:val="nil"/>
              <w:left w:val="nil"/>
              <w:bottom w:val="single" w:color="auto" w:sz="4" w:space="0"/>
              <w:right w:val="single" w:color="auto" w:sz="4" w:space="0"/>
            </w:tcBorders>
            <w:noWrap w:val="0"/>
            <w:vAlign w:val="center"/>
          </w:tcPr>
          <w:p w14:paraId="4390C7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987" w:type="dxa"/>
            <w:tcBorders>
              <w:top w:val="nil"/>
              <w:left w:val="nil"/>
              <w:bottom w:val="single" w:color="auto" w:sz="4" w:space="0"/>
              <w:right w:val="single" w:color="auto" w:sz="4" w:space="0"/>
            </w:tcBorders>
            <w:noWrap w:val="0"/>
            <w:vAlign w:val="center"/>
          </w:tcPr>
          <w:p w14:paraId="1AD4FB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26</w:t>
            </w:r>
          </w:p>
        </w:tc>
        <w:tc>
          <w:tcPr>
            <w:tcW w:w="907" w:type="dxa"/>
            <w:tcBorders>
              <w:top w:val="nil"/>
              <w:left w:val="nil"/>
              <w:bottom w:val="single" w:color="auto" w:sz="4" w:space="0"/>
              <w:right w:val="single" w:color="auto" w:sz="4" w:space="0"/>
            </w:tcBorders>
            <w:noWrap w:val="0"/>
            <w:vAlign w:val="center"/>
          </w:tcPr>
          <w:p w14:paraId="1AF9D8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26</w:t>
            </w:r>
          </w:p>
        </w:tc>
        <w:tc>
          <w:tcPr>
            <w:tcW w:w="1021" w:type="dxa"/>
            <w:tcBorders>
              <w:top w:val="nil"/>
              <w:left w:val="nil"/>
              <w:bottom w:val="single" w:color="auto" w:sz="4" w:space="0"/>
              <w:right w:val="single" w:color="auto" w:sz="4" w:space="0"/>
            </w:tcBorders>
            <w:noWrap w:val="0"/>
            <w:vAlign w:val="center"/>
          </w:tcPr>
          <w:p w14:paraId="0DC9F9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116.29</w:t>
            </w:r>
          </w:p>
        </w:tc>
        <w:tc>
          <w:tcPr>
            <w:tcW w:w="615" w:type="dxa"/>
            <w:tcBorders>
              <w:top w:val="nil"/>
              <w:left w:val="nil"/>
              <w:bottom w:val="single" w:color="auto" w:sz="4" w:space="0"/>
              <w:right w:val="single" w:color="auto" w:sz="4" w:space="0"/>
            </w:tcBorders>
            <w:noWrap w:val="0"/>
            <w:vAlign w:val="center"/>
          </w:tcPr>
          <w:p w14:paraId="2786DF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660" w:type="dxa"/>
            <w:tcBorders>
              <w:top w:val="nil"/>
              <w:left w:val="nil"/>
              <w:bottom w:val="single" w:color="auto" w:sz="4" w:space="0"/>
              <w:right w:val="single" w:color="auto" w:sz="4" w:space="0"/>
            </w:tcBorders>
            <w:noWrap w:val="0"/>
            <w:vAlign w:val="center"/>
          </w:tcPr>
          <w:p w14:paraId="33C2B7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447%</w:t>
            </w:r>
          </w:p>
        </w:tc>
        <w:tc>
          <w:tcPr>
            <w:tcW w:w="1305" w:type="dxa"/>
            <w:tcBorders>
              <w:top w:val="nil"/>
              <w:left w:val="nil"/>
              <w:bottom w:val="single" w:color="auto" w:sz="4" w:space="0"/>
              <w:right w:val="single" w:color="auto" w:sz="4" w:space="0"/>
            </w:tcBorders>
            <w:noWrap w:val="0"/>
            <w:vAlign w:val="center"/>
          </w:tcPr>
          <w:p w14:paraId="275FA3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118EAF14">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2D8652A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419" w:type="dxa"/>
            <w:gridSpan w:val="2"/>
            <w:tcBorders>
              <w:top w:val="nil"/>
              <w:left w:val="nil"/>
              <w:bottom w:val="single" w:color="auto" w:sz="4" w:space="0"/>
              <w:right w:val="single" w:color="auto" w:sz="4" w:space="0"/>
            </w:tcBorders>
            <w:noWrap w:val="0"/>
            <w:vAlign w:val="center"/>
          </w:tcPr>
          <w:p w14:paraId="4D92E06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987" w:type="dxa"/>
            <w:tcBorders>
              <w:top w:val="nil"/>
              <w:left w:val="nil"/>
              <w:bottom w:val="single" w:color="auto" w:sz="4" w:space="0"/>
              <w:right w:val="single" w:color="auto" w:sz="4" w:space="0"/>
            </w:tcBorders>
            <w:noWrap w:val="0"/>
            <w:vAlign w:val="center"/>
          </w:tcPr>
          <w:p w14:paraId="255381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26</w:t>
            </w:r>
          </w:p>
        </w:tc>
        <w:tc>
          <w:tcPr>
            <w:tcW w:w="907" w:type="dxa"/>
            <w:tcBorders>
              <w:top w:val="nil"/>
              <w:left w:val="nil"/>
              <w:bottom w:val="single" w:color="auto" w:sz="4" w:space="0"/>
              <w:right w:val="single" w:color="auto" w:sz="4" w:space="0"/>
            </w:tcBorders>
            <w:noWrap w:val="0"/>
            <w:vAlign w:val="center"/>
          </w:tcPr>
          <w:p w14:paraId="376037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26</w:t>
            </w:r>
          </w:p>
        </w:tc>
        <w:tc>
          <w:tcPr>
            <w:tcW w:w="1021" w:type="dxa"/>
            <w:tcBorders>
              <w:top w:val="nil"/>
              <w:left w:val="nil"/>
              <w:bottom w:val="single" w:color="auto" w:sz="4" w:space="0"/>
              <w:right w:val="single" w:color="auto" w:sz="4" w:space="0"/>
            </w:tcBorders>
            <w:noWrap w:val="0"/>
            <w:vAlign w:val="center"/>
          </w:tcPr>
          <w:p w14:paraId="783E84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116.29</w:t>
            </w:r>
          </w:p>
        </w:tc>
        <w:tc>
          <w:tcPr>
            <w:tcW w:w="615" w:type="dxa"/>
            <w:tcBorders>
              <w:top w:val="nil"/>
              <w:left w:val="nil"/>
              <w:bottom w:val="single" w:color="auto" w:sz="4" w:space="0"/>
              <w:right w:val="single" w:color="auto" w:sz="4" w:space="0"/>
            </w:tcBorders>
            <w:noWrap w:val="0"/>
            <w:vAlign w:val="center"/>
          </w:tcPr>
          <w:p w14:paraId="272129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nil"/>
              <w:left w:val="nil"/>
              <w:bottom w:val="single" w:color="auto" w:sz="4" w:space="0"/>
              <w:right w:val="single" w:color="auto" w:sz="4" w:space="0"/>
            </w:tcBorders>
            <w:noWrap w:val="0"/>
            <w:vAlign w:val="center"/>
          </w:tcPr>
          <w:p w14:paraId="56ACC0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447%</w:t>
            </w:r>
          </w:p>
        </w:tc>
        <w:tc>
          <w:tcPr>
            <w:tcW w:w="1305" w:type="dxa"/>
            <w:tcBorders>
              <w:top w:val="nil"/>
              <w:left w:val="nil"/>
              <w:bottom w:val="single" w:color="auto" w:sz="4" w:space="0"/>
              <w:right w:val="single" w:color="auto" w:sz="4" w:space="0"/>
            </w:tcBorders>
            <w:noWrap w:val="0"/>
            <w:vAlign w:val="center"/>
          </w:tcPr>
          <w:p w14:paraId="368AF0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57CD69EE">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5F8E89F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419" w:type="dxa"/>
            <w:gridSpan w:val="2"/>
            <w:tcBorders>
              <w:top w:val="nil"/>
              <w:left w:val="nil"/>
              <w:bottom w:val="single" w:color="auto" w:sz="4" w:space="0"/>
              <w:right w:val="single" w:color="auto" w:sz="4" w:space="0"/>
            </w:tcBorders>
            <w:noWrap w:val="0"/>
            <w:vAlign w:val="center"/>
          </w:tcPr>
          <w:p w14:paraId="20D6F150">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987" w:type="dxa"/>
            <w:tcBorders>
              <w:top w:val="nil"/>
              <w:left w:val="nil"/>
              <w:bottom w:val="single" w:color="auto" w:sz="4" w:space="0"/>
              <w:right w:val="single" w:color="auto" w:sz="4" w:space="0"/>
            </w:tcBorders>
            <w:noWrap w:val="0"/>
            <w:vAlign w:val="center"/>
          </w:tcPr>
          <w:p w14:paraId="40758C2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907" w:type="dxa"/>
            <w:tcBorders>
              <w:top w:val="nil"/>
              <w:left w:val="nil"/>
              <w:bottom w:val="single" w:color="auto" w:sz="4" w:space="0"/>
              <w:right w:val="single" w:color="auto" w:sz="4" w:space="0"/>
            </w:tcBorders>
            <w:noWrap w:val="0"/>
            <w:vAlign w:val="center"/>
          </w:tcPr>
          <w:p w14:paraId="20B3754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1" w:type="dxa"/>
            <w:tcBorders>
              <w:top w:val="nil"/>
              <w:left w:val="nil"/>
              <w:bottom w:val="single" w:color="auto" w:sz="4" w:space="0"/>
              <w:right w:val="single" w:color="auto" w:sz="4" w:space="0"/>
            </w:tcBorders>
            <w:noWrap w:val="0"/>
            <w:vAlign w:val="center"/>
          </w:tcPr>
          <w:p w14:paraId="62CED28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15" w:type="dxa"/>
            <w:tcBorders>
              <w:top w:val="nil"/>
              <w:left w:val="nil"/>
              <w:bottom w:val="single" w:color="auto" w:sz="4" w:space="0"/>
              <w:right w:val="single" w:color="auto" w:sz="4" w:space="0"/>
            </w:tcBorders>
            <w:noWrap w:val="0"/>
            <w:vAlign w:val="center"/>
          </w:tcPr>
          <w:p w14:paraId="1F49BC4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15E92D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05" w:type="dxa"/>
            <w:tcBorders>
              <w:top w:val="nil"/>
              <w:left w:val="nil"/>
              <w:bottom w:val="single" w:color="auto" w:sz="4" w:space="0"/>
              <w:right w:val="single" w:color="auto" w:sz="4" w:space="0"/>
            </w:tcBorders>
            <w:noWrap w:val="0"/>
            <w:vAlign w:val="center"/>
          </w:tcPr>
          <w:p w14:paraId="6ADA724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EFD4DC2">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3B3004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419" w:type="dxa"/>
            <w:gridSpan w:val="2"/>
            <w:tcBorders>
              <w:top w:val="nil"/>
              <w:left w:val="nil"/>
              <w:bottom w:val="single" w:color="auto" w:sz="4" w:space="0"/>
              <w:right w:val="single" w:color="auto" w:sz="4" w:space="0"/>
            </w:tcBorders>
            <w:noWrap w:val="0"/>
            <w:vAlign w:val="center"/>
          </w:tcPr>
          <w:p w14:paraId="1D160585">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987" w:type="dxa"/>
            <w:tcBorders>
              <w:top w:val="nil"/>
              <w:left w:val="nil"/>
              <w:bottom w:val="single" w:color="auto" w:sz="4" w:space="0"/>
              <w:right w:val="single" w:color="auto" w:sz="4" w:space="0"/>
            </w:tcBorders>
            <w:noWrap w:val="0"/>
            <w:vAlign w:val="center"/>
          </w:tcPr>
          <w:p w14:paraId="2E4E7C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907" w:type="dxa"/>
            <w:tcBorders>
              <w:top w:val="nil"/>
              <w:left w:val="nil"/>
              <w:bottom w:val="single" w:color="auto" w:sz="4" w:space="0"/>
              <w:right w:val="single" w:color="auto" w:sz="4" w:space="0"/>
            </w:tcBorders>
            <w:noWrap w:val="0"/>
            <w:vAlign w:val="center"/>
          </w:tcPr>
          <w:p w14:paraId="2178FD2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1" w:type="dxa"/>
            <w:tcBorders>
              <w:top w:val="nil"/>
              <w:left w:val="nil"/>
              <w:bottom w:val="single" w:color="auto" w:sz="4" w:space="0"/>
              <w:right w:val="single" w:color="auto" w:sz="4" w:space="0"/>
            </w:tcBorders>
            <w:noWrap w:val="0"/>
            <w:vAlign w:val="center"/>
          </w:tcPr>
          <w:p w14:paraId="4553797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15" w:type="dxa"/>
            <w:tcBorders>
              <w:top w:val="nil"/>
              <w:left w:val="nil"/>
              <w:bottom w:val="single" w:color="auto" w:sz="4" w:space="0"/>
              <w:right w:val="single" w:color="auto" w:sz="4" w:space="0"/>
            </w:tcBorders>
            <w:noWrap w:val="0"/>
            <w:vAlign w:val="center"/>
          </w:tcPr>
          <w:p w14:paraId="40D2386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0AF202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05" w:type="dxa"/>
            <w:tcBorders>
              <w:top w:val="nil"/>
              <w:left w:val="nil"/>
              <w:bottom w:val="single" w:color="auto" w:sz="4" w:space="0"/>
              <w:right w:val="single" w:color="auto" w:sz="4" w:space="0"/>
            </w:tcBorders>
            <w:noWrap w:val="0"/>
            <w:vAlign w:val="center"/>
          </w:tcPr>
          <w:p w14:paraId="79F8962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4DA07F0">
        <w:tblPrEx>
          <w:tblCellMar>
            <w:top w:w="0" w:type="dxa"/>
            <w:left w:w="108" w:type="dxa"/>
            <w:bottom w:w="0" w:type="dxa"/>
            <w:right w:w="108" w:type="dxa"/>
          </w:tblCellMar>
        </w:tblPrEx>
        <w:trPr>
          <w:jc w:val="center"/>
        </w:trPr>
        <w:tc>
          <w:tcPr>
            <w:tcW w:w="1049" w:type="dxa"/>
            <w:vMerge w:val="restart"/>
            <w:tcBorders>
              <w:top w:val="nil"/>
              <w:left w:val="single" w:color="auto" w:sz="4" w:space="0"/>
              <w:bottom w:val="single" w:color="000000" w:sz="4" w:space="0"/>
              <w:right w:val="single" w:color="auto" w:sz="4" w:space="0"/>
            </w:tcBorders>
            <w:noWrap w:val="0"/>
            <w:vAlign w:val="center"/>
          </w:tcPr>
          <w:p w14:paraId="0FA9EA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5313" w:type="dxa"/>
            <w:gridSpan w:val="4"/>
            <w:tcBorders>
              <w:top w:val="single" w:color="auto" w:sz="4" w:space="0"/>
              <w:left w:val="nil"/>
              <w:bottom w:val="single" w:color="auto" w:sz="4" w:space="0"/>
              <w:right w:val="single" w:color="000000" w:sz="4" w:space="0"/>
            </w:tcBorders>
            <w:noWrap w:val="0"/>
            <w:vAlign w:val="center"/>
          </w:tcPr>
          <w:p w14:paraId="200467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3601" w:type="dxa"/>
            <w:gridSpan w:val="4"/>
            <w:tcBorders>
              <w:top w:val="single" w:color="auto" w:sz="4" w:space="0"/>
              <w:left w:val="nil"/>
              <w:bottom w:val="single" w:color="auto" w:sz="4" w:space="0"/>
              <w:right w:val="single" w:color="auto" w:sz="4" w:space="0"/>
            </w:tcBorders>
            <w:noWrap w:val="0"/>
            <w:vAlign w:val="center"/>
          </w:tcPr>
          <w:p w14:paraId="6F70FE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74C136D4">
        <w:tblPrEx>
          <w:tblCellMar>
            <w:top w:w="0" w:type="dxa"/>
            <w:left w:w="108" w:type="dxa"/>
            <w:bottom w:w="0" w:type="dxa"/>
            <w:right w:w="108" w:type="dxa"/>
          </w:tblCellMar>
        </w:tblPrEx>
        <w:trPr>
          <w:jc w:val="center"/>
        </w:trPr>
        <w:tc>
          <w:tcPr>
            <w:tcW w:w="1049" w:type="dxa"/>
            <w:vMerge w:val="continue"/>
            <w:tcBorders>
              <w:top w:val="nil"/>
              <w:left w:val="single" w:color="auto" w:sz="4" w:space="0"/>
              <w:bottom w:val="single" w:color="000000" w:sz="4" w:space="0"/>
              <w:right w:val="single" w:color="auto" w:sz="4" w:space="0"/>
            </w:tcBorders>
            <w:noWrap w:val="0"/>
            <w:vAlign w:val="center"/>
          </w:tcPr>
          <w:p w14:paraId="7AD8C27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5313" w:type="dxa"/>
            <w:gridSpan w:val="4"/>
            <w:tcBorders>
              <w:top w:val="single" w:color="auto" w:sz="4" w:space="0"/>
              <w:left w:val="nil"/>
              <w:bottom w:val="single" w:color="auto" w:sz="4" w:space="0"/>
              <w:right w:val="single" w:color="000000" w:sz="4" w:space="0"/>
            </w:tcBorders>
            <w:noWrap w:val="0"/>
            <w:vAlign w:val="center"/>
          </w:tcPr>
          <w:p w14:paraId="65F49B0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1、按时完成并及时足额上缴2023年度非税征收任务——房租收入130万元。</w:t>
            </w:r>
          </w:p>
          <w:p w14:paraId="7E79967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2、保障低收入家庭住房安全。</w:t>
            </w:r>
          </w:p>
          <w:p w14:paraId="6A8355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3、良好的物业管理。　　</w:t>
            </w:r>
          </w:p>
        </w:tc>
        <w:tc>
          <w:tcPr>
            <w:tcW w:w="3601" w:type="dxa"/>
            <w:gridSpan w:val="4"/>
            <w:tcBorders>
              <w:top w:val="single" w:color="auto" w:sz="4" w:space="0"/>
              <w:left w:val="nil"/>
              <w:bottom w:val="single" w:color="auto" w:sz="4" w:space="0"/>
              <w:right w:val="single" w:color="auto" w:sz="4" w:space="0"/>
            </w:tcBorders>
            <w:noWrap w:val="0"/>
            <w:vAlign w:val="center"/>
          </w:tcPr>
          <w:p w14:paraId="583645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年度总体目标全部完成</w:t>
            </w:r>
          </w:p>
        </w:tc>
      </w:tr>
      <w:tr w14:paraId="53B56685">
        <w:tblPrEx>
          <w:tblCellMar>
            <w:top w:w="0" w:type="dxa"/>
            <w:left w:w="108" w:type="dxa"/>
            <w:bottom w:w="0" w:type="dxa"/>
            <w:right w:w="108" w:type="dxa"/>
          </w:tblCellMar>
        </w:tblPrEx>
        <w:trPr>
          <w:jc w:val="center"/>
        </w:trPr>
        <w:tc>
          <w:tcPr>
            <w:tcW w:w="1049" w:type="dxa"/>
            <w:vMerge w:val="restart"/>
            <w:tcBorders>
              <w:top w:val="nil"/>
              <w:left w:val="single" w:color="auto" w:sz="4" w:space="0"/>
              <w:right w:val="single" w:color="auto" w:sz="4" w:space="0"/>
            </w:tcBorders>
            <w:noWrap w:val="0"/>
            <w:vAlign w:val="center"/>
          </w:tcPr>
          <w:p w14:paraId="67A241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1993F4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59F67D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473613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24" w:type="dxa"/>
            <w:tcBorders>
              <w:top w:val="nil"/>
              <w:left w:val="nil"/>
              <w:bottom w:val="single" w:color="auto" w:sz="4" w:space="0"/>
              <w:right w:val="single" w:color="auto" w:sz="4" w:space="0"/>
            </w:tcBorders>
            <w:noWrap w:val="0"/>
            <w:vAlign w:val="center"/>
          </w:tcPr>
          <w:p w14:paraId="409B40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395" w:type="dxa"/>
            <w:tcBorders>
              <w:top w:val="nil"/>
              <w:left w:val="nil"/>
              <w:bottom w:val="single" w:color="auto" w:sz="4" w:space="0"/>
              <w:right w:val="single" w:color="auto" w:sz="4" w:space="0"/>
            </w:tcBorders>
            <w:noWrap w:val="0"/>
            <w:vAlign w:val="center"/>
          </w:tcPr>
          <w:p w14:paraId="0CA23C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987" w:type="dxa"/>
            <w:tcBorders>
              <w:top w:val="nil"/>
              <w:left w:val="nil"/>
              <w:bottom w:val="single" w:color="auto" w:sz="4" w:space="0"/>
              <w:right w:val="single" w:color="auto" w:sz="4" w:space="0"/>
            </w:tcBorders>
            <w:noWrap w:val="0"/>
            <w:vAlign w:val="center"/>
          </w:tcPr>
          <w:p w14:paraId="597178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907" w:type="dxa"/>
            <w:tcBorders>
              <w:top w:val="nil"/>
              <w:left w:val="nil"/>
              <w:bottom w:val="single" w:color="auto" w:sz="4" w:space="0"/>
              <w:right w:val="single" w:color="auto" w:sz="4" w:space="0"/>
            </w:tcBorders>
            <w:noWrap w:val="0"/>
            <w:vAlign w:val="center"/>
          </w:tcPr>
          <w:p w14:paraId="4023F4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617784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021" w:type="dxa"/>
            <w:tcBorders>
              <w:top w:val="nil"/>
              <w:left w:val="nil"/>
              <w:bottom w:val="single" w:color="auto" w:sz="4" w:space="0"/>
              <w:right w:val="single" w:color="auto" w:sz="4" w:space="0"/>
            </w:tcBorders>
            <w:noWrap w:val="0"/>
            <w:vAlign w:val="center"/>
          </w:tcPr>
          <w:p w14:paraId="126F79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6454B1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615" w:type="dxa"/>
            <w:tcBorders>
              <w:top w:val="nil"/>
              <w:left w:val="nil"/>
              <w:bottom w:val="single" w:color="auto" w:sz="4" w:space="0"/>
              <w:right w:val="single" w:color="auto" w:sz="4" w:space="0"/>
            </w:tcBorders>
            <w:noWrap w:val="0"/>
            <w:vAlign w:val="center"/>
          </w:tcPr>
          <w:p w14:paraId="34E8AF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660" w:type="dxa"/>
            <w:tcBorders>
              <w:top w:val="nil"/>
              <w:left w:val="nil"/>
              <w:bottom w:val="single" w:color="auto" w:sz="4" w:space="0"/>
              <w:right w:val="single" w:color="auto" w:sz="4" w:space="0"/>
            </w:tcBorders>
            <w:noWrap w:val="0"/>
            <w:vAlign w:val="center"/>
          </w:tcPr>
          <w:p w14:paraId="5469EF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05" w:type="dxa"/>
            <w:tcBorders>
              <w:top w:val="nil"/>
              <w:left w:val="nil"/>
              <w:bottom w:val="single" w:color="auto" w:sz="4" w:space="0"/>
              <w:right w:val="single" w:color="auto" w:sz="4" w:space="0"/>
            </w:tcBorders>
            <w:noWrap w:val="0"/>
            <w:vAlign w:val="center"/>
          </w:tcPr>
          <w:p w14:paraId="293953F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28048583">
        <w:tblPrEx>
          <w:tblCellMar>
            <w:top w:w="0" w:type="dxa"/>
            <w:left w:w="108" w:type="dxa"/>
            <w:bottom w:w="0" w:type="dxa"/>
            <w:right w:w="108" w:type="dxa"/>
          </w:tblCellMar>
        </w:tblPrEx>
        <w:trPr>
          <w:trHeight w:val="90" w:hRule="atLeast"/>
          <w:jc w:val="center"/>
        </w:trPr>
        <w:tc>
          <w:tcPr>
            <w:tcW w:w="1049" w:type="dxa"/>
            <w:vMerge w:val="continue"/>
            <w:tcBorders>
              <w:left w:val="single" w:color="auto" w:sz="4" w:space="0"/>
              <w:right w:val="single" w:color="auto" w:sz="4" w:space="0"/>
            </w:tcBorders>
            <w:noWrap w:val="0"/>
            <w:vAlign w:val="center"/>
          </w:tcPr>
          <w:p w14:paraId="0D9A547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restart"/>
            <w:tcBorders>
              <w:top w:val="single" w:color="auto" w:sz="4" w:space="0"/>
              <w:left w:val="single" w:color="auto" w:sz="4" w:space="0"/>
              <w:bottom w:val="single" w:color="auto" w:sz="4" w:space="0"/>
              <w:right w:val="single" w:color="auto" w:sz="4" w:space="0"/>
            </w:tcBorders>
            <w:noWrap w:val="0"/>
            <w:vAlign w:val="center"/>
          </w:tcPr>
          <w:p w14:paraId="25089E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323045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3EC98D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7B7205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u w:val="none"/>
              </w:rPr>
            </w:pPr>
            <w:r>
              <w:rPr>
                <w:rFonts w:hint="eastAsia" w:ascii="仿宋_GB2312" w:hAnsi="仿宋_GB2312" w:eastAsia="仿宋_GB2312" w:cs="仿宋_GB2312"/>
                <w:color w:val="000000"/>
                <w:sz w:val="20"/>
                <w:szCs w:val="20"/>
                <w:highlight w:val="none"/>
                <w:u w:val="none"/>
              </w:rPr>
              <w:t>数量指标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21157BA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u w:val="none"/>
              </w:rPr>
            </w:pPr>
            <w:r>
              <w:rPr>
                <w:rFonts w:hint="eastAsia" w:ascii="仿宋_GB2312" w:hAnsi="仿宋_GB2312" w:eastAsia="仿宋_GB2312" w:cs="仿宋_GB2312"/>
                <w:color w:val="000000"/>
                <w:sz w:val="20"/>
                <w:szCs w:val="20"/>
                <w:highlight w:val="none"/>
                <w:u w:val="none"/>
              </w:rPr>
              <w:t>非税收入——公租房租金收入</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3687DC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130万元</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131043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130万元</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185F10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0FF9DE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4A4A176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201303BA">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179DDD9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0B1ED7F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restart"/>
            <w:tcBorders>
              <w:top w:val="single" w:color="auto" w:sz="4" w:space="0"/>
              <w:left w:val="single" w:color="auto" w:sz="4" w:space="0"/>
              <w:bottom w:val="single" w:color="auto" w:sz="4" w:space="0"/>
              <w:right w:val="single" w:color="auto" w:sz="4" w:space="0"/>
            </w:tcBorders>
            <w:noWrap w:val="0"/>
            <w:vAlign w:val="center"/>
          </w:tcPr>
          <w:p w14:paraId="25EC77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456DB85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共496套房屋租金收缴率</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147893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423243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90%</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0BF980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6D68CF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BABBA6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785E2DC1">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16E720A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1C7BF60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continue"/>
            <w:tcBorders>
              <w:top w:val="single" w:color="auto" w:sz="4" w:space="0"/>
              <w:left w:val="single" w:color="auto" w:sz="4" w:space="0"/>
              <w:bottom w:val="single" w:color="auto" w:sz="4" w:space="0"/>
              <w:right w:val="single" w:color="auto" w:sz="4" w:space="0"/>
            </w:tcBorders>
            <w:noWrap w:val="0"/>
            <w:vAlign w:val="center"/>
          </w:tcPr>
          <w:p w14:paraId="12369D8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987" w:type="dxa"/>
            <w:tcBorders>
              <w:top w:val="single" w:color="auto" w:sz="4" w:space="0"/>
              <w:left w:val="single" w:color="auto" w:sz="4" w:space="0"/>
              <w:bottom w:val="single" w:color="auto" w:sz="4" w:space="0"/>
              <w:right w:val="single" w:color="auto" w:sz="4" w:space="0"/>
            </w:tcBorders>
            <w:noWrap w:val="0"/>
            <w:vAlign w:val="center"/>
          </w:tcPr>
          <w:p w14:paraId="57CE4A9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保障低收入房屋居住安全</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3DAA73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79D5A5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4A9658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00C3F6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3CAF467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3D15D8F">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304AD7D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126BB3C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restart"/>
            <w:tcBorders>
              <w:top w:val="single" w:color="auto" w:sz="4" w:space="0"/>
              <w:left w:val="single" w:color="auto" w:sz="4" w:space="0"/>
              <w:bottom w:val="single" w:color="auto" w:sz="4" w:space="0"/>
              <w:right w:val="single" w:color="auto" w:sz="4" w:space="0"/>
            </w:tcBorders>
            <w:noWrap w:val="0"/>
            <w:vAlign w:val="center"/>
          </w:tcPr>
          <w:p w14:paraId="1E8A40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2CA9E41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房屋维修维护</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2DE327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即时即办</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0D025B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即时即办</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29178C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6BF6C7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5AAFBB0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0D061BB4">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13975B7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12B58E3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continue"/>
            <w:tcBorders>
              <w:top w:val="single" w:color="auto" w:sz="4" w:space="0"/>
              <w:left w:val="single" w:color="auto" w:sz="4" w:space="0"/>
              <w:bottom w:val="single" w:color="auto" w:sz="4" w:space="0"/>
              <w:right w:val="single" w:color="auto" w:sz="4" w:space="0"/>
            </w:tcBorders>
            <w:noWrap w:val="0"/>
            <w:vAlign w:val="center"/>
          </w:tcPr>
          <w:p w14:paraId="196EA5B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987" w:type="dxa"/>
            <w:tcBorders>
              <w:top w:val="single" w:color="auto" w:sz="4" w:space="0"/>
              <w:left w:val="single" w:color="auto" w:sz="4" w:space="0"/>
              <w:bottom w:val="single" w:color="auto" w:sz="4" w:space="0"/>
              <w:right w:val="single" w:color="auto" w:sz="4" w:space="0"/>
            </w:tcBorders>
            <w:noWrap w:val="0"/>
            <w:vAlign w:val="center"/>
          </w:tcPr>
          <w:p w14:paraId="37CFC2D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物业管理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22659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即时即办</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65E669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即时即办</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078131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0E4107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3135477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26B6492B">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013FE01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4635381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restart"/>
            <w:tcBorders>
              <w:top w:val="single" w:color="auto" w:sz="4" w:space="0"/>
              <w:left w:val="single" w:color="auto" w:sz="4" w:space="0"/>
              <w:bottom w:val="single" w:color="auto" w:sz="4" w:space="0"/>
              <w:right w:val="single" w:color="auto" w:sz="4" w:space="0"/>
            </w:tcBorders>
            <w:noWrap w:val="0"/>
            <w:vAlign w:val="center"/>
          </w:tcPr>
          <w:p w14:paraId="3EA18B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0300EDB7">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严格按预算控制各项维修维护支出</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5FE96D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26万元以内</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437D79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116.29万</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456389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298A05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3BA5879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非税超收返还</w:t>
            </w:r>
          </w:p>
        </w:tc>
      </w:tr>
      <w:tr w14:paraId="3D9C6ABE">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29C1146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1E440D0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vMerge w:val="continue"/>
            <w:tcBorders>
              <w:top w:val="single" w:color="auto" w:sz="4" w:space="0"/>
              <w:left w:val="single" w:color="auto" w:sz="4" w:space="0"/>
              <w:bottom w:val="single" w:color="auto" w:sz="4" w:space="0"/>
              <w:right w:val="single" w:color="auto" w:sz="4" w:space="0"/>
            </w:tcBorders>
            <w:noWrap w:val="0"/>
            <w:vAlign w:val="center"/>
          </w:tcPr>
          <w:p w14:paraId="72D9335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987" w:type="dxa"/>
            <w:tcBorders>
              <w:top w:val="single" w:color="auto" w:sz="4" w:space="0"/>
              <w:left w:val="single" w:color="auto" w:sz="4" w:space="0"/>
              <w:bottom w:val="single" w:color="auto" w:sz="4" w:space="0"/>
              <w:right w:val="single" w:color="auto" w:sz="4" w:space="0"/>
            </w:tcBorders>
            <w:noWrap w:val="0"/>
            <w:vAlign w:val="center"/>
          </w:tcPr>
          <w:p w14:paraId="33DB5D8D">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严格按预算控制人员支出和各项支出</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F494E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按人事和财务制度开支</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60C587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按人事和财务制度开支</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477796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520483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AC0AE1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FCB00F8">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09418D1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restart"/>
            <w:tcBorders>
              <w:top w:val="single" w:color="auto" w:sz="4" w:space="0"/>
              <w:left w:val="single" w:color="auto" w:sz="4" w:space="0"/>
              <w:bottom w:val="single" w:color="auto" w:sz="4" w:space="0"/>
              <w:right w:val="single" w:color="auto" w:sz="4" w:space="0"/>
            </w:tcBorders>
            <w:noWrap w:val="0"/>
            <w:vAlign w:val="center"/>
          </w:tcPr>
          <w:p w14:paraId="24DC608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78877AD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4CD5D00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6663A90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2E213E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49FBB6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26D4973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完成非税收入征收，保证低收入家庭居住安全</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20875D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130万元</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309176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130万元</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51CAD4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75A80F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335C71B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6B6A56C1">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3714280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791FBC2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4D42C5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4663DA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36C9DAB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保障低收入家庭住</w:t>
            </w:r>
            <w:r>
              <w:rPr>
                <w:rFonts w:hint="eastAsia" w:ascii="仿宋_GB2312" w:hAnsi="仿宋_GB2312" w:eastAsia="仿宋_GB2312" w:cs="仿宋_GB2312"/>
                <w:color w:val="000000"/>
                <w:sz w:val="20"/>
                <w:szCs w:val="20"/>
                <w:highlight w:val="none"/>
                <w:lang w:val="en-US" w:eastAsia="zh-CN"/>
              </w:rPr>
              <w:t>有所居</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11998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496户</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30834B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496户</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17A24A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68F173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306A9FB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499FF8BD">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6188906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6B263A5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5D1F26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1D5D0A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01F4943A">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改善老旧城区面貌</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256D33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宜居小区</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6974F5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宜居小区</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1AE90A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1B0E58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F01512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35267DCE">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56163B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4" w:type="dxa"/>
            <w:vMerge w:val="continue"/>
            <w:tcBorders>
              <w:top w:val="single" w:color="auto" w:sz="4" w:space="0"/>
              <w:left w:val="single" w:color="auto" w:sz="4" w:space="0"/>
              <w:bottom w:val="single" w:color="auto" w:sz="4" w:space="0"/>
              <w:right w:val="single" w:color="auto" w:sz="4" w:space="0"/>
            </w:tcBorders>
            <w:noWrap w:val="0"/>
            <w:vAlign w:val="center"/>
          </w:tcPr>
          <w:p w14:paraId="3D46929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3ED867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3004F6B7">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真正实现低收入家庭两不愁、三保障中的不愁住</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397719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496户</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7B900C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496户</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610F94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1E974E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45D447F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372F93E0">
        <w:tblPrEx>
          <w:tblCellMar>
            <w:top w:w="0" w:type="dxa"/>
            <w:left w:w="108" w:type="dxa"/>
            <w:bottom w:w="0" w:type="dxa"/>
            <w:right w:w="108" w:type="dxa"/>
          </w:tblCellMar>
        </w:tblPrEx>
        <w:trPr>
          <w:jc w:val="center"/>
        </w:trPr>
        <w:tc>
          <w:tcPr>
            <w:tcW w:w="1049" w:type="dxa"/>
            <w:vMerge w:val="continue"/>
            <w:tcBorders>
              <w:left w:val="single" w:color="auto" w:sz="4" w:space="0"/>
              <w:right w:val="single" w:color="auto" w:sz="4" w:space="0"/>
            </w:tcBorders>
            <w:noWrap w:val="0"/>
            <w:vAlign w:val="center"/>
          </w:tcPr>
          <w:p w14:paraId="5D766BB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4" w:type="dxa"/>
            <w:tcBorders>
              <w:top w:val="single" w:color="auto" w:sz="4" w:space="0"/>
              <w:left w:val="single" w:color="auto" w:sz="4" w:space="0"/>
              <w:bottom w:val="single" w:color="auto" w:sz="4" w:space="0"/>
              <w:right w:val="single" w:color="auto" w:sz="4" w:space="0"/>
            </w:tcBorders>
            <w:noWrap w:val="0"/>
            <w:vAlign w:val="center"/>
          </w:tcPr>
          <w:p w14:paraId="6D0391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4A8C4E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571B8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0BD2F7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987" w:type="dxa"/>
            <w:tcBorders>
              <w:top w:val="single" w:color="auto" w:sz="4" w:space="0"/>
              <w:left w:val="single" w:color="auto" w:sz="4" w:space="0"/>
              <w:bottom w:val="single" w:color="auto" w:sz="4" w:space="0"/>
              <w:right w:val="single" w:color="auto" w:sz="4" w:space="0"/>
            </w:tcBorders>
            <w:noWrap w:val="0"/>
            <w:vAlign w:val="center"/>
          </w:tcPr>
          <w:p w14:paraId="4212EAAC">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租赁户满意率</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54C6A1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367391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90%</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7E125D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48D0E1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2DDE08B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2B3108EE">
        <w:tblPrEx>
          <w:tblCellMar>
            <w:top w:w="0" w:type="dxa"/>
            <w:left w:w="108" w:type="dxa"/>
            <w:bottom w:w="0" w:type="dxa"/>
            <w:right w:w="108" w:type="dxa"/>
          </w:tblCellMar>
        </w:tblPrEx>
        <w:trPr>
          <w:jc w:val="center"/>
        </w:trPr>
        <w:tc>
          <w:tcPr>
            <w:tcW w:w="7383" w:type="dxa"/>
            <w:gridSpan w:val="6"/>
            <w:tcBorders>
              <w:top w:val="single" w:color="auto" w:sz="4" w:space="0"/>
              <w:left w:val="single" w:color="auto" w:sz="4" w:space="0"/>
              <w:bottom w:val="single" w:color="auto" w:sz="4" w:space="0"/>
              <w:right w:val="single" w:color="000000" w:sz="4" w:space="0"/>
            </w:tcBorders>
            <w:noWrap w:val="0"/>
            <w:vAlign w:val="center"/>
          </w:tcPr>
          <w:p w14:paraId="737D23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615" w:type="dxa"/>
            <w:tcBorders>
              <w:top w:val="nil"/>
              <w:left w:val="nil"/>
              <w:bottom w:val="single" w:color="auto" w:sz="4" w:space="0"/>
              <w:right w:val="single" w:color="auto" w:sz="4" w:space="0"/>
            </w:tcBorders>
            <w:noWrap w:val="0"/>
            <w:vAlign w:val="center"/>
          </w:tcPr>
          <w:p w14:paraId="65EF44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660" w:type="dxa"/>
            <w:tcBorders>
              <w:top w:val="nil"/>
              <w:left w:val="nil"/>
              <w:bottom w:val="single" w:color="auto" w:sz="4" w:space="0"/>
              <w:right w:val="single" w:color="auto" w:sz="4" w:space="0"/>
            </w:tcBorders>
            <w:noWrap w:val="0"/>
            <w:vAlign w:val="center"/>
          </w:tcPr>
          <w:p w14:paraId="07673BC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97</w:t>
            </w:r>
          </w:p>
        </w:tc>
        <w:tc>
          <w:tcPr>
            <w:tcW w:w="1305" w:type="dxa"/>
            <w:tcBorders>
              <w:top w:val="nil"/>
              <w:left w:val="nil"/>
              <w:bottom w:val="single" w:color="auto" w:sz="4" w:space="0"/>
              <w:right w:val="single" w:color="auto" w:sz="4" w:space="0"/>
            </w:tcBorders>
            <w:noWrap w:val="0"/>
            <w:vAlign w:val="center"/>
          </w:tcPr>
          <w:p w14:paraId="58E0AFE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31A30E95">
      <w:pPr>
        <w:widowControl/>
        <w:spacing w:line="600" w:lineRule="exact"/>
        <w:jc w:val="left"/>
        <w:rPr>
          <w:rFonts w:hint="default" w:ascii="Times New Roman" w:hAnsi="Times New Roman" w:eastAsia="仿宋_GB2312" w:cs="Times New Roman"/>
          <w:sz w:val="22"/>
          <w:szCs w:val="22"/>
          <w:highlight w:val="none"/>
        </w:rPr>
        <w:sectPr>
          <w:pgSz w:w="11906" w:h="16838"/>
          <w:pgMar w:top="986" w:right="1576" w:bottom="816" w:left="1576" w:header="851" w:footer="992" w:gutter="0"/>
          <w:pgNumType w:fmt="decimal" w:start="1"/>
          <w:cols w:space="425" w:num="1"/>
          <w:docGrid w:type="lines" w:linePitch="312" w:charSpace="0"/>
        </w:sect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 xml:space="preserve">涂姣 </w:t>
      </w:r>
      <w:r>
        <w:rPr>
          <w:rFonts w:hint="default" w:ascii="Times New Roman" w:hAnsi="Times New Roman" w:eastAsia="仿宋_GB2312" w:cs="Times New Roman"/>
          <w:sz w:val="22"/>
          <w:szCs w:val="22"/>
          <w:highlight w:val="none"/>
        </w:rPr>
        <w:t>填报日期：</w:t>
      </w:r>
      <w:r>
        <w:rPr>
          <w:rFonts w:hint="eastAsia" w:ascii="Times New Roman" w:hAnsi="Times New Roman" w:eastAsia="仿宋_GB2312" w:cs="Times New Roman"/>
          <w:sz w:val="22"/>
          <w:szCs w:val="22"/>
          <w:highlight w:val="none"/>
          <w:lang w:val="en-US" w:eastAsia="zh-CN"/>
        </w:rPr>
        <w:t>2024.6.5</w:t>
      </w:r>
      <w:r>
        <w:rPr>
          <w:rFonts w:hint="default" w:ascii="Times New Roman" w:hAnsi="Times New Roman" w:eastAsia="仿宋_GB2312" w:cs="Times New Roman"/>
          <w:sz w:val="22"/>
          <w:szCs w:val="22"/>
          <w:highlight w:val="none"/>
        </w:rPr>
        <w:t xml:space="preserve"> 联系电话：</w:t>
      </w:r>
      <w:r>
        <w:rPr>
          <w:rFonts w:hint="eastAsia" w:ascii="Times New Roman" w:hAnsi="Times New Roman" w:eastAsia="仿宋_GB2312" w:cs="Times New Roman"/>
          <w:sz w:val="22"/>
          <w:szCs w:val="22"/>
          <w:highlight w:val="none"/>
          <w:lang w:val="en-US" w:eastAsia="zh-CN"/>
        </w:rPr>
        <w:t>15074497086</w:t>
      </w:r>
      <w:r>
        <w:rPr>
          <w:rFonts w:hint="default" w:ascii="Times New Roman" w:hAnsi="Times New Roman" w:eastAsia="仿宋_GB2312" w:cs="Times New Roman"/>
          <w:sz w:val="22"/>
          <w:szCs w:val="22"/>
          <w:highlight w:val="none"/>
        </w:rPr>
        <w:t xml:space="preserve"> 单位负责人签字：</w:t>
      </w:r>
    </w:p>
    <w:p w14:paraId="06DCC8D1">
      <w:pPr>
        <w:widowControl/>
        <w:spacing w:line="600" w:lineRule="exact"/>
        <w:jc w:val="left"/>
        <w:rPr>
          <w:rFonts w:hint="default" w:ascii="Times New Roman" w:hAnsi="Times New Roman" w:eastAsia="黑体" w:cs="Times New Roman"/>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3-3</w:t>
      </w:r>
    </w:p>
    <w:p w14:paraId="795617B8">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2"/>
        <w:tblW w:w="9851" w:type="dxa"/>
        <w:jc w:val="center"/>
        <w:tblLayout w:type="autofit"/>
        <w:tblCellMar>
          <w:top w:w="0" w:type="dxa"/>
          <w:left w:w="108" w:type="dxa"/>
          <w:bottom w:w="0" w:type="dxa"/>
          <w:right w:w="108" w:type="dxa"/>
        </w:tblCellMar>
      </w:tblPr>
      <w:tblGrid>
        <w:gridCol w:w="1080"/>
        <w:gridCol w:w="1080"/>
        <w:gridCol w:w="1080"/>
        <w:gridCol w:w="1224"/>
        <w:gridCol w:w="1350"/>
        <w:gridCol w:w="1005"/>
        <w:gridCol w:w="741"/>
        <w:gridCol w:w="873"/>
        <w:gridCol w:w="1418"/>
      </w:tblGrid>
      <w:tr w14:paraId="28978A81">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8CEDE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4B276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6EC73E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保障房建设资金　</w:t>
            </w:r>
          </w:p>
        </w:tc>
      </w:tr>
      <w:tr w14:paraId="414E86A6">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C85E89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734" w:type="dxa"/>
            <w:gridSpan w:val="4"/>
            <w:tcBorders>
              <w:top w:val="single" w:color="auto" w:sz="4" w:space="0"/>
              <w:left w:val="single" w:color="auto" w:sz="4" w:space="0"/>
              <w:bottom w:val="single" w:color="auto" w:sz="4" w:space="0"/>
              <w:right w:val="single" w:color="auto" w:sz="4" w:space="0"/>
            </w:tcBorders>
            <w:noWrap w:val="0"/>
            <w:vAlign w:val="center"/>
          </w:tcPr>
          <w:p w14:paraId="7CAAB98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岳阳市住房和城乡建设局</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1E3B26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032" w:type="dxa"/>
            <w:gridSpan w:val="3"/>
            <w:tcBorders>
              <w:top w:val="single" w:color="auto" w:sz="4" w:space="0"/>
              <w:left w:val="single" w:color="auto" w:sz="4" w:space="0"/>
              <w:bottom w:val="single" w:color="auto" w:sz="4" w:space="0"/>
              <w:right w:val="single" w:color="auto" w:sz="4" w:space="0"/>
            </w:tcBorders>
            <w:noWrap w:val="0"/>
            <w:vAlign w:val="center"/>
          </w:tcPr>
          <w:p w14:paraId="2A5C55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岳阳市住房保障服务中心</w:t>
            </w:r>
          </w:p>
        </w:tc>
      </w:tr>
      <w:tr w14:paraId="1C66E01B">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31F60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项目资金</w:t>
            </w:r>
          </w:p>
          <w:p w14:paraId="0A3D0A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5B1EE35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71502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7E2CB2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145DB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57A08A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63D5AB0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76C77DE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B1EF9D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DF67CA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250476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4A2473E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FC7D2A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34E181B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37EE2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E7D93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1500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608493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1500</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71F60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C2983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FBBAF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2C5E10E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4C734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64C997C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ACD35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A099A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1500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3286E2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1500</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97E7F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90FB6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11474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r>
      <w:tr w14:paraId="642DAD5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60C40D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585BDFC5">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144426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298E13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3792007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089D50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0B3923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68C3D2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982C3BD">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D8E0D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D463869">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E88A0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72872B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5E4102A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78EFDE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C4E26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6BFA8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7DA6225">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F545E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734" w:type="dxa"/>
            <w:gridSpan w:val="4"/>
            <w:tcBorders>
              <w:top w:val="single" w:color="auto" w:sz="4" w:space="0"/>
              <w:left w:val="single" w:color="auto" w:sz="4" w:space="0"/>
              <w:bottom w:val="single" w:color="auto" w:sz="4" w:space="0"/>
              <w:right w:val="single" w:color="auto" w:sz="4" w:space="0"/>
            </w:tcBorders>
            <w:noWrap w:val="0"/>
            <w:vAlign w:val="center"/>
          </w:tcPr>
          <w:p w14:paraId="775CED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037" w:type="dxa"/>
            <w:gridSpan w:val="4"/>
            <w:tcBorders>
              <w:top w:val="single" w:color="auto" w:sz="4" w:space="0"/>
              <w:left w:val="single" w:color="auto" w:sz="4" w:space="0"/>
              <w:bottom w:val="single" w:color="auto" w:sz="4" w:space="0"/>
              <w:right w:val="single" w:color="auto" w:sz="4" w:space="0"/>
            </w:tcBorders>
            <w:noWrap w:val="0"/>
            <w:vAlign w:val="center"/>
          </w:tcPr>
          <w:p w14:paraId="0F54EB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256DEB7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38C9E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734" w:type="dxa"/>
            <w:gridSpan w:val="4"/>
            <w:tcBorders>
              <w:top w:val="single" w:color="auto" w:sz="4" w:space="0"/>
              <w:left w:val="single" w:color="auto" w:sz="4" w:space="0"/>
              <w:bottom w:val="single" w:color="auto" w:sz="4" w:space="0"/>
              <w:right w:val="single" w:color="auto" w:sz="4" w:space="0"/>
            </w:tcBorders>
            <w:noWrap w:val="0"/>
            <w:vAlign w:val="center"/>
          </w:tcPr>
          <w:p w14:paraId="4FAD61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解决低收入群体住房和棚改安置问题，改善人居环境，推动地方经济发展。　　</w:t>
            </w:r>
          </w:p>
        </w:tc>
        <w:tc>
          <w:tcPr>
            <w:tcW w:w="4037" w:type="dxa"/>
            <w:gridSpan w:val="4"/>
            <w:tcBorders>
              <w:top w:val="single" w:color="auto" w:sz="4" w:space="0"/>
              <w:left w:val="single" w:color="auto" w:sz="4" w:space="0"/>
              <w:bottom w:val="single" w:color="auto" w:sz="4" w:space="0"/>
              <w:right w:val="single" w:color="auto" w:sz="4" w:space="0"/>
            </w:tcBorders>
            <w:noWrap w:val="0"/>
            <w:vAlign w:val="center"/>
          </w:tcPr>
          <w:p w14:paraId="2BC26B9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年度总体目标全部完成</w:t>
            </w:r>
          </w:p>
        </w:tc>
      </w:tr>
      <w:tr w14:paraId="3D2173E7">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1EE41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20313C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1B4372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3A75B8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F2F28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25322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A8B08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3B70D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12BD16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77687B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1ABE01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B8F2C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80B06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B90A36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2CD7A65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062E94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638E9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5D77B5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0A99B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A36AE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B48E5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公租房套数</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867554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496户</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5F535E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496户</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D9E2E2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DECE9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182770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1432CAF2">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AF40EE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9C02C3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1FAB94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C6452E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还建房</w:t>
            </w:r>
            <w:r>
              <w:rPr>
                <w:rFonts w:hint="eastAsia" w:ascii="仿宋_GB2312" w:hAnsi="仿宋_GB2312" w:eastAsia="仿宋_GB2312" w:cs="仿宋_GB2312"/>
                <w:color w:val="000000"/>
                <w:sz w:val="20"/>
                <w:szCs w:val="20"/>
                <w:highlight w:val="none"/>
                <w:lang w:val="en-US" w:eastAsia="zh-CN"/>
              </w:rPr>
              <w:t>套数</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FFD5E7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155户</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28D871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155户</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5DFEF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90F04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7A451C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0D42363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125AEF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BA040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8BC6F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F9DBE8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满足国家相关规范要求</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BF2CD0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基础工程验收合格。无任何质量安全事故。</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31D9C3A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验收合格，无质量安全问题</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7E257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0C9E2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E05D59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24A20AE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4C8BD1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5C335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60C5A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F8862C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竣工时间</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D24556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2022年3月竣工验收备案　</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223741F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2022年3月竣工验收备案</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94E816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746A1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587C6A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B199CB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38A92B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1727F7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86CFC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142899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项目总投资</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ECEAB6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项目总投资2.49亿元（政府批准概算）严格按合同支付工程进度款，成本处于可控范围</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148626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成本处于可控范围内</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35DC77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981EA0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1539F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2B1D1A2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780373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06D7F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7266B8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05C049B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4644D6E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EBA05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7D85B8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82FC7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对地方经济建设拉动作用</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667B319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项目投资2.49亿元，拉动相关投资3.5亿元</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5733EB7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C42370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45F22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55EAE4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01B83F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38E99A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797255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D9521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727DC6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A3DEE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解决群众住房问题</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3088B9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解决低收入家庭、棚改户496户住房问题，改善155户拆迁还建住户住房条件，维护社会稳定，促进城市和谐发展。</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1D21D1F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5C6E4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711039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740D7F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66FF8E2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B4CD7C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246B22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41629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7DC82E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EE0DAD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符合国家环保政策，满足环评要求。</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B87F3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改善城市环境，雨污分流，扬尘和噪音治理符合要求。</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01C2039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A90B62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AE6307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A1660A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13E068F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DB1D0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030B9C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09A1A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4EC4D6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节能、节地、节水等</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9CF38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符合国家产业政策要求</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29D31CA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符合国家产业政策要求</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E6BE5D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3BACF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EEFBB8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5998EEE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11A7B2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47AA8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194368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F608A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09EEB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F02F4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3D92A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6D9151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C286EC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C48C6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858931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目标完成，无偏离度</w:t>
            </w:r>
          </w:p>
        </w:tc>
      </w:tr>
      <w:tr w14:paraId="605C8E4E">
        <w:tblPrEx>
          <w:tblCellMar>
            <w:top w:w="0" w:type="dxa"/>
            <w:left w:w="108" w:type="dxa"/>
            <w:bottom w:w="0" w:type="dxa"/>
            <w:right w:w="108" w:type="dxa"/>
          </w:tblCellMar>
        </w:tblPrEx>
        <w:trPr>
          <w:jc w:val="center"/>
        </w:trPr>
        <w:tc>
          <w:tcPr>
            <w:tcW w:w="6819" w:type="dxa"/>
            <w:gridSpan w:val="6"/>
            <w:tcBorders>
              <w:top w:val="single" w:color="auto" w:sz="4" w:space="0"/>
              <w:left w:val="single" w:color="auto" w:sz="4" w:space="0"/>
              <w:bottom w:val="single" w:color="auto" w:sz="4" w:space="0"/>
              <w:right w:val="single" w:color="auto" w:sz="4" w:space="0"/>
            </w:tcBorders>
            <w:noWrap w:val="0"/>
            <w:vAlign w:val="center"/>
          </w:tcPr>
          <w:p w14:paraId="34F669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60DD65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792AB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21F5C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6CB950EF">
      <w:pPr>
        <w:rPr>
          <w:rFonts w:hint="default" w:ascii="Times New Roman" w:hAnsi="Times New Roman" w:eastAsia="仿宋_GB2312" w:cs="Times New Roman"/>
          <w:sz w:val="18"/>
          <w:szCs w:val="18"/>
          <w:highlight w:val="none"/>
        </w:rPr>
      </w:pPr>
    </w:p>
    <w:p w14:paraId="361F1121">
      <w:pPr>
        <w:rPr>
          <w:rFonts w:hint="default"/>
          <w:lang w:eastAsia="zh-CN"/>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 xml:space="preserve">涂姣 </w:t>
      </w:r>
      <w:r>
        <w:rPr>
          <w:rFonts w:hint="default" w:ascii="Times New Roman" w:hAnsi="Times New Roman" w:eastAsia="仿宋_GB2312" w:cs="Times New Roman"/>
          <w:sz w:val="22"/>
          <w:szCs w:val="22"/>
          <w:highlight w:val="none"/>
        </w:rPr>
        <w:t>填报日期：</w:t>
      </w:r>
      <w:r>
        <w:rPr>
          <w:rFonts w:hint="eastAsia" w:ascii="Times New Roman" w:hAnsi="Times New Roman" w:eastAsia="仿宋_GB2312" w:cs="Times New Roman"/>
          <w:sz w:val="22"/>
          <w:szCs w:val="22"/>
          <w:highlight w:val="none"/>
          <w:lang w:val="en-US" w:eastAsia="zh-CN"/>
        </w:rPr>
        <w:t>2024.6.24</w:t>
      </w:r>
      <w:r>
        <w:rPr>
          <w:rFonts w:hint="default" w:ascii="Times New Roman" w:hAnsi="Times New Roman" w:eastAsia="仿宋_GB2312" w:cs="Times New Roman"/>
          <w:sz w:val="22"/>
          <w:szCs w:val="22"/>
          <w:highlight w:val="none"/>
        </w:rPr>
        <w:t xml:space="preserve"> 联系电话</w:t>
      </w:r>
      <w:r>
        <w:rPr>
          <w:rFonts w:hint="eastAsia" w:ascii="Times New Roman" w:hAnsi="Times New Roman" w:eastAsia="仿宋_GB2312" w:cs="Times New Roman"/>
          <w:sz w:val="22"/>
          <w:szCs w:val="22"/>
          <w:highlight w:val="none"/>
          <w:lang w:eastAsia="zh-CN"/>
        </w:rPr>
        <w:t>：</w:t>
      </w:r>
      <w:r>
        <w:rPr>
          <w:rFonts w:hint="eastAsia" w:ascii="Times New Roman" w:hAnsi="Times New Roman" w:eastAsia="仿宋_GB2312" w:cs="Times New Roman"/>
          <w:sz w:val="22"/>
          <w:szCs w:val="22"/>
          <w:highlight w:val="none"/>
          <w:lang w:val="en-US" w:eastAsia="zh-CN"/>
        </w:rPr>
        <w:t>15074497086</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p>
    <w:p w14:paraId="1564B166">
      <w:pPr>
        <w:pStyle w:val="3"/>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0B769">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1C7C4"/>
    <w:multiLevelType w:val="singleLevel"/>
    <w:tmpl w:val="8091C7C4"/>
    <w:lvl w:ilvl="0" w:tentative="0">
      <w:start w:val="1"/>
      <w:numFmt w:val="decimal"/>
      <w:suff w:val="nothing"/>
      <w:lvlText w:val="%1、"/>
      <w:lvlJc w:val="left"/>
    </w:lvl>
  </w:abstractNum>
  <w:abstractNum w:abstractNumId="1">
    <w:nsid w:val="A3DA452B"/>
    <w:multiLevelType w:val="singleLevel"/>
    <w:tmpl w:val="A3DA452B"/>
    <w:lvl w:ilvl="0" w:tentative="0">
      <w:start w:val="9"/>
      <w:numFmt w:val="chineseCounting"/>
      <w:suff w:val="nothing"/>
      <w:lvlText w:val="%1、"/>
      <w:lvlJc w:val="left"/>
      <w:rPr>
        <w:rFonts w:hint="eastAsia"/>
      </w:rPr>
    </w:lvl>
  </w:abstractNum>
  <w:abstractNum w:abstractNumId="2">
    <w:nsid w:val="B808B791"/>
    <w:multiLevelType w:val="singleLevel"/>
    <w:tmpl w:val="B808B791"/>
    <w:lvl w:ilvl="0" w:tentative="0">
      <w:start w:val="2"/>
      <w:numFmt w:val="decimal"/>
      <w:suff w:val="nothing"/>
      <w:lvlText w:val="%1、"/>
      <w:lvlJc w:val="left"/>
    </w:lvl>
  </w:abstractNum>
  <w:abstractNum w:abstractNumId="3">
    <w:nsid w:val="B9BFB1A8"/>
    <w:multiLevelType w:val="singleLevel"/>
    <w:tmpl w:val="B9BFB1A8"/>
    <w:lvl w:ilvl="0" w:tentative="0">
      <w:start w:val="1"/>
      <w:numFmt w:val="decimal"/>
      <w:suff w:val="nothing"/>
      <w:lvlText w:val="%1、"/>
      <w:lvlJc w:val="left"/>
    </w:lvl>
  </w:abstractNum>
  <w:abstractNum w:abstractNumId="4">
    <w:nsid w:val="E51A0CC6"/>
    <w:multiLevelType w:val="singleLevel"/>
    <w:tmpl w:val="E51A0CC6"/>
    <w:lvl w:ilvl="0" w:tentative="0">
      <w:start w:val="2"/>
      <w:numFmt w:val="chineseCounting"/>
      <w:suff w:val="nothing"/>
      <w:lvlText w:val="（%1）"/>
      <w:lvlJc w:val="left"/>
      <w:rPr>
        <w:rFonts w:hint="eastAsia"/>
      </w:rPr>
    </w:lvl>
  </w:abstractNum>
  <w:abstractNum w:abstractNumId="5">
    <w:nsid w:val="F0A096AA"/>
    <w:multiLevelType w:val="singleLevel"/>
    <w:tmpl w:val="F0A096AA"/>
    <w:lvl w:ilvl="0" w:tentative="0">
      <w:start w:val="1"/>
      <w:numFmt w:val="decimal"/>
      <w:suff w:val="nothing"/>
      <w:lvlText w:val="%1、"/>
      <w:lvlJc w:val="left"/>
    </w:lvl>
  </w:abstractNum>
  <w:abstractNum w:abstractNumId="6">
    <w:nsid w:val="140B03C3"/>
    <w:multiLevelType w:val="singleLevel"/>
    <w:tmpl w:val="140B03C3"/>
    <w:lvl w:ilvl="0" w:tentative="0">
      <w:start w:val="4"/>
      <w:numFmt w:val="chineseCounting"/>
      <w:suff w:val="nothing"/>
      <w:lvlText w:val="%1、"/>
      <w:lvlJc w:val="left"/>
      <w:rPr>
        <w:rFonts w:hint="eastAsia"/>
      </w:rPr>
    </w:lvl>
  </w:abstractNum>
  <w:abstractNum w:abstractNumId="7">
    <w:nsid w:val="228969EA"/>
    <w:multiLevelType w:val="singleLevel"/>
    <w:tmpl w:val="228969EA"/>
    <w:lvl w:ilvl="0" w:tentative="0">
      <w:start w:val="1"/>
      <w:numFmt w:val="chineseCounting"/>
      <w:suff w:val="nothing"/>
      <w:lvlText w:val="%1、"/>
      <w:lvlJc w:val="left"/>
      <w:rPr>
        <w:rFonts w:hint="eastAsia"/>
      </w:rPr>
    </w:lvl>
  </w:abstractNum>
  <w:abstractNum w:abstractNumId="8">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5"/>
  </w:num>
  <w:num w:numId="4">
    <w:abstractNumId w:val="3"/>
  </w:num>
  <w:num w:numId="5">
    <w:abstractNumId w:val="4"/>
  </w:num>
  <w:num w:numId="6">
    <w:abstractNumId w:val="0"/>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0NzEwZTc1NWY1NDRiZTcyMmQ2OGI3ZDNmZjdjZDU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59A3B3C"/>
    <w:rsid w:val="078460A5"/>
    <w:rsid w:val="07C967BD"/>
    <w:rsid w:val="082F30B8"/>
    <w:rsid w:val="088C5193"/>
    <w:rsid w:val="09CC6E45"/>
    <w:rsid w:val="0AB21511"/>
    <w:rsid w:val="0B90675B"/>
    <w:rsid w:val="0F7D02B4"/>
    <w:rsid w:val="123465F6"/>
    <w:rsid w:val="12583BA5"/>
    <w:rsid w:val="12800F02"/>
    <w:rsid w:val="128E352E"/>
    <w:rsid w:val="12C624DB"/>
    <w:rsid w:val="13BA5B9C"/>
    <w:rsid w:val="14370513"/>
    <w:rsid w:val="14C548DD"/>
    <w:rsid w:val="14DB16C5"/>
    <w:rsid w:val="15E93E01"/>
    <w:rsid w:val="16302145"/>
    <w:rsid w:val="166D70DD"/>
    <w:rsid w:val="198520FE"/>
    <w:rsid w:val="1AA162DC"/>
    <w:rsid w:val="1B886BCE"/>
    <w:rsid w:val="1BD16179"/>
    <w:rsid w:val="1D97DEFF"/>
    <w:rsid w:val="1DFF72E5"/>
    <w:rsid w:val="1E1259E5"/>
    <w:rsid w:val="1EFC6F07"/>
    <w:rsid w:val="20D07D7F"/>
    <w:rsid w:val="21070686"/>
    <w:rsid w:val="217B3FC2"/>
    <w:rsid w:val="228B1079"/>
    <w:rsid w:val="22AC03C2"/>
    <w:rsid w:val="24282F9F"/>
    <w:rsid w:val="242C4378"/>
    <w:rsid w:val="29776D9E"/>
    <w:rsid w:val="2E935510"/>
    <w:rsid w:val="2F047FF4"/>
    <w:rsid w:val="2F5013CE"/>
    <w:rsid w:val="2FDF85B8"/>
    <w:rsid w:val="2FFFEE04"/>
    <w:rsid w:val="30B815DF"/>
    <w:rsid w:val="31B20215"/>
    <w:rsid w:val="31C95635"/>
    <w:rsid w:val="338D1E65"/>
    <w:rsid w:val="33CE1045"/>
    <w:rsid w:val="34DF85B0"/>
    <w:rsid w:val="36F170BA"/>
    <w:rsid w:val="3B8F36BC"/>
    <w:rsid w:val="3D4E55B8"/>
    <w:rsid w:val="3F4F6BE7"/>
    <w:rsid w:val="3F802AF8"/>
    <w:rsid w:val="3FF4372E"/>
    <w:rsid w:val="440640CA"/>
    <w:rsid w:val="45505AB1"/>
    <w:rsid w:val="46012F69"/>
    <w:rsid w:val="460A7AF5"/>
    <w:rsid w:val="482D3166"/>
    <w:rsid w:val="491FF225"/>
    <w:rsid w:val="4E9B1B4B"/>
    <w:rsid w:val="4FFD214C"/>
    <w:rsid w:val="5352765A"/>
    <w:rsid w:val="538B3CF4"/>
    <w:rsid w:val="544E58B1"/>
    <w:rsid w:val="56E50980"/>
    <w:rsid w:val="57127050"/>
    <w:rsid w:val="5777D4F5"/>
    <w:rsid w:val="58734066"/>
    <w:rsid w:val="58DA01FD"/>
    <w:rsid w:val="590C1826"/>
    <w:rsid w:val="59DD8326"/>
    <w:rsid w:val="5B77749C"/>
    <w:rsid w:val="5B896E3E"/>
    <w:rsid w:val="5D93012F"/>
    <w:rsid w:val="5DEF592A"/>
    <w:rsid w:val="5E6436BF"/>
    <w:rsid w:val="5F8E320D"/>
    <w:rsid w:val="5FC6BB1E"/>
    <w:rsid w:val="5FEF6288"/>
    <w:rsid w:val="5FF720F1"/>
    <w:rsid w:val="63C60E3E"/>
    <w:rsid w:val="647875E8"/>
    <w:rsid w:val="677F2246"/>
    <w:rsid w:val="67FA5079"/>
    <w:rsid w:val="67FF5C0B"/>
    <w:rsid w:val="697D3521"/>
    <w:rsid w:val="6A06480C"/>
    <w:rsid w:val="6A3C022E"/>
    <w:rsid w:val="6BAA4A2F"/>
    <w:rsid w:val="6CB11795"/>
    <w:rsid w:val="6DDF362B"/>
    <w:rsid w:val="6EC77E9D"/>
    <w:rsid w:val="6EFC0924"/>
    <w:rsid w:val="6FB74722"/>
    <w:rsid w:val="6FEF8B7E"/>
    <w:rsid w:val="71A6591B"/>
    <w:rsid w:val="737D59BA"/>
    <w:rsid w:val="737F32B1"/>
    <w:rsid w:val="76BB53BA"/>
    <w:rsid w:val="77753B28"/>
    <w:rsid w:val="77C37683"/>
    <w:rsid w:val="79702308"/>
    <w:rsid w:val="79FF515B"/>
    <w:rsid w:val="7A7F0F6A"/>
    <w:rsid w:val="7C8F4BFB"/>
    <w:rsid w:val="7D942FAF"/>
    <w:rsid w:val="7DD31FFC"/>
    <w:rsid w:val="7E9E1962"/>
    <w:rsid w:val="7E9F11B4"/>
    <w:rsid w:val="7EE336AF"/>
    <w:rsid w:val="7EFF1B1B"/>
    <w:rsid w:val="7F37EC1E"/>
    <w:rsid w:val="7F764C2B"/>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hint="default"/>
      <w:sz w:val="21"/>
      <w:szCs w:val="24"/>
    </w:rPr>
  </w:style>
  <w:style w:type="paragraph" w:styleId="3">
    <w:name w:val="toa heading"/>
    <w:basedOn w:val="1"/>
    <w:next w:val="1"/>
    <w:unhideWhenUsed/>
    <w:qFormat/>
    <w:uiPriority w:val="99"/>
    <w:pPr>
      <w:spacing w:before="120" w:beforeLines="0" w:after="200" w:afterLines="0" w:line="276" w:lineRule="auto"/>
    </w:pPr>
    <w:rPr>
      <w:rFonts w:hint="eastAsia" w:ascii="Arial" w:hAnsi="Arial"/>
      <w:sz w:val="24"/>
      <w:szCs w:val="24"/>
    </w:rPr>
  </w:style>
  <w:style w:type="paragraph" w:styleId="4">
    <w:name w:val="Body Text"/>
    <w:basedOn w:val="1"/>
    <w:qFormat/>
    <w:uiPriority w:val="0"/>
    <w:rPr>
      <w:rFonts w:ascii="仿宋" w:hAnsi="仿宋" w:eastAsia="仿宋" w:cs="仿宋"/>
      <w:sz w:val="31"/>
      <w:szCs w:val="31"/>
      <w:lang w:val="en-US" w:eastAsia="en-US" w:bidi="ar-SA"/>
    </w:r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unhideWhenUsed/>
    <w:qFormat/>
    <w:uiPriority w:val="99"/>
    <w:pPr>
      <w:ind w:firstLine="420" w:firstLineChars="200"/>
    </w:p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snapToGrid w:val="0"/>
      <w:jc w:val="left"/>
    </w:pPr>
    <w:rPr>
      <w:sz w:val="18"/>
      <w:szCs w:val="18"/>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7"/>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36</Pages>
  <Words>14367</Words>
  <Characters>15826</Characters>
  <Lines>63</Lines>
  <Paragraphs>18</Paragraphs>
  <TotalTime>8</TotalTime>
  <ScaleCrop>false</ScaleCrop>
  <LinksUpToDate>false</LinksUpToDate>
  <CharactersWithSpaces>16064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Administrator</cp:lastModifiedBy>
  <cp:lastPrinted>2024-08-08T10:20:00Z</cp:lastPrinted>
  <dcterms:modified xsi:type="dcterms:W3CDTF">2024-09-20T01:53:26Z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17DF71E580DC45EC9F0DEE42BF08CFC1</vt:lpwstr>
  </property>
</Properties>
</file>