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岳阳市城市建设档案馆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整体支出绩效自评报告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部门（单位）名称：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（盖章）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年  月  日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（此页为封面）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>
      <w:pPr>
        <w:spacing w:before="140" w:line="757" w:lineRule="exact"/>
        <w:ind w:firstLine="991" w:firstLineChars="200"/>
        <w:jc w:val="both"/>
        <w:rPr>
          <w:rFonts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  <w14:textFill>
            <w14:solidFill>
              <w14:schemeClr w14:val="tx1"/>
            </w14:solidFill>
          </w14:textFill>
        </w:rPr>
        <w:t>岳阳市城市建设档案馆</w:t>
      </w:r>
    </w:p>
    <w:p>
      <w:pPr>
        <w:pStyle w:val="2"/>
        <w:ind w:firstLine="1983" w:firstLineChars="400"/>
        <w:jc w:val="both"/>
        <w:rPr>
          <w:rFonts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32"/>
          <w:position w:val="24"/>
          <w:sz w:val="43"/>
          <w:szCs w:val="43"/>
          <w14:textFill>
            <w14:solidFill>
              <w14:schemeClr w14:val="tx1"/>
            </w14:solidFill>
          </w14:textFill>
        </w:rPr>
        <w:t>整体支出绩效自评报告</w:t>
      </w:r>
    </w:p>
    <w:p>
      <w:pPr>
        <w:spacing w:line="299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before="104" w:line="222" w:lineRule="auto"/>
        <w:ind w:firstLine="744" w:firstLineChars="200"/>
        <w:rPr>
          <w:rFonts w:ascii="黑体" w:hAnsi="黑体" w:eastAsia="黑体" w:cs="黑体"/>
          <w:color w:val="000000" w:themeColor="text1"/>
          <w:spacing w:val="2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2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color w:val="000000" w:themeColor="text1"/>
          <w:spacing w:val="2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黑体" w:hAnsi="黑体" w:eastAsia="黑体" w:cs="黑体"/>
          <w:color w:val="000000" w:themeColor="text1"/>
          <w:spacing w:val="26"/>
          <w:sz w:val="32"/>
          <w:szCs w:val="32"/>
          <w14:textFill>
            <w14:solidFill>
              <w14:schemeClr w14:val="tx1"/>
            </w14:solidFill>
          </w14:textFill>
        </w:rPr>
        <w:t>部门(单位)基本情况</w:t>
      </w:r>
    </w:p>
    <w:p>
      <w:pPr>
        <w:pStyle w:val="3"/>
        <w:spacing w:before="0" w:after="0"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职能职责</w:t>
      </w:r>
    </w:p>
    <w:p>
      <w:pPr>
        <w:pStyle w:val="3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负责拟定城建档案发展规划。</w:t>
      </w:r>
    </w:p>
    <w:p>
      <w:pPr>
        <w:pStyle w:val="3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负责城市规划区范围内的城建档案的统一管理。</w:t>
      </w:r>
    </w:p>
    <w:p>
      <w:pPr>
        <w:pStyle w:val="3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负责做好进馆档案的保管、保护工作。</w:t>
      </w:r>
    </w:p>
    <w:p>
      <w:pPr>
        <w:pStyle w:val="3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负责依法收集、接受、征集市区范围内产生的需永久和长期保管的城建档案等有关资料。</w:t>
      </w:r>
    </w:p>
    <w:p>
      <w:pPr>
        <w:pStyle w:val="3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/>
          <w:sz w:val="32"/>
          <w:szCs w:val="32"/>
        </w:rPr>
        <w:t>负责开发城建档案信息资源。</w:t>
      </w:r>
    </w:p>
    <w:p>
      <w:pPr>
        <w:pStyle w:val="3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/>
          <w:sz w:val="32"/>
          <w:szCs w:val="32"/>
        </w:rPr>
        <w:t>负责县（市、区）城建档案工作的指导、监督、检查。</w:t>
      </w:r>
    </w:p>
    <w:p>
      <w:pPr>
        <w:pStyle w:val="3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/>
          <w:sz w:val="32"/>
          <w:szCs w:val="32"/>
        </w:rPr>
        <w:t>负责城市规划区范围内地下管线资料及数据的收集、管理、利用工作。</w:t>
      </w:r>
    </w:p>
    <w:p>
      <w:pPr>
        <w:pStyle w:val="3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/>
          <w:sz w:val="32"/>
          <w:szCs w:val="32"/>
        </w:rPr>
        <w:t>负责住房和城乡建设信息资源管理、信息系统规划建设、智慧住建等行政辅助和技术保障工作。</w:t>
      </w:r>
    </w:p>
    <w:p>
      <w:pPr>
        <w:pStyle w:val="3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/>
          <w:sz w:val="32"/>
          <w:szCs w:val="32"/>
        </w:rPr>
        <w:t>完成市住建局交办的其他工作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 w:eastAsia="仿宋"/>
          <w:sz w:val="32"/>
          <w:szCs w:val="32"/>
          <w:lang w:eastAsia="zh-CN"/>
        </w:rPr>
        <w:t>（</w:t>
      </w:r>
      <w:r>
        <w:rPr>
          <w:rFonts w:hint="eastAsia" w:eastAsia="仿宋"/>
          <w:sz w:val="32"/>
          <w:szCs w:val="32"/>
          <w:lang w:val="en-US" w:eastAsia="zh-CN"/>
        </w:rPr>
        <w:t>二</w:t>
      </w:r>
      <w:r>
        <w:rPr>
          <w:rFonts w:hint="eastAsia" w:eastAsia="仿宋"/>
          <w:sz w:val="32"/>
          <w:szCs w:val="32"/>
          <w:lang w:eastAsia="zh-CN"/>
        </w:rPr>
        <w:t>）</w:t>
      </w:r>
      <w:r>
        <w:rPr>
          <w:rFonts w:hint="eastAsia" w:eastAsia="仿宋"/>
          <w:sz w:val="32"/>
          <w:szCs w:val="32"/>
          <w:lang w:val="en-US" w:eastAsia="zh-CN"/>
        </w:rPr>
        <w:t>机构设置</w:t>
      </w:r>
    </w:p>
    <w:p>
      <w:pPr>
        <w:pStyle w:val="3"/>
        <w:spacing w:before="0" w:after="0"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独立编制、核算机构数1个，内设科室3个：综合室、业务室、信息室。核定编制22人，正式干部职工18人，退休人员12人，临聘人员3人。领导职数：馆长（正科级）1名，副馆长（副科级）3名，党组织专职副书记兼纪检员（副科级）1名。</w:t>
      </w:r>
    </w:p>
    <w:p>
      <w:pPr>
        <w:pStyle w:val="2"/>
        <w:ind w:firstLine="0" w:firstLineChars="0"/>
      </w:pPr>
    </w:p>
    <w:p>
      <w:pPr>
        <w:spacing w:before="242" w:line="221" w:lineRule="auto"/>
        <w:ind w:left="6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二、</w:t>
      </w:r>
      <w:r>
        <w:rPr>
          <w:rFonts w:ascii="黑体" w:hAnsi="黑体" w:eastAsia="黑体" w:cs="黑体"/>
          <w:spacing w:val="-7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一般公共预算支出情况</w:t>
      </w:r>
    </w:p>
    <w:p>
      <w:pPr>
        <w:pStyle w:val="3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(一)基本支出情况</w:t>
      </w:r>
    </w:p>
    <w:p>
      <w:pPr>
        <w:pStyle w:val="3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年度财政拨款基本支出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340.25</w:t>
      </w:r>
      <w:r>
        <w:rPr>
          <w:rFonts w:hint="eastAsia" w:ascii="仿宋" w:hAnsi="仿宋" w:eastAsia="仿宋"/>
          <w:sz w:val="32"/>
          <w:szCs w:val="32"/>
        </w:rPr>
        <w:t>万元，其中人员经费311.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</w:rPr>
        <w:t>万元，占基本支出的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91.64</w:t>
      </w:r>
      <w:r>
        <w:rPr>
          <w:rFonts w:hint="eastAsia" w:ascii="仿宋" w:hAnsi="仿宋" w:eastAsia="仿宋"/>
          <w:sz w:val="32"/>
          <w:szCs w:val="32"/>
        </w:rPr>
        <w:t>%；公用经费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28.45</w:t>
      </w:r>
      <w:r>
        <w:rPr>
          <w:rFonts w:hint="eastAsia" w:ascii="仿宋" w:hAnsi="仿宋" w:eastAsia="仿宋"/>
          <w:sz w:val="32"/>
          <w:szCs w:val="32"/>
        </w:rPr>
        <w:t>万元，占基本支出的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8.36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pStyle w:val="3"/>
        <w:spacing w:before="0" w:after="0"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（二）项目支出情况</w:t>
      </w:r>
    </w:p>
    <w:p>
      <w:pPr>
        <w:pStyle w:val="3"/>
        <w:spacing w:before="0" w:after="0"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年度财政拨款项目支出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591.23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其中城市管网及污水处理补助项目支出440.083万元，占项目支出的74.43%；建设档案事务管理经费支出89.863万元，占项目支出的15.20%；地下管线平台运行维护经费支出61.284万元，占项目支出的10.37%。</w:t>
      </w:r>
    </w:p>
    <w:p>
      <w:pPr>
        <w:spacing w:before="247" w:line="222" w:lineRule="auto"/>
        <w:ind w:left="610"/>
        <w:outlineLvl w:val="0"/>
        <w:rPr>
          <w:rFonts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三、政府性基金预算支出情况</w:t>
      </w:r>
    </w:p>
    <w:p>
      <w:pPr>
        <w:spacing w:before="247" w:line="222" w:lineRule="auto"/>
        <w:ind w:left="610" w:firstLine="499"/>
        <w:outlineLvl w:val="0"/>
        <w:rPr>
          <w:rFonts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  <w:t>无</w:t>
      </w:r>
    </w:p>
    <w:p>
      <w:pPr>
        <w:spacing w:before="255" w:line="222" w:lineRule="auto"/>
        <w:ind w:firstLine="591" w:firstLineChars="200"/>
        <w:outlineLvl w:val="0"/>
        <w:rPr>
          <w:rFonts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  <w:t>四、</w:t>
      </w: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国有资本经营预算支出情况</w:t>
      </w:r>
    </w:p>
    <w:p>
      <w:pPr>
        <w:spacing w:before="247" w:line="222" w:lineRule="auto"/>
        <w:ind w:left="610" w:firstLine="499"/>
        <w:outlineLvl w:val="0"/>
        <w:rPr>
          <w:rFonts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  <w:t>无</w:t>
      </w:r>
    </w:p>
    <w:p>
      <w:pPr>
        <w:spacing w:before="255" w:line="222" w:lineRule="auto"/>
        <w:ind w:firstLine="591" w:firstLineChars="200"/>
        <w:outlineLvl w:val="0"/>
        <w:rPr>
          <w:rFonts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五、社会保险基金预算支出情况</w:t>
      </w:r>
    </w:p>
    <w:p>
      <w:pPr>
        <w:spacing w:before="255" w:line="222" w:lineRule="auto"/>
        <w:ind w:left="610" w:firstLine="499"/>
        <w:outlineLvl w:val="0"/>
        <w:rPr>
          <w:rFonts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  <w:t>无</w:t>
      </w:r>
    </w:p>
    <w:p>
      <w:pPr>
        <w:numPr>
          <w:ilvl w:val="0"/>
          <w:numId w:val="1"/>
        </w:numPr>
        <w:spacing w:before="255" w:line="221" w:lineRule="auto"/>
        <w:ind w:left="614"/>
        <w:outlineLvl w:val="0"/>
        <w:rPr>
          <w:rFonts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部门整体支出绩效情况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档案验收方面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我馆严格落实省厅97号文件要求，高标准、严要求执行档案验收审查工作。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通过全馆上下的不懈努力，实现2023年全年接收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入库90个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纸质档案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入库5万余卷，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与市工改办和省厅工改平台对接，实现所有项目均纳入工改系统。及时接收茅岭东路等市政工程地下管线工程档案，并接收2公里新铺设地下管线工程档案。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（二）馆藏保护方面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5"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-SA"/>
        </w:rPr>
        <w:t>全年窗口为有关单位和个人提供档案利用服务共计达到890余次，接待1538人，配合纪检审计查阅档案8次、政务信息公开7次，调档35680卷，提供电子档文字材料11092卷，图纸24588张。地下管线信息提供查询利用53人次，图纸利用4000余幅。纸质档案保存良好，无丢失、扩散档案内容现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（三）信息化建设方面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5"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目前，全年在我局门户网站共发布信息共计达到1990条，招投标监管网发布238条，局官网发布条目包括政务公开类792条、行业管理340条、施工许可399条、红黄牌195条、商品房预售许可94条、专题专栏64条、其他类别 106条，微信公众号发布86期，总用户3833人，今年新增用户622人，在市信用办“双公示”平台报送行政许可数据652条。在市大数据中心数据共享平台报送协税数据25362条。在局机关大楼共进行维护1561次，国贸会议室调试及会议保障共进行91次。</w:t>
      </w:r>
    </w:p>
    <w:p>
      <w:pPr>
        <w:numPr>
          <w:ilvl w:val="0"/>
          <w:numId w:val="1"/>
        </w:numPr>
        <w:spacing w:before="276" w:line="222" w:lineRule="auto"/>
        <w:ind w:left="614" w:leftChars="0" w:firstLine="0" w:firstLineChars="0"/>
        <w:outlineLvl w:val="0"/>
        <w:rPr>
          <w:rFonts w:ascii="黑体" w:hAnsi="黑体" w:eastAsia="黑体" w:cs="黑体"/>
          <w:b/>
          <w:bCs/>
          <w:spacing w:val="-5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line="600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  <w:t>1、预算执行进度不均衡。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部分项目支出未能按计划支出，原因是部门之间，内部各环节之间缺乏沟通。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line="600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  <w:t>2、绩效管理意识不强。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对绩效评价工作重视程度不够，缺乏主动意识，原因是对绩效理念的宣传和培训不足。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76" w:line="600" w:lineRule="exact"/>
        <w:ind w:firstLine="643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"/>
        </w:rPr>
        <w:t>3、绩效指标设置不够精准。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部分绩效指标难以准确衡量实际绩效，原因是指标设置时考虑不够全面，缺乏对实际工作的深入理解。</w:t>
      </w:r>
    </w:p>
    <w:p>
      <w:pPr>
        <w:spacing w:before="250" w:line="222" w:lineRule="auto"/>
        <w:ind w:firstLine="591" w:firstLineChars="200"/>
        <w:outlineLvl w:val="0"/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  <w:t>八、下一步改进措施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0"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加强预算执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行管理，加强各部门，内部各环节之间的沟通，建立定期跟踪机制，确保今后项目支出及时支付。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0"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2、强化绩效管理意识，加强绩效理念的宣传和培训力度，提高全员重视程度。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0"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3、优化绩效指标体系，结合实际情况进行深入调研和分析，确保指标科学合理。</w:t>
      </w:r>
    </w:p>
    <w:p>
      <w:pPr>
        <w:spacing w:before="250" w:line="222" w:lineRule="auto"/>
        <w:ind w:firstLine="591" w:firstLineChars="200"/>
        <w:outlineLvl w:val="0"/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3"/>
          <w:sz w:val="32"/>
          <w:szCs w:val="32"/>
        </w:rPr>
        <w:t>九、 部门整体支出绩效自评结果拟应用和公开情况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0" w:line="600" w:lineRule="atLeas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了部门整体支出绩效自评结果与单位预算相结合的应用机制，强化评价结果在单位预算编制和执行中的应用，促进财政资金的合理分配和有效使用。同时将评价结果按照政府信息公开的要求进行公开，加强社会公众对财政资金使用效益的监督。</w:t>
      </w:r>
    </w:p>
    <w:p>
      <w:pPr>
        <w:spacing w:before="1" w:line="220" w:lineRule="auto"/>
        <w:ind w:left="694"/>
        <w:rPr>
          <w:rFonts w:ascii="黑体" w:hAnsi="黑体" w:eastAsia="黑体" w:cs="黑体"/>
          <w:b/>
          <w:bCs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其他需要说明的情况</w:t>
      </w:r>
    </w:p>
    <w:p>
      <w:pPr>
        <w:ind w:firstLine="1245" w:firstLineChars="400"/>
        <w:rPr>
          <w:rFonts w:ascii="黑体" w:hAnsi="黑体" w:eastAsia="黑体" w:cs="黑体"/>
          <w:b/>
          <w:bCs/>
          <w:snapToGrid w:val="0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napToGrid w:val="0"/>
          <w:sz w:val="31"/>
          <w:szCs w:val="31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</w:p>
    <w:p>
      <w:pPr>
        <w:spacing w:before="120" w:beforeLines="50" w:after="120" w:afterLines="5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部门整体支出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  <w:t>绩效自评工作考核评分表</w:t>
      </w:r>
    </w:p>
    <w:tbl>
      <w:tblPr>
        <w:tblStyle w:val="6"/>
        <w:tblW w:w="99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74"/>
        <w:gridCol w:w="5000"/>
        <w:gridCol w:w="3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评分标准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所需佐证材料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布置工作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自评通知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（8分）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印发绩效自评通知的得2分，否则不得分。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按照本规程规定，绩效自评通知包括自评范围、自评主要依据、自评主要内容、自评程序和步骤、有关要求等内容，并附有本通知要求的附件的，得6分；否则缺1项扣1分，最多扣6分。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绩效自评通知盖章的电子版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工作小组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成立绩效自评工作小组的得2分，否则不得分。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本部门、本单位预算绩效管理领导小组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绩效评价工作小组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  <w:highlight w:val="none"/>
              </w:rPr>
              <w:t>文件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盖章的电子版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实施评价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单位自查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预算部门本级和所属单位都要开展绩效自查，转移支付项目单位都要开展绩效自查，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县、区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级主管部门都要汇总本区域转移支付情况；以上各项每发现一个单位没有做相应工作的，扣1分，最多扣10分。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转移支付项目单位名称和资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金情况清单</w:t>
            </w:r>
          </w:p>
          <w:p>
            <w:pPr>
              <w:numPr>
                <w:ilvl w:val="0"/>
                <w:numId w:val="3"/>
              </w:num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有转移支付资金的各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县区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主管部门汇总情况的盖章PDF版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提交报告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8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按时向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市财政局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报送报告的得10分；每推迟一个工作日报送报告的扣1分，最多扣10分。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自评报告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70分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完整性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绩效自评报告正文部分内容齐全的，得8分；否则每少一个部分扣2分，最多扣8分。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绩效自评报告附件部分内容齐全的，得7分；否则每少一个部分扣2分，最多扣7分。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1、部门整体支出和项目支出绩效指标反映产出、效益、服务对象满意度方面的指标和预算执行率的权重符合《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岳阳市市级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预算部门绩效自评操作规程》要求的，得5分，否则按比例扣除相应的分数。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部门整体支出和项目支出绩效指标全部细化到三级指标的，得5分；部分细化的，酌情扣分；没有细化的，不得分。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部门整体支出和项目支出三级绩效指标内涵明确、具体、可衡量的得5分；突出核心指标，精简实用的得3分；指标与部门整体支出和项目支出密切相关，全面反映产出和效益的得2分；否则，每项酌情扣分，最多扣10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反映问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题情况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从预算和预算绩效管理，部门履职效能，资金分配、使用和管理，资产和财务管理，政府采购等方面归纳问题、分析原因全面的，得20分；反映问题、分析原因较全面的，得16—18分；反映问题、分析原因不全面的，得13—15分；问题未归纳且过于简单的，得10—12分；只提出资金不足问题的不得分；其他情况酌情扣分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建议情况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建议与问题对应且全面的得15分，建议比较全面的得12—14分，建议不全面的得9—11分，建议过于简单的得6—8分，只提出加大资金投入建议的不得分；其他情况酌情扣分。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100分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pgSz w:w="11906" w:h="16838"/>
      <w:pgMar w:top="850" w:right="1633" w:bottom="85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8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01C04"/>
    <w:multiLevelType w:val="singleLevel"/>
    <w:tmpl w:val="D2C01C0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4623889"/>
    <w:multiLevelType w:val="singleLevel"/>
    <w:tmpl w:val="F4623889"/>
    <w:lvl w:ilvl="0" w:tentative="0">
      <w:start w:val="6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5DDF8822"/>
    <w:multiLevelType w:val="singleLevel"/>
    <w:tmpl w:val="5DDF88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Y2E5ZjQxZWQ0NDk4ODI0NGM3NTM0NWE4OTIzYjYifQ=="/>
  </w:docVars>
  <w:rsids>
    <w:rsidRoot w:val="59886344"/>
    <w:rsid w:val="02DB00BA"/>
    <w:rsid w:val="04620561"/>
    <w:rsid w:val="04946E77"/>
    <w:rsid w:val="06B26F4E"/>
    <w:rsid w:val="06E94E42"/>
    <w:rsid w:val="0788465B"/>
    <w:rsid w:val="07DC0503"/>
    <w:rsid w:val="08165D12"/>
    <w:rsid w:val="08566507"/>
    <w:rsid w:val="08D4742C"/>
    <w:rsid w:val="0A157CFC"/>
    <w:rsid w:val="0B0B0819"/>
    <w:rsid w:val="0DDA54E4"/>
    <w:rsid w:val="0E963B01"/>
    <w:rsid w:val="13113756"/>
    <w:rsid w:val="168F5A8F"/>
    <w:rsid w:val="17DA4A5F"/>
    <w:rsid w:val="1EB3600A"/>
    <w:rsid w:val="213C1917"/>
    <w:rsid w:val="23937182"/>
    <w:rsid w:val="23AE0B4E"/>
    <w:rsid w:val="25BB5804"/>
    <w:rsid w:val="2A092F82"/>
    <w:rsid w:val="2BA411B4"/>
    <w:rsid w:val="2F2D14C0"/>
    <w:rsid w:val="318B2EA2"/>
    <w:rsid w:val="327B0795"/>
    <w:rsid w:val="35DC1B65"/>
    <w:rsid w:val="35EA010B"/>
    <w:rsid w:val="374750E9"/>
    <w:rsid w:val="37AE6F16"/>
    <w:rsid w:val="39A54DAA"/>
    <w:rsid w:val="3A4561A9"/>
    <w:rsid w:val="4823125B"/>
    <w:rsid w:val="4AD351BA"/>
    <w:rsid w:val="4BDA60D4"/>
    <w:rsid w:val="4C5E4F57"/>
    <w:rsid w:val="4D0426C5"/>
    <w:rsid w:val="4D7D24DB"/>
    <w:rsid w:val="4E45017D"/>
    <w:rsid w:val="50575F45"/>
    <w:rsid w:val="511369A7"/>
    <w:rsid w:val="51D05FAF"/>
    <w:rsid w:val="51F425BE"/>
    <w:rsid w:val="52756B57"/>
    <w:rsid w:val="52831274"/>
    <w:rsid w:val="52BE04FE"/>
    <w:rsid w:val="52D90759"/>
    <w:rsid w:val="5520724E"/>
    <w:rsid w:val="563F1955"/>
    <w:rsid w:val="578C2978"/>
    <w:rsid w:val="59886344"/>
    <w:rsid w:val="5BBE156E"/>
    <w:rsid w:val="5C1B0D08"/>
    <w:rsid w:val="5E8048B9"/>
    <w:rsid w:val="5EFD5F0A"/>
    <w:rsid w:val="5FE62E42"/>
    <w:rsid w:val="60BA0F9B"/>
    <w:rsid w:val="63CC234F"/>
    <w:rsid w:val="677551D7"/>
    <w:rsid w:val="68357826"/>
    <w:rsid w:val="68D777CC"/>
    <w:rsid w:val="6B882FFF"/>
    <w:rsid w:val="6BF07522"/>
    <w:rsid w:val="705B6F34"/>
    <w:rsid w:val="732D2E0A"/>
    <w:rsid w:val="748F53FE"/>
    <w:rsid w:val="763369E3"/>
    <w:rsid w:val="76B80C3C"/>
    <w:rsid w:val="76D161A2"/>
    <w:rsid w:val="79187FD1"/>
    <w:rsid w:val="7B4B4E26"/>
    <w:rsid w:val="7CED360A"/>
    <w:rsid w:val="7DBF4FA6"/>
    <w:rsid w:val="7DDB282E"/>
    <w:rsid w:val="7E5C0A47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sz w:val="21"/>
    </w:rPr>
  </w:style>
  <w:style w:type="paragraph" w:styleId="3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kern w:val="2"/>
      <w:sz w:val="24"/>
      <w:szCs w:val="21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note text"/>
    <w:basedOn w:val="1"/>
    <w:qFormat/>
    <w:uiPriority w:val="99"/>
    <w:pPr>
      <w:snapToGrid w:val="0"/>
      <w:spacing w:line="360" w:lineRule="auto"/>
      <w:ind w:firstLine="560"/>
    </w:pPr>
    <w:rPr>
      <w:rFonts w:ascii="仿宋_GB2312" w:hAnsi="仿宋_GB2312" w:eastAsia="仿宋" w:cs="Times New Roman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张会香</cp:lastModifiedBy>
  <cp:lastPrinted>2024-07-02T06:40:00Z</cp:lastPrinted>
  <dcterms:modified xsi:type="dcterms:W3CDTF">2024-07-02T07:39:09Z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B29E905EA6B748C28B87470A521713F4_13</vt:lpwstr>
  </property>
</Properties>
</file>