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rPr>
          <w:rFonts w:hint="eastAsia" w:ascii="黑体" w:hAnsi="黑体" w:eastAsia="黑体" w:cs="黑体"/>
          <w:color w:val="auto"/>
          <w:sz w:val="32"/>
          <w:szCs w:val="32"/>
          <w:highlight w:val="none"/>
          <w:lang w:eastAsia="zh-CN"/>
        </w:rPr>
      </w:pPr>
      <w:bookmarkStart w:id="0" w:name="_Toc300678060"/>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jc w:val="center"/>
        <w:rPr>
          <w:rFonts w:eastAsia="黑体"/>
          <w:color w:val="auto"/>
          <w:sz w:val="44"/>
          <w:szCs w:val="44"/>
          <w:highlight w:val="none"/>
        </w:rPr>
      </w:pPr>
      <w:r>
        <w:rPr>
          <w:rFonts w:eastAsia="黑体"/>
          <w:color w:val="auto"/>
          <w:sz w:val="44"/>
          <w:szCs w:val="44"/>
          <w:highlight w:val="none"/>
        </w:rPr>
        <w:t>湖南省房屋建筑和市政基础设施工程</w:t>
      </w:r>
    </w:p>
    <w:p>
      <w:pPr>
        <w:ind w:firstLine="437"/>
        <w:rPr>
          <w:color w:val="auto"/>
          <w:sz w:val="44"/>
          <w:szCs w:val="52"/>
          <w:highlight w:val="none"/>
        </w:rPr>
      </w:pPr>
    </w:p>
    <w:p>
      <w:pPr>
        <w:jc w:val="center"/>
        <w:rPr>
          <w:rFonts w:eastAsia="华文新魏"/>
          <w:color w:val="auto"/>
          <w:sz w:val="84"/>
          <w:szCs w:val="84"/>
          <w:highlight w:val="none"/>
        </w:rPr>
      </w:pPr>
      <w:r>
        <w:rPr>
          <w:rFonts w:eastAsia="华文新魏"/>
          <w:color w:val="auto"/>
          <w:sz w:val="84"/>
          <w:szCs w:val="84"/>
          <w:highlight w:val="none"/>
        </w:rPr>
        <w:t>标准</w:t>
      </w:r>
      <w:bookmarkStart w:id="1082" w:name="_GoBack"/>
      <w:r>
        <w:rPr>
          <w:rFonts w:hint="eastAsia" w:eastAsia="华文新魏"/>
          <w:color w:val="auto"/>
          <w:sz w:val="84"/>
          <w:szCs w:val="84"/>
          <w:highlight w:val="none"/>
        </w:rPr>
        <w:t>施工</w:t>
      </w:r>
      <w:r>
        <w:rPr>
          <w:rFonts w:eastAsia="华文新魏"/>
          <w:color w:val="auto"/>
          <w:sz w:val="84"/>
          <w:szCs w:val="84"/>
          <w:highlight w:val="none"/>
        </w:rPr>
        <w:t>招标文件</w:t>
      </w:r>
    </w:p>
    <w:bookmarkEnd w:id="1082"/>
    <w:p>
      <w:pPr>
        <w:jc w:val="center"/>
        <w:rPr>
          <w:color w:val="auto"/>
          <w:sz w:val="44"/>
          <w:szCs w:val="44"/>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rFonts w:eastAsia="黑体"/>
          <w:color w:val="auto"/>
          <w:sz w:val="32"/>
          <w:szCs w:val="32"/>
          <w:highlight w:val="none"/>
        </w:rPr>
      </w:pPr>
    </w:p>
    <w:p>
      <w:pPr>
        <w:ind w:firstLine="435"/>
        <w:rPr>
          <w:rFonts w:eastAsia="黑体"/>
          <w:color w:val="auto"/>
          <w:sz w:val="32"/>
          <w:szCs w:val="32"/>
          <w:highlight w:val="none"/>
        </w:rPr>
      </w:pPr>
    </w:p>
    <w:p>
      <w:pPr>
        <w:spacing w:after="120" w:afterLines="50"/>
        <w:jc w:val="center"/>
        <w:rPr>
          <w:rFonts w:eastAsia="黑体"/>
          <w:color w:val="auto"/>
          <w:sz w:val="32"/>
          <w:szCs w:val="32"/>
          <w:highlight w:val="none"/>
        </w:rPr>
      </w:pPr>
      <w:r>
        <w:rPr>
          <w:rFonts w:eastAsia="黑体"/>
          <w:color w:val="auto"/>
          <w:sz w:val="32"/>
          <w:szCs w:val="32"/>
          <w:highlight w:val="none"/>
        </w:rPr>
        <w:t>湖南省住房和城乡建设厅</w:t>
      </w:r>
    </w:p>
    <w:p>
      <w:pPr>
        <w:ind w:firstLine="435"/>
        <w:rPr>
          <w:color w:val="auto"/>
          <w:highlight w:val="none"/>
        </w:rPr>
      </w:pPr>
      <w:r>
        <w:rPr>
          <w:color w:val="auto"/>
          <w:highlight w:val="none"/>
        </w:rPr>
        <w:br w:type="page"/>
      </w:r>
    </w:p>
    <w:p>
      <w:pPr>
        <w:spacing w:after="120" w:afterLines="50"/>
        <w:jc w:val="center"/>
        <w:rPr>
          <w:rFonts w:eastAsia="黑体"/>
          <w:color w:val="auto"/>
          <w:sz w:val="36"/>
          <w:szCs w:val="36"/>
          <w:highlight w:val="none"/>
        </w:rPr>
      </w:pPr>
      <w:r>
        <w:rPr>
          <w:rFonts w:eastAsia="黑体"/>
          <w:color w:val="auto"/>
          <w:sz w:val="36"/>
          <w:szCs w:val="36"/>
          <w:highlight w:val="none"/>
        </w:rPr>
        <w:t>使 用 说 明</w:t>
      </w:r>
    </w:p>
    <w:p>
      <w:pPr>
        <w:ind w:firstLine="435"/>
        <w:rPr>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570"/>
        <w:jc w:val="left"/>
        <w:textAlignment w:val="auto"/>
        <w:rPr>
          <w:rFonts w:eastAsia="仿宋_GB2312"/>
          <w:color w:val="auto"/>
          <w:sz w:val="28"/>
          <w:szCs w:val="28"/>
          <w:highlight w:val="none"/>
        </w:rPr>
      </w:pPr>
      <w:r>
        <w:rPr>
          <w:rFonts w:eastAsia="仿宋_GB2312"/>
          <w:color w:val="auto"/>
          <w:sz w:val="28"/>
          <w:szCs w:val="28"/>
          <w:highlight w:val="none"/>
        </w:rPr>
        <w:t>一、《湖南省房屋建筑和市政基础设施工程标准施工招标文件》（以下简称《标准</w:t>
      </w:r>
      <w:r>
        <w:rPr>
          <w:rFonts w:hint="eastAsia" w:eastAsia="仿宋_GB2312"/>
          <w:color w:val="auto"/>
          <w:sz w:val="28"/>
          <w:szCs w:val="28"/>
          <w:highlight w:val="none"/>
        </w:rPr>
        <w:t>施工招标</w:t>
      </w:r>
      <w:r>
        <w:rPr>
          <w:rFonts w:eastAsia="仿宋_GB2312"/>
          <w:color w:val="auto"/>
          <w:sz w:val="28"/>
          <w:szCs w:val="28"/>
          <w:highlight w:val="none"/>
        </w:rPr>
        <w:t>文件》）根据《</w:t>
      </w:r>
      <w:r>
        <w:rPr>
          <w:rFonts w:hint="eastAsia" w:eastAsia="仿宋_GB2312"/>
          <w:color w:val="auto"/>
          <w:sz w:val="28"/>
          <w:szCs w:val="28"/>
          <w:highlight w:val="none"/>
        </w:rPr>
        <w:t>中华人民共和国</w:t>
      </w:r>
      <w:r>
        <w:rPr>
          <w:rFonts w:eastAsia="仿宋_GB2312"/>
          <w:color w:val="auto"/>
          <w:sz w:val="28"/>
          <w:szCs w:val="28"/>
          <w:highlight w:val="none"/>
        </w:rPr>
        <w:t>招标投标法》及其实施条例等法律法规</w:t>
      </w:r>
      <w:r>
        <w:rPr>
          <w:rFonts w:hint="eastAsia" w:eastAsia="仿宋_GB2312"/>
          <w:color w:val="auto"/>
          <w:sz w:val="28"/>
          <w:szCs w:val="28"/>
          <w:highlight w:val="none"/>
        </w:rPr>
        <w:t>、</w:t>
      </w:r>
      <w:r>
        <w:rPr>
          <w:rFonts w:eastAsia="仿宋_GB2312"/>
          <w:color w:val="auto"/>
          <w:sz w:val="28"/>
          <w:szCs w:val="28"/>
          <w:highlight w:val="none"/>
        </w:rPr>
        <w:t>规章</w:t>
      </w:r>
      <w:r>
        <w:rPr>
          <w:rFonts w:hint="eastAsia" w:eastAsia="仿宋_GB2312"/>
          <w:color w:val="auto"/>
          <w:sz w:val="28"/>
          <w:szCs w:val="28"/>
          <w:highlight w:val="none"/>
        </w:rPr>
        <w:t>和文件</w:t>
      </w:r>
      <w:r>
        <w:rPr>
          <w:rFonts w:eastAsia="仿宋_GB2312"/>
          <w:color w:val="auto"/>
          <w:sz w:val="28"/>
          <w:szCs w:val="28"/>
          <w:highlight w:val="none"/>
        </w:rPr>
        <w:t>编制。</w:t>
      </w:r>
    </w:p>
    <w:p>
      <w:pPr>
        <w:keepNext w:val="0"/>
        <w:keepLines w:val="0"/>
        <w:pageBreakBefore w:val="0"/>
        <w:widowControl w:val="0"/>
        <w:kinsoku/>
        <w:wordWrap/>
        <w:overflowPunct/>
        <w:topLinePunct w:val="0"/>
        <w:autoSpaceDE/>
        <w:autoSpaceDN/>
        <w:bidi w:val="0"/>
        <w:adjustRightInd/>
        <w:snapToGrid/>
        <w:spacing w:line="480" w:lineRule="exact"/>
        <w:ind w:firstLine="570"/>
        <w:jc w:val="left"/>
        <w:textAlignment w:val="auto"/>
        <w:rPr>
          <w:rFonts w:eastAsia="仿宋_GB2312"/>
          <w:color w:val="auto"/>
          <w:sz w:val="28"/>
          <w:szCs w:val="28"/>
          <w:highlight w:val="none"/>
        </w:rPr>
      </w:pPr>
      <w:r>
        <w:rPr>
          <w:rFonts w:eastAsia="仿宋_GB2312"/>
          <w:color w:val="auto"/>
          <w:sz w:val="28"/>
          <w:szCs w:val="28"/>
          <w:highlight w:val="none"/>
        </w:rPr>
        <w:t>二、《标准</w:t>
      </w:r>
      <w:r>
        <w:rPr>
          <w:rFonts w:hint="eastAsia" w:eastAsia="仿宋_GB2312"/>
          <w:color w:val="auto"/>
          <w:sz w:val="28"/>
          <w:szCs w:val="28"/>
          <w:highlight w:val="none"/>
        </w:rPr>
        <w:t>施工招标</w:t>
      </w:r>
      <w:r>
        <w:rPr>
          <w:rFonts w:eastAsia="仿宋_GB2312"/>
          <w:color w:val="auto"/>
          <w:sz w:val="28"/>
          <w:szCs w:val="28"/>
          <w:highlight w:val="none"/>
        </w:rPr>
        <w:t>文件》</w:t>
      </w:r>
      <w:r>
        <w:rPr>
          <w:rFonts w:hint="eastAsia" w:eastAsia="仿宋_GB2312"/>
          <w:color w:val="auto"/>
          <w:sz w:val="28"/>
          <w:szCs w:val="28"/>
          <w:highlight w:val="none"/>
        </w:rPr>
        <w:t>适用于本省行政区域内，依法必须招标的房屋建筑和市政基础设施工程施工招标项目的电子招标。</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eastAsia="仿宋_GB2312"/>
          <w:color w:val="auto"/>
          <w:sz w:val="28"/>
          <w:szCs w:val="28"/>
          <w:highlight w:val="none"/>
        </w:rPr>
        <w:t>三、《标准</w:t>
      </w:r>
      <w:r>
        <w:rPr>
          <w:rFonts w:hint="eastAsia" w:eastAsia="仿宋_GB2312"/>
          <w:color w:val="auto"/>
          <w:sz w:val="28"/>
          <w:szCs w:val="28"/>
          <w:highlight w:val="none"/>
        </w:rPr>
        <w:t>施工招标</w:t>
      </w:r>
      <w:r>
        <w:rPr>
          <w:rFonts w:eastAsia="仿宋_GB2312"/>
          <w:color w:val="auto"/>
          <w:sz w:val="28"/>
          <w:szCs w:val="28"/>
          <w:highlight w:val="none"/>
        </w:rPr>
        <w:t>文件》用相同序号标示的章、节、条、款、项、目，供招标人和投标人选择使用。以空格标示</w:t>
      </w:r>
      <w:r>
        <w:rPr>
          <w:rFonts w:hint="eastAsia" w:eastAsia="仿宋_GB2312"/>
          <w:color w:val="auto"/>
          <w:sz w:val="28"/>
          <w:szCs w:val="28"/>
          <w:highlight w:val="none"/>
        </w:rPr>
        <w:t>和</w:t>
      </w:r>
      <w:r>
        <w:rPr>
          <w:rFonts w:hint="eastAsia" w:ascii="宋体" w:hAnsi="宋体" w:cs="宋体"/>
          <w:color w:val="auto"/>
          <w:szCs w:val="21"/>
          <w:highlight w:val="none"/>
        </w:rPr>
        <w:sym w:font="Wingdings 2" w:char="00A3"/>
      </w:r>
      <w:r>
        <w:rPr>
          <w:rFonts w:hint="eastAsia" w:ascii="仿宋_GB2312" w:hAnsi="仿宋_GB2312" w:eastAsia="仿宋_GB2312" w:cs="仿宋_GB2312"/>
          <w:color w:val="auto"/>
          <w:sz w:val="28"/>
          <w:szCs w:val="28"/>
          <w:highlight w:val="none"/>
        </w:rPr>
        <w:t>标示的</w:t>
      </w:r>
      <w:r>
        <w:rPr>
          <w:rFonts w:hint="eastAsia" w:eastAsia="仿宋_GB2312"/>
          <w:color w:val="auto"/>
          <w:sz w:val="28"/>
          <w:szCs w:val="28"/>
          <w:highlight w:val="none"/>
        </w:rPr>
        <w:t>，</w:t>
      </w:r>
      <w:r>
        <w:rPr>
          <w:rFonts w:eastAsia="仿宋_GB2312"/>
          <w:color w:val="auto"/>
          <w:sz w:val="28"/>
          <w:szCs w:val="28"/>
          <w:highlight w:val="none"/>
        </w:rPr>
        <w:t>由招标人根据</w:t>
      </w:r>
      <w:r>
        <w:rPr>
          <w:rFonts w:hint="eastAsia" w:eastAsia="仿宋_GB2312"/>
          <w:color w:val="auto"/>
          <w:sz w:val="28"/>
          <w:szCs w:val="28"/>
          <w:highlight w:val="none"/>
        </w:rPr>
        <w:t>法律法规规定，以及</w:t>
      </w:r>
      <w:r>
        <w:rPr>
          <w:rFonts w:eastAsia="仿宋_GB2312"/>
          <w:color w:val="auto"/>
          <w:sz w:val="28"/>
          <w:szCs w:val="28"/>
          <w:highlight w:val="none"/>
        </w:rPr>
        <w:t>招标项目特点和实际</w:t>
      </w:r>
      <w:r>
        <w:rPr>
          <w:rFonts w:hint="eastAsia" w:eastAsia="仿宋_GB2312"/>
          <w:color w:val="auto"/>
          <w:sz w:val="28"/>
          <w:szCs w:val="28"/>
          <w:highlight w:val="none"/>
        </w:rPr>
        <w:t>需要填写和勾选。</w:t>
      </w:r>
      <w:r>
        <w:rPr>
          <w:rFonts w:eastAsia="仿宋_GB2312"/>
          <w:color w:val="auto"/>
          <w:sz w:val="28"/>
          <w:szCs w:val="28"/>
          <w:highlight w:val="none"/>
        </w:rPr>
        <w:t>确实没有需要填写的，在空格中用“/”标示。其余内容应当不加修改地直接引用。《标准</w:t>
      </w:r>
      <w:r>
        <w:rPr>
          <w:rFonts w:hint="eastAsia" w:eastAsia="仿宋_GB2312"/>
          <w:color w:val="auto"/>
          <w:sz w:val="28"/>
          <w:szCs w:val="28"/>
          <w:highlight w:val="none"/>
        </w:rPr>
        <w:t>施工招标</w:t>
      </w:r>
      <w:r>
        <w:rPr>
          <w:rFonts w:eastAsia="仿宋_GB2312"/>
          <w:color w:val="auto"/>
          <w:sz w:val="28"/>
          <w:szCs w:val="28"/>
          <w:highlight w:val="none"/>
        </w:rPr>
        <w:t>文件》中引用的政策文件发生了变化的，</w:t>
      </w:r>
      <w:r>
        <w:rPr>
          <w:rFonts w:hint="eastAsia" w:eastAsia="仿宋_GB2312"/>
          <w:color w:val="auto"/>
          <w:sz w:val="28"/>
          <w:szCs w:val="28"/>
          <w:highlight w:val="none"/>
        </w:rPr>
        <w:t>由招标人进行</w:t>
      </w:r>
      <w:r>
        <w:rPr>
          <w:rFonts w:eastAsia="仿宋_GB2312"/>
          <w:color w:val="auto"/>
          <w:sz w:val="28"/>
          <w:szCs w:val="28"/>
          <w:highlight w:val="none"/>
        </w:rPr>
        <w:t>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eastAsia="仿宋_GB2312"/>
          <w:color w:val="auto"/>
          <w:sz w:val="28"/>
          <w:szCs w:val="28"/>
          <w:highlight w:val="none"/>
        </w:rPr>
      </w:pPr>
      <w:r>
        <w:rPr>
          <w:rFonts w:eastAsia="仿宋_GB2312"/>
          <w:color w:val="auto"/>
          <w:sz w:val="28"/>
          <w:szCs w:val="28"/>
          <w:highlight w:val="none"/>
        </w:rPr>
        <w:t>四、招标人按照《标准</w:t>
      </w:r>
      <w:r>
        <w:rPr>
          <w:rFonts w:hint="eastAsia" w:eastAsia="仿宋_GB2312"/>
          <w:color w:val="auto"/>
          <w:sz w:val="28"/>
          <w:szCs w:val="28"/>
          <w:highlight w:val="none"/>
        </w:rPr>
        <w:t>施工招标</w:t>
      </w:r>
      <w:r>
        <w:rPr>
          <w:rFonts w:eastAsia="仿宋_GB2312"/>
          <w:color w:val="auto"/>
          <w:sz w:val="28"/>
          <w:szCs w:val="28"/>
          <w:highlight w:val="none"/>
        </w:rPr>
        <w:t>文件》第一章的格式发布招标公告或投标邀请书。</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eastAsia="仿宋_GB2312"/>
          <w:color w:val="auto"/>
          <w:sz w:val="28"/>
          <w:szCs w:val="28"/>
          <w:highlight w:val="none"/>
        </w:rPr>
        <w:t>五、</w:t>
      </w:r>
      <w:r>
        <w:rPr>
          <w:rFonts w:hint="eastAsia" w:eastAsia="仿宋_GB2312"/>
          <w:color w:val="auto"/>
          <w:sz w:val="28"/>
          <w:szCs w:val="28"/>
          <w:highlight w:val="none"/>
        </w:rPr>
        <w:t>《标准施工招标文件》以附件方式集中列示的否决投标情形、投标报价成本评审办法，以及评定分离工作规则等是对投标人须知和评标办法有关条款的总结和补充，是评标办法的组成部分。</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六</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文件》第三章“评标办法”规定经评审的最低投标价法、综合评估法</w:t>
      </w:r>
      <w:r>
        <w:rPr>
          <w:rFonts w:hint="eastAsia" w:eastAsia="仿宋_GB2312"/>
          <w:color w:val="auto"/>
          <w:sz w:val="28"/>
          <w:szCs w:val="28"/>
          <w:highlight w:val="none"/>
        </w:rPr>
        <w:t>两</w:t>
      </w:r>
      <w:r>
        <w:rPr>
          <w:rFonts w:eastAsia="仿宋_GB2312"/>
          <w:color w:val="auto"/>
          <w:sz w:val="28"/>
          <w:szCs w:val="28"/>
          <w:highlight w:val="none"/>
        </w:rPr>
        <w:t>种评标方法，由招标人根据</w:t>
      </w:r>
      <w:r>
        <w:rPr>
          <w:rFonts w:hint="eastAsia" w:eastAsia="仿宋_GB2312"/>
          <w:color w:val="auto"/>
          <w:sz w:val="28"/>
          <w:szCs w:val="28"/>
          <w:highlight w:val="none"/>
        </w:rPr>
        <w:t>招标项目规模和</w:t>
      </w:r>
      <w:r>
        <w:rPr>
          <w:rFonts w:eastAsia="仿宋_GB2312"/>
          <w:color w:val="auto"/>
          <w:sz w:val="28"/>
          <w:szCs w:val="28"/>
          <w:highlight w:val="none"/>
        </w:rPr>
        <w:t>文件规定选择使用。</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七</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文件》第四章“合同条款及格式”采用《建设工程施工合同（示范文本）》（GF-2017-0201）</w:t>
      </w:r>
      <w:r>
        <w:rPr>
          <w:rFonts w:hint="eastAsia" w:eastAsia="仿宋_GB2312"/>
          <w:color w:val="auto"/>
          <w:sz w:val="28"/>
          <w:szCs w:val="28"/>
          <w:highlight w:val="none"/>
        </w:rPr>
        <w:t>。</w:t>
      </w:r>
      <w:r>
        <w:rPr>
          <w:rFonts w:eastAsia="仿宋_GB2312"/>
          <w:color w:val="auto"/>
          <w:sz w:val="28"/>
          <w:szCs w:val="28"/>
          <w:highlight w:val="none"/>
        </w:rPr>
        <w:t>第一</w:t>
      </w:r>
      <w:r>
        <w:rPr>
          <w:rFonts w:hint="eastAsia" w:eastAsia="仿宋_GB2312"/>
          <w:color w:val="auto"/>
          <w:sz w:val="28"/>
          <w:szCs w:val="28"/>
          <w:highlight w:val="none"/>
        </w:rPr>
        <w:t>节</w:t>
      </w:r>
      <w:r>
        <w:rPr>
          <w:rFonts w:eastAsia="仿宋_GB2312"/>
          <w:color w:val="auto"/>
          <w:sz w:val="28"/>
          <w:szCs w:val="28"/>
          <w:highlight w:val="none"/>
        </w:rPr>
        <w:t>“合同协议书”、第二</w:t>
      </w:r>
      <w:r>
        <w:rPr>
          <w:rFonts w:hint="eastAsia" w:eastAsia="仿宋_GB2312"/>
          <w:color w:val="auto"/>
          <w:sz w:val="28"/>
          <w:szCs w:val="28"/>
          <w:highlight w:val="none"/>
        </w:rPr>
        <w:t>节</w:t>
      </w:r>
      <w:r>
        <w:rPr>
          <w:rFonts w:eastAsia="仿宋_GB2312"/>
          <w:color w:val="auto"/>
          <w:sz w:val="28"/>
          <w:szCs w:val="28"/>
          <w:highlight w:val="none"/>
        </w:rPr>
        <w:t>“通用合同条款”、第三</w:t>
      </w:r>
      <w:r>
        <w:rPr>
          <w:rFonts w:hint="eastAsia" w:eastAsia="仿宋_GB2312"/>
          <w:color w:val="auto"/>
          <w:sz w:val="28"/>
          <w:szCs w:val="28"/>
          <w:highlight w:val="none"/>
        </w:rPr>
        <w:t>节</w:t>
      </w:r>
      <w:r>
        <w:rPr>
          <w:rFonts w:eastAsia="仿宋_GB2312"/>
          <w:color w:val="auto"/>
          <w:sz w:val="28"/>
          <w:szCs w:val="28"/>
          <w:highlight w:val="none"/>
        </w:rPr>
        <w:t>“专用合同条款”和附件</w:t>
      </w:r>
      <w:r>
        <w:rPr>
          <w:rFonts w:hint="eastAsia" w:eastAsia="仿宋_GB2312"/>
          <w:color w:val="auto"/>
          <w:sz w:val="28"/>
          <w:szCs w:val="28"/>
          <w:highlight w:val="none"/>
          <w:lang w:val="en-US" w:eastAsia="zh-CN"/>
        </w:rPr>
        <w:t>应不加修改直接引用</w:t>
      </w:r>
      <w:r>
        <w:rPr>
          <w:rFonts w:eastAsia="仿宋_GB2312"/>
          <w:color w:val="auto"/>
          <w:sz w:val="28"/>
          <w:szCs w:val="28"/>
          <w:highlight w:val="none"/>
        </w:rPr>
        <w:t>（除以空格标示的由招标人填空的内容和选择性内容外）。填空内容由招标人根据国家和省有关法律法规规定以及招标项目具体情况确定。</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八</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文件》第五章“工程量清单”由招标人根据</w:t>
      </w:r>
      <w:r>
        <w:rPr>
          <w:rFonts w:hint="eastAsia" w:eastAsia="仿宋_GB2312"/>
          <w:color w:val="auto"/>
          <w:sz w:val="28"/>
          <w:szCs w:val="28"/>
          <w:highlight w:val="none"/>
        </w:rPr>
        <w:t>招标</w:t>
      </w:r>
      <w:r>
        <w:rPr>
          <w:rFonts w:eastAsia="仿宋_GB2312"/>
          <w:color w:val="auto"/>
          <w:sz w:val="28"/>
          <w:szCs w:val="28"/>
          <w:highlight w:val="none"/>
        </w:rPr>
        <w:t>项目特点和实际需要，以及</w:t>
      </w:r>
      <w:r>
        <w:rPr>
          <w:rFonts w:hint="eastAsia" w:eastAsia="仿宋_GB2312"/>
          <w:color w:val="auto"/>
          <w:sz w:val="28"/>
          <w:szCs w:val="28"/>
          <w:highlight w:val="none"/>
        </w:rPr>
        <w:t>国家或湖南省</w:t>
      </w:r>
      <w:r>
        <w:rPr>
          <w:rFonts w:eastAsia="仿宋_GB2312"/>
          <w:color w:val="auto"/>
          <w:sz w:val="28"/>
          <w:szCs w:val="28"/>
          <w:highlight w:val="none"/>
        </w:rPr>
        <w:t>计价规范补充相关内容。</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九</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文件》第七章“技术标准和要求”招标人</w:t>
      </w:r>
      <w:r>
        <w:rPr>
          <w:rFonts w:hint="eastAsia" w:eastAsia="仿宋_GB2312"/>
          <w:color w:val="auto"/>
          <w:sz w:val="28"/>
          <w:szCs w:val="28"/>
          <w:highlight w:val="none"/>
        </w:rPr>
        <w:t>应当</w:t>
      </w:r>
      <w:r>
        <w:rPr>
          <w:rFonts w:eastAsia="仿宋_GB2312"/>
          <w:color w:val="auto"/>
          <w:sz w:val="28"/>
          <w:szCs w:val="28"/>
          <w:highlight w:val="none"/>
        </w:rPr>
        <w:t xml:space="preserve">结合招标项目具体特点和实际需要进行补充。    </w:t>
      </w:r>
      <w:r>
        <w:rPr>
          <w:rFonts w:eastAsia="仿宋_GB2312"/>
          <w:color w:val="auto"/>
          <w:sz w:val="28"/>
          <w:szCs w:val="28"/>
          <w:highlight w:val="none"/>
        </w:rPr>
        <w:br w:type="page"/>
      </w:r>
    </w:p>
    <w:p>
      <w:pPr>
        <w:ind w:firstLine="435"/>
        <w:rPr>
          <w:color w:val="auto"/>
          <w:highlight w:val="none"/>
        </w:rPr>
      </w:pPr>
    </w:p>
    <w:p>
      <w:pPr>
        <w:ind w:firstLine="435"/>
        <w:rPr>
          <w:color w:val="auto"/>
          <w:highlight w:val="none"/>
        </w:rPr>
      </w:pPr>
    </w:p>
    <w:p>
      <w:pPr>
        <w:ind w:firstLine="435"/>
        <w:rPr>
          <w:color w:val="auto"/>
          <w:highlight w:val="none"/>
        </w:rPr>
      </w:pPr>
    </w:p>
    <w:p>
      <w:pPr>
        <w:spacing w:line="540" w:lineRule="exact"/>
        <w:jc w:val="center"/>
        <w:rPr>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招标</w:t>
      </w:r>
      <w:r>
        <w:rPr>
          <w:rFonts w:eastAsia="黑体"/>
          <w:color w:val="auto"/>
          <w:sz w:val="28"/>
          <w:szCs w:val="28"/>
          <w:highlight w:val="none"/>
        </w:rPr>
        <w:t>项目名称</w:t>
      </w:r>
      <w:r>
        <w:rPr>
          <w:rFonts w:hint="eastAsia" w:eastAsia="黑体"/>
          <w:color w:val="auto"/>
          <w:sz w:val="28"/>
          <w:szCs w:val="28"/>
          <w:highlight w:val="none"/>
        </w:rPr>
        <w:t>及标段</w:t>
      </w:r>
      <w:r>
        <w:rPr>
          <w:rFonts w:eastAsia="黑体"/>
          <w:color w:val="auto"/>
          <w:sz w:val="28"/>
          <w:szCs w:val="28"/>
          <w:highlight w:val="none"/>
        </w:rPr>
        <w:t>）施工招标</w:t>
      </w: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jc w:val="center"/>
        <w:rPr>
          <w:rFonts w:eastAsia="黑体"/>
          <w:color w:val="auto"/>
          <w:sz w:val="72"/>
          <w:szCs w:val="72"/>
          <w:highlight w:val="none"/>
        </w:rPr>
      </w:pPr>
      <w:r>
        <w:rPr>
          <w:rFonts w:eastAsia="黑体"/>
          <w:color w:val="auto"/>
          <w:sz w:val="72"/>
          <w:szCs w:val="72"/>
          <w:highlight w:val="none"/>
        </w:rPr>
        <w:t>招  标  文  件</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spacing w:line="360" w:lineRule="auto"/>
        <w:ind w:firstLine="437"/>
        <w:jc w:val="center"/>
        <w:rPr>
          <w:rFonts w:eastAsia="黑体"/>
          <w:color w:val="auto"/>
          <w:sz w:val="28"/>
          <w:szCs w:val="28"/>
          <w:highlight w:val="none"/>
        </w:rPr>
      </w:pPr>
      <w:r>
        <w:rPr>
          <w:rFonts w:eastAsia="黑体"/>
          <w:color w:val="auto"/>
          <w:sz w:val="28"/>
          <w:szCs w:val="28"/>
          <w:highlight w:val="none"/>
        </w:rPr>
        <w:t>招 标 人（或招标代理机构）：</w:t>
      </w:r>
      <w:r>
        <w:rPr>
          <w:rFonts w:eastAsia="黑体"/>
          <w:color w:val="auto"/>
          <w:sz w:val="28"/>
          <w:szCs w:val="28"/>
          <w:highlight w:val="none"/>
          <w:u w:val="single"/>
        </w:rPr>
        <w:t xml:space="preserve">        </w:t>
      </w:r>
      <w:r>
        <w:rPr>
          <w:rFonts w:eastAsia="黑体"/>
          <w:color w:val="auto"/>
          <w:sz w:val="28"/>
          <w:szCs w:val="28"/>
          <w:highlight w:val="none"/>
        </w:rPr>
        <w:t>（盖单位章）</w:t>
      </w:r>
    </w:p>
    <w:p>
      <w:pPr>
        <w:spacing w:line="540" w:lineRule="exact"/>
        <w:ind w:firstLine="437"/>
        <w:jc w:val="center"/>
        <w:rPr>
          <w:rFonts w:eastAsia="黑体"/>
          <w:color w:val="auto"/>
          <w:sz w:val="28"/>
          <w:szCs w:val="28"/>
          <w:highlight w:val="none"/>
        </w:rPr>
      </w:pPr>
      <w:r>
        <w:rPr>
          <w:rFonts w:eastAsia="黑体"/>
          <w:color w:val="auto"/>
          <w:sz w:val="28"/>
          <w:szCs w:val="28"/>
          <w:highlight w:val="none"/>
        </w:rPr>
        <w:t>日    期：</w:t>
      </w: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ind w:firstLine="435"/>
        <w:rPr>
          <w:color w:val="auto"/>
          <w:highlight w:val="none"/>
        </w:rPr>
      </w:pPr>
    </w:p>
    <w:p>
      <w:pPr>
        <w:spacing w:line="540" w:lineRule="exact"/>
        <w:jc w:val="center"/>
        <w:rPr>
          <w:rFonts w:eastAsia="黑体"/>
          <w:bCs/>
          <w:color w:val="auto"/>
          <w:sz w:val="36"/>
          <w:szCs w:val="36"/>
          <w:highlight w:val="none"/>
        </w:rPr>
      </w:pPr>
      <w:r>
        <w:rPr>
          <w:rFonts w:eastAsia="黑体"/>
          <w:bCs/>
          <w:color w:val="auto"/>
          <w:sz w:val="36"/>
          <w:szCs w:val="36"/>
          <w:highlight w:val="none"/>
        </w:rPr>
        <w:br w:type="page"/>
      </w:r>
      <w:r>
        <w:rPr>
          <w:rFonts w:eastAsia="黑体"/>
          <w:bCs/>
          <w:color w:val="auto"/>
          <w:sz w:val="36"/>
          <w:szCs w:val="36"/>
          <w:highlight w:val="none"/>
        </w:rPr>
        <w:t>目  录</w:t>
      </w:r>
    </w:p>
    <w:p>
      <w:pPr>
        <w:pStyle w:val="29"/>
        <w:tabs>
          <w:tab w:val="right" w:leader="dot" w:pos="8891"/>
        </w:tabs>
        <w:rPr>
          <w:rFonts w:eastAsia="黑体"/>
          <w:color w:val="auto"/>
          <w:sz w:val="32"/>
          <w:szCs w:val="32"/>
          <w:highlight w:val="none"/>
        </w:rPr>
      </w:pPr>
    </w:p>
    <w:p>
      <w:pPr>
        <w:pStyle w:val="29"/>
        <w:tabs>
          <w:tab w:val="right" w:leader="dot" w:pos="9060"/>
        </w:tabs>
        <w:rPr>
          <w:rFonts w:ascii="等线" w:hAnsi="等线" w:eastAsia="等线"/>
          <w:color w:val="auto"/>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"_Toc80006177"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  一  卷</w:t>
      </w:r>
      <w:r>
        <w:rPr>
          <w:color w:val="auto"/>
          <w:highlight w:val="none"/>
        </w:rPr>
        <w:tab/>
      </w:r>
      <w:r>
        <w:rPr>
          <w:color w:val="auto"/>
          <w:highlight w:val="none"/>
        </w:rPr>
        <w:fldChar w:fldCharType="begin"/>
      </w:r>
      <w:r>
        <w:rPr>
          <w:color w:val="auto"/>
          <w:highlight w:val="none"/>
        </w:rPr>
        <w:instrText xml:space="preserve"> PAGEREF _Toc80006177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"_Toc80006178"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第一章  招标公告（适用于未进行资格预审的公开招标项目）</w:t>
      </w:r>
      <w:r>
        <w:rPr>
          <w:color w:val="auto"/>
          <w:highlight w:val="none"/>
        </w:rPr>
        <w:tab/>
      </w:r>
      <w:r>
        <w:rPr>
          <w:color w:val="auto"/>
          <w:highlight w:val="none"/>
        </w:rPr>
        <w:fldChar w:fldCharType="begin"/>
      </w:r>
      <w:r>
        <w:rPr>
          <w:color w:val="auto"/>
          <w:highlight w:val="none"/>
        </w:rPr>
        <w:instrText xml:space="preserve"> PAGEREF _Toc80006178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"_Toc80006179"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1.项目概况</w:t>
      </w:r>
      <w:r>
        <w:rPr>
          <w:color w:val="auto"/>
          <w:highlight w:val="none"/>
        </w:rPr>
        <w:tab/>
      </w:r>
      <w:r>
        <w:rPr>
          <w:color w:val="auto"/>
          <w:highlight w:val="none"/>
        </w:rPr>
        <w:fldChar w:fldCharType="begin"/>
      </w:r>
      <w:r>
        <w:rPr>
          <w:color w:val="auto"/>
          <w:highlight w:val="none"/>
        </w:rPr>
        <w:instrText xml:space="preserve"> PAGEREF _Toc80006179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2.资格要求</w:t>
      </w:r>
      <w:r>
        <w:rPr>
          <w:color w:val="auto"/>
          <w:highlight w:val="none"/>
        </w:rPr>
        <w:tab/>
      </w:r>
      <w:r>
        <w:rPr>
          <w:color w:val="auto"/>
          <w:highlight w:val="none"/>
        </w:rPr>
        <w:fldChar w:fldCharType="begin"/>
      </w:r>
      <w:r>
        <w:rPr>
          <w:color w:val="auto"/>
          <w:highlight w:val="none"/>
        </w:rPr>
        <w:instrText xml:space="preserve"> PAGEREF _Toc80006180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3.资格审查</w:t>
      </w:r>
      <w:r>
        <w:rPr>
          <w:color w:val="auto"/>
          <w:highlight w:val="none"/>
        </w:rPr>
        <w:tab/>
      </w:r>
      <w:r>
        <w:rPr>
          <w:color w:val="auto"/>
          <w:highlight w:val="none"/>
        </w:rPr>
        <w:fldChar w:fldCharType="begin"/>
      </w:r>
      <w:r>
        <w:rPr>
          <w:color w:val="auto"/>
          <w:highlight w:val="none"/>
        </w:rPr>
        <w:instrText xml:space="preserve"> PAGEREF _Toc80006181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4.评标办法</w:t>
      </w:r>
      <w:r>
        <w:rPr>
          <w:color w:val="auto"/>
          <w:highlight w:val="none"/>
        </w:rPr>
        <w:tab/>
      </w:r>
      <w:r>
        <w:rPr>
          <w:color w:val="auto"/>
          <w:highlight w:val="none"/>
        </w:rPr>
        <w:fldChar w:fldCharType="begin"/>
      </w:r>
      <w:r>
        <w:rPr>
          <w:color w:val="auto"/>
          <w:highlight w:val="none"/>
        </w:rPr>
        <w:instrText xml:space="preserve"> PAGEREF _Toc80006182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5.招标文件的获取</w:t>
      </w:r>
      <w:r>
        <w:rPr>
          <w:color w:val="auto"/>
          <w:highlight w:val="none"/>
        </w:rPr>
        <w:tab/>
      </w:r>
      <w:r>
        <w:rPr>
          <w:color w:val="auto"/>
          <w:highlight w:val="none"/>
        </w:rPr>
        <w:fldChar w:fldCharType="begin"/>
      </w:r>
      <w:r>
        <w:rPr>
          <w:color w:val="auto"/>
          <w:highlight w:val="none"/>
        </w:rPr>
        <w:instrText xml:space="preserve"> PAGEREF _Toc80006183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6.投标文件的递交</w:t>
      </w:r>
      <w:r>
        <w:rPr>
          <w:color w:val="auto"/>
          <w:highlight w:val="none"/>
        </w:rPr>
        <w:tab/>
      </w:r>
      <w:r>
        <w:rPr>
          <w:color w:val="auto"/>
          <w:highlight w:val="none"/>
        </w:rPr>
        <w:fldChar w:fldCharType="begin"/>
      </w:r>
      <w:r>
        <w:rPr>
          <w:color w:val="auto"/>
          <w:highlight w:val="none"/>
        </w:rPr>
        <w:instrText xml:space="preserve"> PAGEREF _Toc80006184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7.发布公告的媒介</w:t>
      </w:r>
      <w:r>
        <w:rPr>
          <w:color w:val="auto"/>
          <w:highlight w:val="none"/>
        </w:rPr>
        <w:tab/>
      </w:r>
      <w:r>
        <w:rPr>
          <w:color w:val="auto"/>
          <w:highlight w:val="none"/>
        </w:rPr>
        <w:fldChar w:fldCharType="begin"/>
      </w:r>
      <w:r>
        <w:rPr>
          <w:color w:val="auto"/>
          <w:highlight w:val="none"/>
        </w:rPr>
        <w:instrText xml:space="preserve"> PAGEREF _Toc80006185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8.行政监督</w:t>
      </w:r>
      <w:r>
        <w:rPr>
          <w:color w:val="auto"/>
          <w:highlight w:val="none"/>
        </w:rPr>
        <w:tab/>
      </w:r>
      <w:r>
        <w:rPr>
          <w:color w:val="auto"/>
          <w:highlight w:val="none"/>
        </w:rPr>
        <w:fldChar w:fldCharType="begin"/>
      </w:r>
      <w:r>
        <w:rPr>
          <w:color w:val="auto"/>
          <w:highlight w:val="none"/>
        </w:rPr>
        <w:instrText xml:space="preserve"> PAGEREF _Toc80006186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9.其它</w:t>
      </w:r>
      <w:r>
        <w:rPr>
          <w:color w:val="auto"/>
          <w:highlight w:val="none"/>
        </w:rPr>
        <w:tab/>
      </w:r>
      <w:r>
        <w:rPr>
          <w:color w:val="auto"/>
          <w:highlight w:val="none"/>
        </w:rPr>
        <w:fldChar w:fldCharType="begin"/>
      </w:r>
      <w:r>
        <w:rPr>
          <w:color w:val="auto"/>
          <w:highlight w:val="none"/>
        </w:rPr>
        <w:instrText xml:space="preserve"> PAGEREF _Toc80006187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10.联系方式</w:t>
      </w:r>
      <w:r>
        <w:rPr>
          <w:color w:val="auto"/>
          <w:highlight w:val="none"/>
        </w:rPr>
        <w:tab/>
      </w:r>
      <w:r>
        <w:rPr>
          <w:color w:val="auto"/>
          <w:highlight w:val="none"/>
        </w:rPr>
        <w:fldChar w:fldCharType="begin"/>
      </w:r>
      <w:r>
        <w:rPr>
          <w:color w:val="auto"/>
          <w:highlight w:val="none"/>
        </w:rPr>
        <w:instrText xml:space="preserve"> PAGEREF _Toc80006188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第一章  投标邀请书（适用于邀请招标）</w:t>
      </w:r>
      <w:r>
        <w:rPr>
          <w:color w:val="auto"/>
          <w:highlight w:val="none"/>
        </w:rPr>
        <w:tab/>
      </w:r>
      <w:r>
        <w:rPr>
          <w:color w:val="auto"/>
          <w:highlight w:val="none"/>
        </w:rPr>
        <w:fldChar w:fldCharType="begin"/>
      </w:r>
      <w:r>
        <w:rPr>
          <w:color w:val="auto"/>
          <w:highlight w:val="none"/>
        </w:rPr>
        <w:instrText xml:space="preserve"> PAGEREF _Toc80006189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1.项目概况</w:t>
      </w:r>
      <w:r>
        <w:rPr>
          <w:color w:val="auto"/>
          <w:highlight w:val="none"/>
        </w:rPr>
        <w:tab/>
      </w:r>
      <w:r>
        <w:rPr>
          <w:color w:val="auto"/>
          <w:highlight w:val="none"/>
        </w:rPr>
        <w:fldChar w:fldCharType="begin"/>
      </w:r>
      <w:r>
        <w:rPr>
          <w:color w:val="auto"/>
          <w:highlight w:val="none"/>
        </w:rPr>
        <w:instrText xml:space="preserve"> PAGEREF _Toc80006190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2.资格要求</w:t>
      </w:r>
      <w:r>
        <w:rPr>
          <w:color w:val="auto"/>
          <w:highlight w:val="none"/>
        </w:rPr>
        <w:tab/>
      </w:r>
      <w:r>
        <w:rPr>
          <w:color w:val="auto"/>
          <w:highlight w:val="none"/>
        </w:rPr>
        <w:fldChar w:fldCharType="begin"/>
      </w:r>
      <w:r>
        <w:rPr>
          <w:color w:val="auto"/>
          <w:highlight w:val="none"/>
        </w:rPr>
        <w:instrText xml:space="preserve"> PAGEREF _Toc80006191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3.招标文件的获取</w:t>
      </w:r>
      <w:r>
        <w:rPr>
          <w:color w:val="auto"/>
          <w:highlight w:val="none"/>
        </w:rPr>
        <w:tab/>
      </w:r>
      <w:r>
        <w:rPr>
          <w:color w:val="auto"/>
          <w:highlight w:val="none"/>
        </w:rPr>
        <w:fldChar w:fldCharType="begin"/>
      </w:r>
      <w:r>
        <w:rPr>
          <w:color w:val="auto"/>
          <w:highlight w:val="none"/>
        </w:rPr>
        <w:instrText xml:space="preserve"> PAGEREF _Toc80006192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"_Toc80006193"</w:instrText>
      </w:r>
      <w:r>
        <w:rPr>
          <w:rStyle w:val="46"/>
          <w:color w:val="auto"/>
          <w:highlight w:val="none"/>
        </w:rPr>
        <w:instrText xml:space="preserve"> </w:instrText>
      </w:r>
      <w:r>
        <w:rPr>
          <w:color w:val="auto"/>
          <w:highlight w:val="none"/>
        </w:rPr>
        <w:fldChar w:fldCharType="separate"/>
      </w:r>
      <w:r>
        <w:rPr>
          <w:rStyle w:val="46"/>
          <w:rFonts w:ascii="黑体" w:hAnsi="黑体" w:eastAsia="黑体"/>
          <w:color w:val="auto"/>
          <w:highlight w:val="none"/>
        </w:rPr>
        <w:t>5.确认</w:t>
      </w:r>
      <w:r>
        <w:rPr>
          <w:color w:val="auto"/>
          <w:highlight w:val="none"/>
        </w:rPr>
        <w:tab/>
      </w:r>
      <w:r>
        <w:rPr>
          <w:color w:val="auto"/>
          <w:highlight w:val="none"/>
        </w:rPr>
        <w:fldChar w:fldCharType="begin"/>
      </w:r>
      <w:r>
        <w:rPr>
          <w:color w:val="auto"/>
          <w:highlight w:val="none"/>
        </w:rPr>
        <w:instrText xml:space="preserve"> PAGEREF _Toc80006193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6.行政监督</w:t>
      </w:r>
      <w:r>
        <w:rPr>
          <w:color w:val="auto"/>
          <w:highlight w:val="none"/>
        </w:rPr>
        <w:tab/>
      </w:r>
      <w:r>
        <w:rPr>
          <w:color w:val="auto"/>
          <w:highlight w:val="none"/>
        </w:rPr>
        <w:fldChar w:fldCharType="begin"/>
      </w:r>
      <w:r>
        <w:rPr>
          <w:color w:val="auto"/>
          <w:highlight w:val="none"/>
        </w:rPr>
        <w:instrText xml:space="preserve"> PAGEREF _Toc80006194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7.其它</w:t>
      </w:r>
      <w:r>
        <w:rPr>
          <w:color w:val="auto"/>
          <w:highlight w:val="none"/>
        </w:rPr>
        <w:tab/>
      </w:r>
      <w:r>
        <w:rPr>
          <w:color w:val="auto"/>
          <w:highlight w:val="none"/>
        </w:rPr>
        <w:fldChar w:fldCharType="begin"/>
      </w:r>
      <w:r>
        <w:rPr>
          <w:color w:val="auto"/>
          <w:highlight w:val="none"/>
        </w:rPr>
        <w:instrText xml:space="preserve"> PAGEREF _Toc80006195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8.联</w:t>
      </w:r>
      <w:bookmarkStart w:id="1" w:name="_Hlt80006281"/>
      <w:r>
        <w:rPr>
          <w:rStyle w:val="46"/>
          <w:rFonts w:eastAsia="黑体"/>
          <w:color w:val="auto"/>
          <w:highlight w:val="none"/>
        </w:rPr>
        <w:t>系</w:t>
      </w:r>
      <w:bookmarkEnd w:id="1"/>
      <w:r>
        <w:rPr>
          <w:rStyle w:val="46"/>
          <w:rFonts w:eastAsia="黑体"/>
          <w:color w:val="auto"/>
          <w:highlight w:val="none"/>
        </w:rPr>
        <w:t>方式</w:t>
      </w:r>
      <w:r>
        <w:rPr>
          <w:color w:val="auto"/>
          <w:highlight w:val="none"/>
        </w:rPr>
        <w:tab/>
      </w:r>
      <w:r>
        <w:rPr>
          <w:color w:val="auto"/>
          <w:highlight w:val="none"/>
        </w:rPr>
        <w:fldChar w:fldCharType="begin"/>
      </w:r>
      <w:r>
        <w:rPr>
          <w:color w:val="auto"/>
          <w:highlight w:val="none"/>
        </w:rPr>
        <w:instrText xml:space="preserve"> PAGEREF _Toc80006196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第一章  资格预审通过通知书</w:t>
      </w:r>
      <w:r>
        <w:rPr>
          <w:color w:val="auto"/>
          <w:highlight w:val="none"/>
        </w:rPr>
        <w:tab/>
      </w:r>
      <w:r>
        <w:rPr>
          <w:color w:val="auto"/>
          <w:highlight w:val="none"/>
        </w:rPr>
        <w:fldChar w:fldCharType="begin"/>
      </w:r>
      <w:r>
        <w:rPr>
          <w:color w:val="auto"/>
          <w:highlight w:val="none"/>
        </w:rPr>
        <w:instrText xml:space="preserve"> PAGEREF _Toc80006197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_Toc80006198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1.总则</w:t>
      </w:r>
      <w:r>
        <w:rPr>
          <w:color w:val="auto"/>
          <w:highlight w:val="none"/>
        </w:rPr>
        <w:tab/>
      </w:r>
      <w:r>
        <w:rPr>
          <w:color w:val="auto"/>
          <w:highlight w:val="none"/>
        </w:rPr>
        <w:fldChar w:fldCharType="begin"/>
      </w:r>
      <w:r>
        <w:rPr>
          <w:color w:val="auto"/>
          <w:highlight w:val="none"/>
        </w:rPr>
        <w:instrText xml:space="preserve"> PAGEREF _Toc80006199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2.招标文件</w:t>
      </w:r>
      <w:r>
        <w:rPr>
          <w:color w:val="auto"/>
          <w:highlight w:val="none"/>
        </w:rPr>
        <w:tab/>
      </w:r>
      <w:r>
        <w:rPr>
          <w:color w:val="auto"/>
          <w:highlight w:val="none"/>
        </w:rPr>
        <w:fldChar w:fldCharType="begin"/>
      </w:r>
      <w:r>
        <w:rPr>
          <w:color w:val="auto"/>
          <w:highlight w:val="none"/>
        </w:rPr>
        <w:instrText xml:space="preserve"> PAGEREF _Toc80006200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3.投标文件</w:t>
      </w:r>
      <w:r>
        <w:rPr>
          <w:color w:val="auto"/>
          <w:highlight w:val="none"/>
        </w:rPr>
        <w:tab/>
      </w:r>
      <w:r>
        <w:rPr>
          <w:color w:val="auto"/>
          <w:highlight w:val="none"/>
        </w:rPr>
        <w:fldChar w:fldCharType="begin"/>
      </w:r>
      <w:r>
        <w:rPr>
          <w:color w:val="auto"/>
          <w:highlight w:val="none"/>
        </w:rPr>
        <w:instrText xml:space="preserve"> PAGEREF _Toc80006201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4.投标</w:t>
      </w:r>
      <w:r>
        <w:rPr>
          <w:color w:val="auto"/>
          <w:highlight w:val="none"/>
        </w:rPr>
        <w:tab/>
      </w:r>
      <w:r>
        <w:rPr>
          <w:color w:val="auto"/>
          <w:highlight w:val="none"/>
        </w:rPr>
        <w:fldChar w:fldCharType="begin"/>
      </w:r>
      <w:r>
        <w:rPr>
          <w:color w:val="auto"/>
          <w:highlight w:val="none"/>
        </w:rPr>
        <w:instrText xml:space="preserve"> PAGEREF _Toc80006202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5.开标</w:t>
      </w:r>
      <w:r>
        <w:rPr>
          <w:color w:val="auto"/>
          <w:highlight w:val="none"/>
        </w:rPr>
        <w:tab/>
      </w:r>
      <w:r>
        <w:rPr>
          <w:color w:val="auto"/>
          <w:highlight w:val="none"/>
        </w:rPr>
        <w:fldChar w:fldCharType="begin"/>
      </w:r>
      <w:r>
        <w:rPr>
          <w:color w:val="auto"/>
          <w:highlight w:val="none"/>
        </w:rPr>
        <w:instrText xml:space="preserve"> PAGEREF _Toc80006203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6.评标</w:t>
      </w:r>
      <w:r>
        <w:rPr>
          <w:color w:val="auto"/>
          <w:highlight w:val="none"/>
        </w:rPr>
        <w:tab/>
      </w:r>
      <w:r>
        <w:rPr>
          <w:color w:val="auto"/>
          <w:highlight w:val="none"/>
        </w:rPr>
        <w:fldChar w:fldCharType="begin"/>
      </w:r>
      <w:r>
        <w:rPr>
          <w:color w:val="auto"/>
          <w:highlight w:val="none"/>
        </w:rPr>
        <w:instrText xml:space="preserve"> PAGEREF _Toc80006204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7.合同授予</w:t>
      </w:r>
      <w:r>
        <w:rPr>
          <w:color w:val="auto"/>
          <w:highlight w:val="none"/>
        </w:rPr>
        <w:tab/>
      </w:r>
      <w:r>
        <w:rPr>
          <w:color w:val="auto"/>
          <w:highlight w:val="none"/>
        </w:rPr>
        <w:fldChar w:fldCharType="begin"/>
      </w:r>
      <w:r>
        <w:rPr>
          <w:color w:val="auto"/>
          <w:highlight w:val="none"/>
        </w:rPr>
        <w:instrText xml:space="preserve"> PAGEREF _Toc80006205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8.重新招标和不再招标</w:t>
      </w:r>
      <w:r>
        <w:rPr>
          <w:color w:val="auto"/>
          <w:highlight w:val="none"/>
        </w:rPr>
        <w:tab/>
      </w:r>
      <w:r>
        <w:rPr>
          <w:color w:val="auto"/>
          <w:highlight w:val="none"/>
        </w:rPr>
        <w:fldChar w:fldCharType="begin"/>
      </w:r>
      <w:r>
        <w:rPr>
          <w:color w:val="auto"/>
          <w:highlight w:val="none"/>
        </w:rPr>
        <w:instrText xml:space="preserve"> PAGEREF _Toc80006206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9.纪律和监督</w:t>
      </w:r>
      <w:r>
        <w:rPr>
          <w:color w:val="auto"/>
          <w:highlight w:val="none"/>
        </w:rPr>
        <w:tab/>
      </w:r>
      <w:r>
        <w:rPr>
          <w:color w:val="auto"/>
          <w:highlight w:val="none"/>
        </w:rPr>
        <w:fldChar w:fldCharType="begin"/>
      </w:r>
      <w:r>
        <w:rPr>
          <w:color w:val="auto"/>
          <w:highlight w:val="none"/>
        </w:rPr>
        <w:instrText xml:space="preserve"> PAGEREF _Toc80006207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_Toc80006208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第三章  评标办法（经评审的最低投标价法）</w:t>
      </w:r>
      <w:r>
        <w:rPr>
          <w:color w:val="auto"/>
          <w:highlight w:val="none"/>
        </w:rPr>
        <w:tab/>
      </w:r>
      <w:r>
        <w:rPr>
          <w:color w:val="auto"/>
          <w:highlight w:val="none"/>
        </w:rPr>
        <w:fldChar w:fldCharType="begin"/>
      </w:r>
      <w:r>
        <w:rPr>
          <w:color w:val="auto"/>
          <w:highlight w:val="none"/>
        </w:rPr>
        <w:instrText xml:space="preserve"> PAGEREF _Toc80006209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1.评审标准</w:t>
      </w:r>
      <w:r>
        <w:rPr>
          <w:color w:val="auto"/>
          <w:highlight w:val="none"/>
        </w:rPr>
        <w:tab/>
      </w:r>
      <w:r>
        <w:rPr>
          <w:color w:val="auto"/>
          <w:highlight w:val="none"/>
        </w:rPr>
        <w:fldChar w:fldCharType="begin"/>
      </w:r>
      <w:r>
        <w:rPr>
          <w:color w:val="auto"/>
          <w:highlight w:val="none"/>
        </w:rPr>
        <w:instrText xml:space="preserve"> PAGEREF _Toc80006210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2.评审程序</w:t>
      </w:r>
      <w:r>
        <w:rPr>
          <w:color w:val="auto"/>
          <w:highlight w:val="none"/>
        </w:rPr>
        <w:tab/>
      </w:r>
      <w:r>
        <w:rPr>
          <w:color w:val="auto"/>
          <w:highlight w:val="none"/>
        </w:rPr>
        <w:fldChar w:fldCharType="begin"/>
      </w:r>
      <w:r>
        <w:rPr>
          <w:color w:val="auto"/>
          <w:highlight w:val="none"/>
        </w:rPr>
        <w:instrText xml:space="preserve"> PAGEREF _Toc80006211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3.评标结果</w:t>
      </w:r>
      <w:r>
        <w:rPr>
          <w:color w:val="auto"/>
          <w:highlight w:val="none"/>
        </w:rPr>
        <w:tab/>
      </w:r>
      <w:r>
        <w:rPr>
          <w:color w:val="auto"/>
          <w:highlight w:val="none"/>
        </w:rPr>
        <w:fldChar w:fldCharType="begin"/>
      </w:r>
      <w:r>
        <w:rPr>
          <w:color w:val="auto"/>
          <w:highlight w:val="none"/>
        </w:rPr>
        <w:instrText xml:space="preserve"> PAGEREF _Toc80006212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_Toc80006213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1.评审标准</w:t>
      </w:r>
      <w:r>
        <w:rPr>
          <w:color w:val="auto"/>
          <w:highlight w:val="none"/>
        </w:rPr>
        <w:tab/>
      </w:r>
      <w:r>
        <w:rPr>
          <w:color w:val="auto"/>
          <w:highlight w:val="none"/>
        </w:rPr>
        <w:fldChar w:fldCharType="begin"/>
      </w:r>
      <w:r>
        <w:rPr>
          <w:color w:val="auto"/>
          <w:highlight w:val="none"/>
        </w:rPr>
        <w:instrText xml:space="preserve"> PAGEREF _Toc80006214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2.评审程序</w:t>
      </w:r>
      <w:r>
        <w:rPr>
          <w:color w:val="auto"/>
          <w:highlight w:val="none"/>
        </w:rPr>
        <w:tab/>
      </w:r>
      <w:r>
        <w:rPr>
          <w:color w:val="auto"/>
          <w:highlight w:val="none"/>
        </w:rPr>
        <w:fldChar w:fldCharType="begin"/>
      </w:r>
      <w:r>
        <w:rPr>
          <w:color w:val="auto"/>
          <w:highlight w:val="none"/>
        </w:rPr>
        <w:instrText xml:space="preserve"> PAGEREF _Toc80006215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3.评标结果</w:t>
      </w:r>
      <w:r>
        <w:rPr>
          <w:color w:val="auto"/>
          <w:highlight w:val="none"/>
        </w:rPr>
        <w:tab/>
      </w:r>
      <w:r>
        <w:rPr>
          <w:color w:val="auto"/>
          <w:highlight w:val="none"/>
        </w:rPr>
        <w:fldChar w:fldCharType="begin"/>
      </w:r>
      <w:r>
        <w:rPr>
          <w:color w:val="auto"/>
          <w:highlight w:val="none"/>
        </w:rPr>
        <w:instrText xml:space="preserve"> PAGEREF _Toc80006216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"_Toc80006217"</w:instrText>
      </w:r>
      <w:r>
        <w:rPr>
          <w:rStyle w:val="46"/>
          <w:color w:val="auto"/>
          <w:highlight w:val="none"/>
        </w:rPr>
        <w:instrText xml:space="preserve"> </w:instrText>
      </w:r>
      <w:r>
        <w:rPr>
          <w:color w:val="auto"/>
          <w:highlight w:val="none"/>
        </w:rPr>
        <w:fldChar w:fldCharType="separate"/>
      </w:r>
      <w:r>
        <w:rPr>
          <w:rStyle w:val="46"/>
          <w:rFonts w:ascii="黑体" w:hAnsi="黑体" w:eastAsia="黑体" w:cs="黑体"/>
          <w:color w:val="auto"/>
          <w:highlight w:val="none"/>
        </w:rPr>
        <w:t>附件3-2“评定分离”工作规则</w:t>
      </w:r>
      <w:r>
        <w:rPr>
          <w:color w:val="auto"/>
          <w:highlight w:val="none"/>
        </w:rPr>
        <w:tab/>
      </w:r>
      <w:r>
        <w:rPr>
          <w:color w:val="auto"/>
          <w:highlight w:val="none"/>
        </w:rPr>
        <w:fldChar w:fldCharType="begin"/>
      </w:r>
      <w:r>
        <w:rPr>
          <w:color w:val="auto"/>
          <w:highlight w:val="none"/>
        </w:rPr>
        <w:instrText xml:space="preserve"> PAGEREF _Toc80006217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“评定分离”工作规则</w:t>
      </w:r>
      <w:r>
        <w:rPr>
          <w:color w:val="auto"/>
          <w:highlight w:val="none"/>
        </w:rPr>
        <w:tab/>
      </w:r>
      <w:r>
        <w:rPr>
          <w:color w:val="auto"/>
          <w:highlight w:val="none"/>
        </w:rPr>
        <w:fldChar w:fldCharType="begin"/>
      </w:r>
      <w:r>
        <w:rPr>
          <w:color w:val="auto"/>
          <w:highlight w:val="none"/>
        </w:rPr>
        <w:instrText xml:space="preserve"> PAGEREF _Toc80006218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_Toc80006219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第一节 合同协议书</w:t>
      </w:r>
      <w:r>
        <w:rPr>
          <w:color w:val="auto"/>
          <w:highlight w:val="none"/>
        </w:rPr>
        <w:tab/>
      </w:r>
      <w:r>
        <w:rPr>
          <w:color w:val="auto"/>
          <w:highlight w:val="none"/>
        </w:rPr>
        <w:fldChar w:fldCharType="begin"/>
      </w:r>
      <w:r>
        <w:rPr>
          <w:color w:val="auto"/>
          <w:highlight w:val="none"/>
        </w:rPr>
        <w:instrText xml:space="preserve"> PAGEREF _Toc80006220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第二节 通用合同条款</w:t>
      </w:r>
      <w:r>
        <w:rPr>
          <w:color w:val="auto"/>
          <w:highlight w:val="none"/>
        </w:rPr>
        <w:tab/>
      </w:r>
      <w:r>
        <w:rPr>
          <w:color w:val="auto"/>
          <w:highlight w:val="none"/>
        </w:rPr>
        <w:fldChar w:fldCharType="begin"/>
      </w:r>
      <w:r>
        <w:rPr>
          <w:color w:val="auto"/>
          <w:highlight w:val="none"/>
        </w:rPr>
        <w:instrText xml:space="preserve"> PAGEREF _Toc80006221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第三节 专用合同条款</w:t>
      </w:r>
      <w:r>
        <w:rPr>
          <w:color w:val="auto"/>
          <w:highlight w:val="none"/>
        </w:rPr>
        <w:tab/>
      </w:r>
      <w:r>
        <w:rPr>
          <w:color w:val="auto"/>
          <w:highlight w:val="none"/>
        </w:rPr>
        <w:fldChar w:fldCharType="begin"/>
      </w:r>
      <w:r>
        <w:rPr>
          <w:color w:val="auto"/>
          <w:highlight w:val="none"/>
        </w:rPr>
        <w:instrText xml:space="preserve"> PAGEREF _Toc80006222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_Toc80006223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1.工程量清单说明</w:t>
      </w:r>
      <w:r>
        <w:rPr>
          <w:color w:val="auto"/>
          <w:highlight w:val="none"/>
        </w:rPr>
        <w:tab/>
      </w:r>
      <w:r>
        <w:rPr>
          <w:color w:val="auto"/>
          <w:highlight w:val="none"/>
        </w:rPr>
        <w:fldChar w:fldCharType="begin"/>
      </w:r>
      <w:r>
        <w:rPr>
          <w:color w:val="auto"/>
          <w:highlight w:val="none"/>
        </w:rPr>
        <w:instrText xml:space="preserve"> PAGEREF _Toc80006224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2.最高投标限价编制说明及公布内容</w:t>
      </w:r>
      <w:r>
        <w:rPr>
          <w:color w:val="auto"/>
          <w:highlight w:val="none"/>
        </w:rPr>
        <w:tab/>
      </w:r>
      <w:r>
        <w:rPr>
          <w:color w:val="auto"/>
          <w:highlight w:val="none"/>
        </w:rPr>
        <w:fldChar w:fldCharType="begin"/>
      </w:r>
      <w:r>
        <w:rPr>
          <w:color w:val="auto"/>
          <w:highlight w:val="none"/>
        </w:rPr>
        <w:instrText xml:space="preserve"> PAGEREF _Toc80006225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3.投标报价说明</w:t>
      </w:r>
      <w:r>
        <w:rPr>
          <w:color w:val="auto"/>
          <w:highlight w:val="none"/>
        </w:rPr>
        <w:tab/>
      </w:r>
      <w:r>
        <w:rPr>
          <w:color w:val="auto"/>
          <w:highlight w:val="none"/>
        </w:rPr>
        <w:fldChar w:fldCharType="begin"/>
      </w:r>
      <w:r>
        <w:rPr>
          <w:color w:val="auto"/>
          <w:highlight w:val="none"/>
        </w:rPr>
        <w:instrText xml:space="preserve"> PAGEREF _Toc80006226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4.其他说明</w:t>
      </w:r>
      <w:r>
        <w:rPr>
          <w:color w:val="auto"/>
          <w:highlight w:val="none"/>
        </w:rPr>
        <w:tab/>
      </w:r>
      <w:r>
        <w:rPr>
          <w:color w:val="auto"/>
          <w:highlight w:val="none"/>
        </w:rPr>
        <w:fldChar w:fldCharType="begin"/>
      </w:r>
      <w:r>
        <w:rPr>
          <w:color w:val="auto"/>
          <w:highlight w:val="none"/>
        </w:rPr>
        <w:instrText xml:space="preserve"> PAGEREF _Toc80006227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5.工程量清单（另册）</w:t>
      </w:r>
      <w:r>
        <w:rPr>
          <w:color w:val="auto"/>
          <w:highlight w:val="none"/>
        </w:rPr>
        <w:tab/>
      </w:r>
      <w:r>
        <w:rPr>
          <w:color w:val="auto"/>
          <w:highlight w:val="none"/>
        </w:rPr>
        <w:fldChar w:fldCharType="begin"/>
      </w:r>
      <w:r>
        <w:rPr>
          <w:color w:val="auto"/>
          <w:highlight w:val="none"/>
        </w:rPr>
        <w:instrText xml:space="preserve"> PAGEREF _Toc80006228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  二  卷</w:t>
      </w:r>
      <w:r>
        <w:rPr>
          <w:color w:val="auto"/>
          <w:highlight w:val="none"/>
        </w:rPr>
        <w:tab/>
      </w:r>
      <w:r>
        <w:rPr>
          <w:color w:val="auto"/>
          <w:highlight w:val="none"/>
        </w:rPr>
        <w:fldChar w:fldCharType="begin"/>
      </w:r>
      <w:r>
        <w:rPr>
          <w:color w:val="auto"/>
          <w:highlight w:val="none"/>
        </w:rPr>
        <w:instrText xml:space="preserve"> PAGEREF _Toc80006229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第六章  图  纸（另册）</w:t>
      </w:r>
      <w:r>
        <w:rPr>
          <w:color w:val="auto"/>
          <w:highlight w:val="none"/>
        </w:rPr>
        <w:tab/>
      </w:r>
      <w:r>
        <w:rPr>
          <w:color w:val="auto"/>
          <w:highlight w:val="none"/>
        </w:rPr>
        <w:fldChar w:fldCharType="begin"/>
      </w:r>
      <w:r>
        <w:rPr>
          <w:color w:val="auto"/>
          <w:highlight w:val="none"/>
        </w:rPr>
        <w:instrText xml:space="preserve"> PAGEREF _Toc80006230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"_Toc80006231"</w:instrText>
      </w:r>
      <w:r>
        <w:rPr>
          <w:rStyle w:val="46"/>
          <w:color w:val="auto"/>
          <w:highlight w:val="none"/>
        </w:rPr>
        <w:instrText xml:space="preserve"> </w:instrText>
      </w:r>
      <w:r>
        <w:rPr>
          <w:color w:val="auto"/>
          <w:highlight w:val="none"/>
        </w:rPr>
        <w:fldChar w:fldCharType="separate"/>
      </w:r>
      <w:r>
        <w:rPr>
          <w:rStyle w:val="46"/>
          <w:color w:val="auto"/>
          <w:highlight w:val="none"/>
        </w:rPr>
        <w:t>1. 图纸目录</w:t>
      </w:r>
      <w:r>
        <w:rPr>
          <w:color w:val="auto"/>
          <w:highlight w:val="none"/>
        </w:rPr>
        <w:tab/>
      </w:r>
      <w:r>
        <w:rPr>
          <w:color w:val="auto"/>
          <w:highlight w:val="none"/>
        </w:rPr>
        <w:fldChar w:fldCharType="begin"/>
      </w:r>
      <w:r>
        <w:rPr>
          <w:color w:val="auto"/>
          <w:highlight w:val="none"/>
        </w:rPr>
        <w:instrText xml:space="preserve"> PAGEREF _Toc80006231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  三  卷</w:t>
      </w:r>
      <w:r>
        <w:rPr>
          <w:color w:val="auto"/>
          <w:highlight w:val="none"/>
        </w:rPr>
        <w:tab/>
      </w:r>
      <w:r>
        <w:rPr>
          <w:color w:val="auto"/>
          <w:highlight w:val="none"/>
        </w:rPr>
        <w:fldChar w:fldCharType="begin"/>
      </w:r>
      <w:r>
        <w:rPr>
          <w:color w:val="auto"/>
          <w:highlight w:val="none"/>
        </w:rPr>
        <w:instrText xml:space="preserve"> PAGEREF _Toc80006232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_Toc80006233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第一节 一般要求</w:t>
      </w:r>
      <w:r>
        <w:rPr>
          <w:color w:val="auto"/>
          <w:highlight w:val="none"/>
        </w:rPr>
        <w:tab/>
      </w:r>
      <w:r>
        <w:rPr>
          <w:color w:val="auto"/>
          <w:highlight w:val="none"/>
        </w:rPr>
        <w:fldChar w:fldCharType="begin"/>
      </w:r>
      <w:r>
        <w:rPr>
          <w:color w:val="auto"/>
          <w:highlight w:val="none"/>
        </w:rPr>
        <w:instrText xml:space="preserve"> PAGEREF _Toc80006234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"_Toc80006251"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第二节  特殊技术标准和要求</w:t>
      </w:r>
      <w:r>
        <w:rPr>
          <w:color w:val="auto"/>
          <w:highlight w:val="none"/>
        </w:rPr>
        <w:tab/>
      </w:r>
      <w:r>
        <w:rPr>
          <w:color w:val="auto"/>
          <w:highlight w:val="none"/>
        </w:rPr>
        <w:fldChar w:fldCharType="begin"/>
      </w:r>
      <w:r>
        <w:rPr>
          <w:color w:val="auto"/>
          <w:highlight w:val="none"/>
        </w:rPr>
        <w:instrText xml:space="preserve"> PAGEREF _Toc80006251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"_Toc80006257"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第三节  适用的国家、行业以及地方规范、标准和规程</w:t>
      </w:r>
      <w:r>
        <w:rPr>
          <w:color w:val="auto"/>
          <w:highlight w:val="none"/>
        </w:rPr>
        <w:tab/>
      </w:r>
      <w:r>
        <w:rPr>
          <w:color w:val="auto"/>
          <w:highlight w:val="none"/>
        </w:rPr>
        <w:fldChar w:fldCharType="begin"/>
      </w:r>
      <w:r>
        <w:rPr>
          <w:color w:val="auto"/>
          <w:highlight w:val="none"/>
        </w:rPr>
        <w:instrText xml:space="preserve"> PAGEREF _Toc80006257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"_Toc80006258"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  四  卷</w:t>
      </w:r>
      <w:r>
        <w:rPr>
          <w:color w:val="auto"/>
          <w:highlight w:val="none"/>
        </w:rPr>
        <w:tab/>
      </w:r>
      <w:r>
        <w:rPr>
          <w:color w:val="auto"/>
          <w:highlight w:val="none"/>
        </w:rPr>
        <w:fldChar w:fldCharType="begin"/>
      </w:r>
      <w:r>
        <w:rPr>
          <w:color w:val="auto"/>
          <w:highlight w:val="none"/>
        </w:rPr>
        <w:instrText xml:space="preserve"> PAGEREF _Toc80006258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"_Toc80006259"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_Toc80006259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第一节 投标函格式</w:t>
      </w:r>
      <w:r>
        <w:rPr>
          <w:color w:val="auto"/>
          <w:highlight w:val="none"/>
        </w:rPr>
        <w:tab/>
      </w:r>
      <w:r>
        <w:rPr>
          <w:color w:val="auto"/>
          <w:highlight w:val="none"/>
        </w:rPr>
        <w:fldChar w:fldCharType="begin"/>
      </w:r>
      <w:r>
        <w:rPr>
          <w:color w:val="auto"/>
          <w:highlight w:val="none"/>
        </w:rPr>
        <w:instrText xml:space="preserve"> PAGEREF _Toc80006260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_Toc80006261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1.投标函及投标函附录</w:t>
      </w:r>
      <w:r>
        <w:rPr>
          <w:color w:val="auto"/>
          <w:highlight w:val="none"/>
        </w:rPr>
        <w:tab/>
      </w:r>
      <w:r>
        <w:rPr>
          <w:color w:val="auto"/>
          <w:highlight w:val="none"/>
        </w:rPr>
        <w:fldChar w:fldCharType="begin"/>
      </w:r>
      <w:r>
        <w:rPr>
          <w:color w:val="auto"/>
          <w:highlight w:val="none"/>
        </w:rPr>
        <w:instrText xml:space="preserve"> PAGEREF _Toc80006262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2.法定代表人身份证明</w:t>
      </w:r>
      <w:r>
        <w:rPr>
          <w:color w:val="auto"/>
          <w:highlight w:val="none"/>
        </w:rPr>
        <w:tab/>
      </w:r>
      <w:r>
        <w:rPr>
          <w:color w:val="auto"/>
          <w:highlight w:val="none"/>
        </w:rPr>
        <w:fldChar w:fldCharType="begin"/>
      </w:r>
      <w:r>
        <w:rPr>
          <w:color w:val="auto"/>
          <w:highlight w:val="none"/>
        </w:rPr>
        <w:instrText xml:space="preserve"> PAGEREF _Toc80006263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3.授权委托书</w:t>
      </w:r>
      <w:r>
        <w:rPr>
          <w:color w:val="auto"/>
          <w:highlight w:val="none"/>
        </w:rPr>
        <w:tab/>
      </w:r>
      <w:r>
        <w:rPr>
          <w:color w:val="auto"/>
          <w:highlight w:val="none"/>
        </w:rPr>
        <w:fldChar w:fldCharType="begin"/>
      </w:r>
      <w:r>
        <w:rPr>
          <w:color w:val="auto"/>
          <w:highlight w:val="none"/>
        </w:rPr>
        <w:instrText xml:space="preserve"> PAGEREF _Toc80006264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4.</w:t>
      </w:r>
      <w:r>
        <w:rPr>
          <w:rStyle w:val="46"/>
          <w:rFonts w:hint="eastAsia" w:eastAsia="黑体"/>
          <w:color w:val="auto"/>
          <w:highlight w:val="none"/>
          <w:lang w:eastAsia="zh-CN"/>
        </w:rPr>
        <w:t>共同投标协议</w:t>
      </w:r>
      <w:r>
        <w:rPr>
          <w:rStyle w:val="46"/>
          <w:rFonts w:ascii="黑体" w:hAnsi="黑体" w:eastAsia="黑体"/>
          <w:color w:val="auto"/>
          <w:highlight w:val="none"/>
        </w:rPr>
        <w:t>（</w:t>
      </w:r>
      <w:r>
        <w:rPr>
          <w:rStyle w:val="46"/>
          <w:rFonts w:ascii="黑体" w:hAnsi="黑体" w:eastAsia="黑体"/>
          <w:color w:val="auto"/>
          <w:sz w:val="24"/>
          <w:highlight w:val="none"/>
        </w:rPr>
        <w:sym w:font="Wingdings 2" w:char="00A3"/>
      </w:r>
      <w:r>
        <w:rPr>
          <w:rStyle w:val="46"/>
          <w:rFonts w:ascii="黑体" w:hAnsi="黑体" w:eastAsia="黑体"/>
          <w:color w:val="auto"/>
          <w:highlight w:val="none"/>
        </w:rPr>
        <w:t>联合体投标适用）</w:t>
      </w:r>
      <w:r>
        <w:rPr>
          <w:color w:val="auto"/>
          <w:highlight w:val="none"/>
        </w:rPr>
        <w:tab/>
      </w:r>
      <w:r>
        <w:rPr>
          <w:color w:val="auto"/>
          <w:highlight w:val="none"/>
        </w:rPr>
        <w:fldChar w:fldCharType="begin"/>
      </w:r>
      <w:r>
        <w:rPr>
          <w:color w:val="auto"/>
          <w:highlight w:val="none"/>
        </w:rPr>
        <w:instrText xml:space="preserve"> PAGEREF _Toc80006265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5.投标保证</w:t>
      </w:r>
      <w:r>
        <w:rPr>
          <w:color w:val="auto"/>
          <w:highlight w:val="none"/>
        </w:rPr>
        <w:tab/>
      </w:r>
      <w:r>
        <w:rPr>
          <w:color w:val="auto"/>
          <w:highlight w:val="none"/>
        </w:rPr>
        <w:fldChar w:fldCharType="begin"/>
      </w:r>
      <w:r>
        <w:rPr>
          <w:color w:val="auto"/>
          <w:highlight w:val="none"/>
        </w:rPr>
        <w:instrText xml:space="preserve"> PAGEREF _Toc80006266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6.项目管理机构</w:t>
      </w:r>
      <w:r>
        <w:rPr>
          <w:color w:val="auto"/>
          <w:highlight w:val="none"/>
        </w:rPr>
        <w:tab/>
      </w:r>
      <w:r>
        <w:rPr>
          <w:color w:val="auto"/>
          <w:highlight w:val="none"/>
        </w:rPr>
        <w:fldChar w:fldCharType="begin"/>
      </w:r>
      <w:r>
        <w:rPr>
          <w:color w:val="auto"/>
          <w:highlight w:val="none"/>
        </w:rPr>
        <w:instrText xml:space="preserve"> PAGEREF _Toc80006267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7.拟分包计划表</w:t>
      </w:r>
      <w:r>
        <w:rPr>
          <w:color w:val="auto"/>
          <w:highlight w:val="none"/>
        </w:rPr>
        <w:tab/>
      </w:r>
      <w:r>
        <w:rPr>
          <w:color w:val="auto"/>
          <w:highlight w:val="none"/>
        </w:rPr>
        <w:fldChar w:fldCharType="begin"/>
      </w:r>
      <w:r>
        <w:rPr>
          <w:color w:val="auto"/>
          <w:highlight w:val="none"/>
        </w:rPr>
        <w:instrText xml:space="preserve"> PAGEREF _Toc80006270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9.企业资信及履约能力（业绩及信用）自评表</w:t>
      </w:r>
      <w:r>
        <w:rPr>
          <w:color w:val="auto"/>
          <w:highlight w:val="none"/>
        </w:rPr>
        <w:tab/>
      </w:r>
      <w:r>
        <w:rPr>
          <w:color w:val="auto"/>
          <w:highlight w:val="none"/>
        </w:rPr>
        <w:fldChar w:fldCharType="begin"/>
      </w:r>
      <w:r>
        <w:rPr>
          <w:color w:val="auto"/>
          <w:highlight w:val="none"/>
        </w:rPr>
        <w:instrText xml:space="preserve"> PAGEREF _Toc80006271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10.承 诺 书</w:t>
      </w:r>
      <w:r>
        <w:rPr>
          <w:color w:val="auto"/>
          <w:highlight w:val="none"/>
        </w:rPr>
        <w:tab/>
      </w:r>
      <w:r>
        <w:rPr>
          <w:color w:val="auto"/>
          <w:highlight w:val="none"/>
        </w:rPr>
        <w:fldChar w:fldCharType="begin"/>
      </w:r>
      <w:r>
        <w:rPr>
          <w:color w:val="auto"/>
          <w:highlight w:val="none"/>
        </w:rPr>
        <w:instrText xml:space="preserve"> PAGEREF _Toc80006272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11.投标信息表</w:t>
      </w:r>
      <w:r>
        <w:rPr>
          <w:color w:val="auto"/>
          <w:highlight w:val="none"/>
        </w:rPr>
        <w:tab/>
      </w:r>
      <w:r>
        <w:rPr>
          <w:color w:val="auto"/>
          <w:highlight w:val="none"/>
        </w:rPr>
        <w:fldChar w:fldCharType="begin"/>
      </w:r>
      <w:r>
        <w:rPr>
          <w:color w:val="auto"/>
          <w:highlight w:val="none"/>
        </w:rPr>
        <w:instrText xml:space="preserve"> PAGEREF _Toc80006273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12.其他</w:t>
      </w:r>
      <w:r>
        <w:rPr>
          <w:color w:val="auto"/>
          <w:highlight w:val="none"/>
        </w:rPr>
        <w:tab/>
      </w:r>
      <w:r>
        <w:rPr>
          <w:color w:val="auto"/>
          <w:highlight w:val="none"/>
        </w:rPr>
        <w:fldChar w:fldCharType="begin"/>
      </w:r>
      <w:r>
        <w:rPr>
          <w:color w:val="auto"/>
          <w:highlight w:val="none"/>
        </w:rPr>
        <w:instrText xml:space="preserve"> PAGEREF _Toc80006274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第二节 投标报价格式</w:t>
      </w:r>
      <w:r>
        <w:rPr>
          <w:color w:val="auto"/>
          <w:highlight w:val="none"/>
        </w:rPr>
        <w:tab/>
      </w:r>
      <w:r>
        <w:rPr>
          <w:color w:val="auto"/>
          <w:highlight w:val="none"/>
        </w:rPr>
        <w:fldChar w:fldCharType="begin"/>
      </w:r>
      <w:r>
        <w:rPr>
          <w:color w:val="auto"/>
          <w:highlight w:val="none"/>
        </w:rPr>
        <w:instrText xml:space="preserve"> PAGEREF _Toc80006275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_Toc80006276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1.已标价工程量清单内容</w:t>
      </w:r>
      <w:r>
        <w:rPr>
          <w:color w:val="auto"/>
          <w:highlight w:val="none"/>
        </w:rPr>
        <w:tab/>
      </w:r>
      <w:r>
        <w:rPr>
          <w:color w:val="auto"/>
          <w:highlight w:val="none"/>
        </w:rPr>
        <w:fldChar w:fldCharType="begin"/>
      </w:r>
      <w:r>
        <w:rPr>
          <w:color w:val="auto"/>
          <w:highlight w:val="none"/>
        </w:rPr>
        <w:instrText xml:space="preserve"> PAGEREF _Toc80006277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2.已标价工程量清单格式</w:t>
      </w:r>
      <w:r>
        <w:rPr>
          <w:color w:val="auto"/>
          <w:highlight w:val="none"/>
        </w:rPr>
        <w:tab/>
      </w:r>
      <w:r>
        <w:rPr>
          <w:color w:val="auto"/>
          <w:highlight w:val="none"/>
        </w:rPr>
        <w:fldChar w:fldCharType="begin"/>
      </w:r>
      <w:r>
        <w:rPr>
          <w:color w:val="auto"/>
          <w:highlight w:val="none"/>
        </w:rPr>
        <w:instrText xml:space="preserve"> PAGEREF _Toc80006278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第三节  施工组织设计格式</w:t>
      </w:r>
      <w:r>
        <w:rPr>
          <w:color w:val="auto"/>
          <w:highlight w:val="none"/>
        </w:rPr>
        <w:tab/>
      </w:r>
      <w:r>
        <w:rPr>
          <w:color w:val="auto"/>
          <w:highlight w:val="none"/>
        </w:rPr>
        <w:fldChar w:fldCharType="begin"/>
      </w:r>
      <w:r>
        <w:rPr>
          <w:color w:val="auto"/>
          <w:highlight w:val="none"/>
        </w:rPr>
        <w:instrText xml:space="preserve"> PAGEREF _Toc80006279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"_Toc80006280"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第三节  施工组织设计格式</w:t>
      </w:r>
      <w:r>
        <w:rPr>
          <w:color w:val="auto"/>
          <w:highlight w:val="none"/>
        </w:rPr>
        <w:tab/>
      </w:r>
      <w:r>
        <w:rPr>
          <w:color w:val="auto"/>
          <w:highlight w:val="none"/>
        </w:rPr>
        <w:fldChar w:fldCharType="begin"/>
      </w:r>
      <w:r>
        <w:rPr>
          <w:color w:val="auto"/>
          <w:highlight w:val="none"/>
        </w:rPr>
        <w:instrText xml:space="preserve"> PAGEREF _Toc80006280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pPr>
        <w:rPr>
          <w:color w:val="auto"/>
          <w:highlight w:val="none"/>
        </w:rPr>
      </w:pPr>
      <w:r>
        <w:rPr>
          <w:b/>
          <w:bCs/>
          <w:color w:val="auto"/>
          <w:highlight w:val="none"/>
          <w:lang w:val="zh-CN"/>
        </w:rPr>
        <w:fldChar w:fldCharType="end"/>
      </w:r>
    </w:p>
    <w:p>
      <w:pPr>
        <w:rPr>
          <w:color w:val="auto"/>
          <w:highlight w:val="none"/>
        </w:rPr>
      </w:pPr>
    </w:p>
    <w:p>
      <w:pPr>
        <w:rPr>
          <w:color w:val="auto"/>
          <w:highlight w:val="none"/>
        </w:rPr>
      </w:pPr>
    </w:p>
    <w:p>
      <w:pPr>
        <w:spacing w:line="340" w:lineRule="exact"/>
        <w:ind w:firstLine="437"/>
        <w:rPr>
          <w:color w:val="auto"/>
          <w:sz w:val="24"/>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sz w:val="24"/>
          <w:highlight w:val="none"/>
        </w:rPr>
        <w:fldChar w:fldCharType="end"/>
      </w:r>
    </w:p>
    <w:p>
      <w:pPr>
        <w:spacing w:line="340" w:lineRule="exact"/>
        <w:ind w:firstLine="437"/>
        <w:rPr>
          <w:color w:val="auto"/>
          <w:sz w:val="24"/>
          <w:highlight w:val="none"/>
        </w:rPr>
      </w:pPr>
    </w:p>
    <w:p>
      <w:pPr>
        <w:spacing w:line="340" w:lineRule="exact"/>
        <w:ind w:firstLine="437"/>
        <w:rPr>
          <w:color w:val="auto"/>
          <w:sz w:val="24"/>
          <w:highlight w:val="none"/>
        </w:rPr>
      </w:pPr>
    </w:p>
    <w:p>
      <w:pPr>
        <w:spacing w:line="340" w:lineRule="exact"/>
        <w:ind w:firstLine="437"/>
        <w:rPr>
          <w:rFonts w:eastAsia="黑体"/>
          <w:color w:val="auto"/>
          <w:sz w:val="32"/>
          <w:szCs w:val="32"/>
          <w:highlight w:val="none"/>
        </w:rPr>
      </w:pPr>
      <w:r>
        <w:rPr>
          <w:color w:val="auto"/>
          <w:sz w:val="24"/>
          <w:highlight w:val="none"/>
        </w:rPr>
        <w:br w:type="page"/>
      </w: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pStyle w:val="2"/>
        <w:jc w:val="center"/>
        <w:rPr>
          <w:rFonts w:ascii="Times New Roman" w:hAnsi="Times New Roman" w:eastAsia="黑体"/>
          <w:b w:val="0"/>
          <w:bCs w:val="0"/>
          <w:color w:val="auto"/>
          <w:sz w:val="44"/>
          <w:szCs w:val="44"/>
          <w:highlight w:val="none"/>
        </w:rPr>
      </w:pPr>
      <w:bookmarkStart w:id="2" w:name="_Toc300677959"/>
      <w:bookmarkStart w:id="3" w:name="_Toc80006177"/>
      <w:bookmarkStart w:id="4" w:name="_Toc80006067"/>
      <w:r>
        <w:rPr>
          <w:rFonts w:ascii="Times New Roman" w:hAnsi="Times New Roman" w:eastAsia="黑体"/>
          <w:b w:val="0"/>
          <w:bCs w:val="0"/>
          <w:color w:val="auto"/>
          <w:sz w:val="44"/>
          <w:szCs w:val="44"/>
          <w:highlight w:val="none"/>
        </w:rPr>
        <w:t>第  一  卷</w:t>
      </w:r>
      <w:bookmarkEnd w:id="2"/>
      <w:bookmarkEnd w:id="3"/>
      <w:bookmarkEnd w:id="4"/>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rPr>
          <w:color w:val="auto"/>
          <w:highlight w:val="none"/>
        </w:rPr>
      </w:pPr>
      <w:r>
        <w:rPr>
          <w:rFonts w:eastAsia="黑体"/>
          <w:color w:val="auto"/>
          <w:sz w:val="32"/>
          <w:szCs w:val="32"/>
          <w:highlight w:val="none"/>
        </w:rPr>
        <w:br w:type="page"/>
      </w:r>
      <w:bookmarkStart w:id="5" w:name="_Toc300677960"/>
    </w:p>
    <w:p>
      <w:pPr>
        <w:pStyle w:val="2"/>
        <w:spacing w:before="0" w:after="0"/>
        <w:jc w:val="center"/>
        <w:rPr>
          <w:rFonts w:ascii="Times New Roman" w:hAnsi="Times New Roman" w:eastAsia="黑体"/>
          <w:b w:val="0"/>
          <w:bCs w:val="0"/>
          <w:color w:val="auto"/>
          <w:highlight w:val="none"/>
        </w:rPr>
      </w:pPr>
      <w:bookmarkStart w:id="6" w:name="_Toc80006068"/>
      <w:bookmarkStart w:id="7" w:name="_Toc80006178"/>
      <w:r>
        <w:rPr>
          <w:rFonts w:ascii="Times New Roman" w:hAnsi="Times New Roman" w:eastAsia="黑体"/>
          <w:b w:val="0"/>
          <w:bCs w:val="0"/>
          <w:color w:val="auto"/>
          <w:highlight w:val="none"/>
        </w:rPr>
        <w:t>第一章  招标公告（适用于</w:t>
      </w:r>
      <w:r>
        <w:rPr>
          <w:rFonts w:hint="eastAsia" w:ascii="Times New Roman" w:hAnsi="Times New Roman" w:eastAsia="黑体"/>
          <w:b w:val="0"/>
          <w:bCs w:val="0"/>
          <w:color w:val="auto"/>
          <w:highlight w:val="none"/>
        </w:rPr>
        <w:t>未进行资格预审的</w:t>
      </w:r>
      <w:r>
        <w:rPr>
          <w:rFonts w:ascii="Times New Roman" w:hAnsi="Times New Roman" w:eastAsia="黑体"/>
          <w:b w:val="0"/>
          <w:bCs w:val="0"/>
          <w:color w:val="auto"/>
          <w:highlight w:val="none"/>
        </w:rPr>
        <w:t>公开招标</w:t>
      </w:r>
      <w:r>
        <w:rPr>
          <w:rFonts w:hint="eastAsia" w:ascii="Times New Roman" w:hAnsi="Times New Roman" w:eastAsia="黑体"/>
          <w:b w:val="0"/>
          <w:bCs w:val="0"/>
          <w:color w:val="auto"/>
          <w:highlight w:val="none"/>
        </w:rPr>
        <w:t>项目</w:t>
      </w:r>
      <w:r>
        <w:rPr>
          <w:rFonts w:ascii="Times New Roman" w:hAnsi="Times New Roman" w:eastAsia="黑体"/>
          <w:b w:val="0"/>
          <w:bCs w:val="0"/>
          <w:color w:val="auto"/>
          <w:highlight w:val="none"/>
        </w:rPr>
        <w:t>）</w:t>
      </w:r>
      <w:bookmarkEnd w:id="5"/>
      <w:bookmarkEnd w:id="6"/>
      <w:bookmarkEnd w:id="7"/>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eastAsia="黑体"/>
          <w:color w:val="auto"/>
          <w:sz w:val="28"/>
          <w:highlight w:val="none"/>
        </w:rPr>
        <w:t>（</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施工招标公告</w:t>
      </w:r>
    </w:p>
    <w:p>
      <w:pPr>
        <w:pStyle w:val="3"/>
        <w:spacing w:before="0" w:after="0" w:line="360" w:lineRule="auto"/>
        <w:rPr>
          <w:rFonts w:ascii="Times New Roman" w:hAnsi="Times New Roman" w:eastAsia="黑体"/>
          <w:b w:val="0"/>
          <w:bCs w:val="0"/>
          <w:color w:val="auto"/>
          <w:sz w:val="30"/>
          <w:highlight w:val="none"/>
        </w:rPr>
      </w:pPr>
      <w:bookmarkStart w:id="8" w:name="_Toc300677961"/>
      <w:bookmarkStart w:id="9" w:name="_Toc9178495"/>
      <w:bookmarkStart w:id="10" w:name="_Toc80006179"/>
      <w:bookmarkStart w:id="11" w:name="_Toc80006069"/>
      <w:r>
        <w:rPr>
          <w:rFonts w:ascii="Times New Roman" w:hAnsi="Times New Roman" w:eastAsia="黑体"/>
          <w:b w:val="0"/>
          <w:bCs w:val="0"/>
          <w:color w:val="auto"/>
          <w:sz w:val="30"/>
          <w:highlight w:val="none"/>
        </w:rPr>
        <w:t>1.</w:t>
      </w:r>
      <w:bookmarkEnd w:id="8"/>
      <w:r>
        <w:rPr>
          <w:rFonts w:ascii="Times New Roman" w:hAnsi="Times New Roman" w:eastAsia="黑体"/>
          <w:b w:val="0"/>
          <w:bCs w:val="0"/>
          <w:color w:val="auto"/>
          <w:sz w:val="30"/>
          <w:highlight w:val="none"/>
        </w:rPr>
        <w:t>项目概况</w:t>
      </w:r>
      <w:bookmarkEnd w:id="9"/>
      <w:bookmarkEnd w:id="10"/>
      <w:bookmarkEnd w:id="11"/>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eastAsia="zh-CN"/>
        </w:rPr>
        <w:t>建设单位</w:t>
      </w:r>
      <w:r>
        <w:rPr>
          <w:color w:val="auto"/>
          <w:highlight w:val="none"/>
        </w:rPr>
        <w:t>为</w:t>
      </w:r>
      <w:r>
        <w:rPr>
          <w:color w:val="auto"/>
          <w:highlight w:val="none"/>
          <w:u w:val="single"/>
        </w:rPr>
        <w:t xml:space="preserve">                    </w:t>
      </w:r>
      <w:r>
        <w:rPr>
          <w:color w:val="auto"/>
          <w:highlight w:val="none"/>
        </w:rPr>
        <w:t>，</w:t>
      </w:r>
      <w:r>
        <w:rPr>
          <w:rFonts w:hint="eastAsia"/>
          <w:color w:val="auto"/>
          <w:highlight w:val="none"/>
        </w:rPr>
        <w:t>招标人为</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eastAsia="宋体"/>
          <w:color w:val="auto"/>
          <w:szCs w:val="21"/>
          <w:highlight w:val="none"/>
          <w:lang w:eastAsia="zh-CN"/>
        </w:rPr>
      </w:pPr>
      <w:r>
        <w:rPr>
          <w:color w:val="auto"/>
          <w:highlight w:val="none"/>
        </w:rPr>
        <w:t>1.</w:t>
      </w:r>
      <w:r>
        <w:rPr>
          <w:color w:val="auto"/>
          <w:szCs w:val="21"/>
          <w:highlight w:val="none"/>
        </w:rPr>
        <w:t>2.3  项目基本情况</w:t>
      </w:r>
      <w:r>
        <w:rPr>
          <w:rFonts w:hint="eastAsia"/>
          <w:color w:val="auto"/>
          <w:szCs w:val="21"/>
          <w:highlight w:val="none"/>
          <w:lang w:eastAsia="zh-CN"/>
        </w:rPr>
        <w:t>：</w:t>
      </w:r>
    </w:p>
    <w:p>
      <w:pPr>
        <w:snapToGrid w:val="0"/>
        <w:spacing w:line="360" w:lineRule="auto"/>
        <w:ind w:firstLine="315" w:firstLineChars="150"/>
        <w:rPr>
          <w:rFonts w:ascii="宋体" w:hAnsi="宋体"/>
          <w:color w:val="auto"/>
          <w:szCs w:val="21"/>
          <w:highlight w:val="none"/>
        </w:rPr>
      </w:pP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ascii="宋体" w:hAnsi="宋体"/>
          <w:color w:val="auto"/>
          <w:szCs w:val="21"/>
          <w:highlight w:val="none"/>
        </w:rPr>
        <w:t>等</w:t>
      </w:r>
      <w:r>
        <w:rPr>
          <w:rFonts w:hint="eastAsia" w:ascii="宋体" w:hAnsi="宋体"/>
          <w:color w:val="auto"/>
          <w:szCs w:val="21"/>
          <w:highlight w:val="none"/>
          <w:lang w:val="en-US" w:eastAsia="zh-CN"/>
        </w:rPr>
        <w:t>”</w:t>
      </w:r>
      <w:r>
        <w:rPr>
          <w:rFonts w:hint="eastAsia" w:ascii="宋体" w:hAnsi="宋体"/>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w:t>
      </w:r>
      <w:r>
        <w:rPr>
          <w:rFonts w:hint="eastAsia" w:ascii="宋体" w:hAnsi="宋体"/>
          <w:color w:val="auto"/>
          <w:szCs w:val="21"/>
          <w:highlight w:val="none"/>
          <w:lang w:val="en-US" w:eastAsia="zh-CN"/>
        </w:rPr>
        <w:t>等”</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auto"/>
          <w:szCs w:val="21"/>
          <w:highlight w:val="none"/>
        </w:rPr>
      </w:pPr>
      <w:r>
        <w:rPr>
          <w:color w:val="auto"/>
          <w:szCs w:val="21"/>
          <w:highlight w:val="none"/>
        </w:rPr>
        <w:t xml:space="preserve">1.2.4  </w:t>
      </w:r>
      <w:r>
        <w:rPr>
          <w:rFonts w:hint="eastAsia" w:ascii="宋体" w:hAnsi="宋体"/>
          <w:color w:val="auto"/>
          <w:szCs w:val="21"/>
          <w:highlight w:val="none"/>
        </w:rPr>
        <w:t>标段划分：</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color w:val="auto"/>
          <w:highlight w:val="none"/>
          <w:u w:val="single"/>
        </w:rPr>
        <w:t xml:space="preserve">                    </w:t>
      </w:r>
      <w:bookmarkStart w:id="12" w:name="_Hlk53729196"/>
      <w:r>
        <w:rPr>
          <w:rFonts w:hint="eastAsia" w:ascii="宋体" w:hAnsi="宋体"/>
          <w:color w:val="auto"/>
          <w:szCs w:val="21"/>
          <w:highlight w:val="none"/>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bookmarkEnd w:id="12"/>
      <w:r>
        <w:rPr>
          <w:color w:val="auto"/>
          <w:highlight w:val="none"/>
        </w:rPr>
        <w:t>；</w:t>
      </w:r>
      <w:r>
        <w:rPr>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u w:val="singl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 xml:space="preserve"> ……</w:t>
      </w:r>
    </w:p>
    <w:p>
      <w:pPr>
        <w:snapToGrid w:val="0"/>
        <w:spacing w:line="360" w:lineRule="auto"/>
        <w:ind w:firstLine="315" w:firstLineChars="150"/>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13" w:name="_Toc9178496"/>
      <w:bookmarkStart w:id="14" w:name="_Toc300677963"/>
      <w:bookmarkStart w:id="15" w:name="_Toc80006180"/>
      <w:bookmarkStart w:id="16" w:name="_Toc80006070"/>
      <w:r>
        <w:rPr>
          <w:rFonts w:ascii="Times New Roman" w:hAnsi="Times New Roman" w:eastAsia="黑体"/>
          <w:b w:val="0"/>
          <w:bCs w:val="0"/>
          <w:color w:val="auto"/>
          <w:sz w:val="30"/>
          <w:highlight w:val="none"/>
        </w:rPr>
        <w:t>2.资格要求</w:t>
      </w:r>
      <w:bookmarkEnd w:id="13"/>
      <w:bookmarkEnd w:id="14"/>
      <w:bookmarkEnd w:id="15"/>
      <w:bookmarkEnd w:id="16"/>
    </w:p>
    <w:p>
      <w:pPr>
        <w:spacing w:line="360" w:lineRule="auto"/>
        <w:ind w:firstLine="420" w:firstLineChars="200"/>
        <w:rPr>
          <w:color w:val="auto"/>
          <w:highlight w:val="none"/>
        </w:rPr>
      </w:pPr>
      <w:r>
        <w:rPr>
          <w:color w:val="auto"/>
          <w:highlight w:val="none"/>
        </w:rPr>
        <w:t xml:space="preserve">2.1  具有独立法人资格并依法取得企业营业执照，营业执照处于有效期； </w:t>
      </w:r>
    </w:p>
    <w:p>
      <w:pPr>
        <w:spacing w:line="360" w:lineRule="auto"/>
        <w:ind w:firstLine="420" w:firstLineChars="200"/>
        <w:rPr>
          <w:color w:val="auto"/>
          <w:highlight w:val="none"/>
        </w:rPr>
      </w:pPr>
      <w:r>
        <w:rPr>
          <w:color w:val="auto"/>
          <w:highlight w:val="none"/>
        </w:rPr>
        <w:t>2.2  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color w:val="auto"/>
          <w:highlight w:val="none"/>
        </w:rPr>
        <w:t>2.3  拟任项目经理具备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资格，具备</w:t>
      </w:r>
      <w:r>
        <w:rPr>
          <w:color w:val="auto"/>
          <w:highlight w:val="none"/>
          <w:u w:val="single"/>
        </w:rPr>
        <w:t>项目负责人安全生产考核合格证书</w:t>
      </w:r>
      <w:r>
        <w:rPr>
          <w:color w:val="auto"/>
          <w:highlight w:val="none"/>
        </w:rPr>
        <w:t>；</w:t>
      </w:r>
    </w:p>
    <w:p>
      <w:pPr>
        <w:spacing w:line="360" w:lineRule="auto"/>
        <w:ind w:firstLine="420" w:firstLineChars="200"/>
        <w:rPr>
          <w:color w:val="auto"/>
          <w:highlight w:val="none"/>
          <w:u w:val="single"/>
        </w:rPr>
      </w:pPr>
      <w:r>
        <w:rPr>
          <w:color w:val="auto"/>
          <w:highlight w:val="none"/>
        </w:rPr>
        <w:t>2.</w:t>
      </w:r>
      <w:r>
        <w:rPr>
          <w:rFonts w:hint="eastAsia"/>
          <w:color w:val="auto"/>
          <w:highlight w:val="none"/>
          <w:lang w:val="en-US" w:eastAsia="zh-CN"/>
        </w:rPr>
        <w:t>4</w:t>
      </w:r>
      <w:r>
        <w:rPr>
          <w:color w:val="auto"/>
          <w:highlight w:val="none"/>
        </w:rPr>
        <w:t xml:space="preserve">  本次招标   </w:t>
      </w:r>
      <w:r>
        <w:rPr>
          <w:rFonts w:hint="eastAsia" w:ascii="宋体" w:hAnsi="宋体" w:cs="宋体"/>
          <w:color w:val="auto"/>
          <w:szCs w:val="21"/>
          <w:highlight w:val="none"/>
        </w:rPr>
        <w:sym w:font="Wingdings 2" w:char="00A3"/>
      </w:r>
      <w:r>
        <w:rPr>
          <w:color w:val="auto"/>
          <w:highlight w:val="none"/>
        </w:rPr>
        <w:t>接受联合体投标</w:t>
      </w:r>
      <w:r>
        <w:rPr>
          <w:rFonts w:hint="eastAsia"/>
          <w:color w:val="auto"/>
          <w:highlight w:val="none"/>
        </w:rPr>
        <w:t>，联合体投标的相关要求见投标人须知前附表</w:t>
      </w:r>
    </w:p>
    <w:p>
      <w:pPr>
        <w:spacing w:line="360" w:lineRule="auto"/>
        <w:ind w:firstLine="2100" w:firstLineChars="1000"/>
        <w:rPr>
          <w:color w:val="auto"/>
          <w:highlight w:val="none"/>
        </w:rPr>
      </w:pPr>
      <w:r>
        <w:rPr>
          <w:rFonts w:hint="eastAsia" w:ascii="宋体" w:hAnsi="宋体" w:cs="宋体"/>
          <w:color w:val="auto"/>
          <w:szCs w:val="21"/>
          <w:highlight w:val="none"/>
        </w:rPr>
        <w:sym w:font="Wingdings 2" w:char="00A3"/>
      </w:r>
      <w:r>
        <w:rPr>
          <w:color w:val="auto"/>
          <w:highlight w:val="none"/>
        </w:rPr>
        <w:t>不接受联合体投标</w:t>
      </w:r>
    </w:p>
    <w:p>
      <w:pPr>
        <w:spacing w:line="360" w:lineRule="auto"/>
        <w:ind w:left="199" w:leftChars="95" w:firstLine="210" w:firstLineChars="10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6</w:t>
      </w:r>
      <w:r>
        <w:rPr>
          <w:color w:val="auto"/>
          <w:highlight w:val="none"/>
        </w:rPr>
        <w:t xml:space="preserve"> 类似工程业绩要求：</w:t>
      </w:r>
    </w:p>
    <w:p>
      <w:pPr>
        <w:spacing w:line="360" w:lineRule="auto"/>
        <w:ind w:firstLine="420" w:firstLineChars="200"/>
        <w:rPr>
          <w:color w:val="auto"/>
          <w:highlight w:val="none"/>
        </w:rPr>
      </w:pPr>
      <w:r>
        <w:rPr>
          <w:color w:val="auto"/>
          <w:highlight w:val="none"/>
        </w:rPr>
        <w:t xml:space="preserve">  </w:t>
      </w:r>
      <w:r>
        <w:rPr>
          <w:rFonts w:hint="eastAsia" w:ascii="宋体" w:hAnsi="宋体" w:cs="宋体"/>
          <w:color w:val="auto"/>
          <w:szCs w:val="21"/>
          <w:highlight w:val="none"/>
        </w:rPr>
        <w:sym w:font="Wingdings 2" w:char="00A3"/>
      </w:r>
      <w:r>
        <w:rPr>
          <w:color w:val="auto"/>
          <w:szCs w:val="21"/>
          <w:highlight w:val="none"/>
        </w:rPr>
        <w:t>不要求，</w:t>
      </w:r>
      <w:r>
        <w:rPr>
          <w:color w:val="auto"/>
          <w:highlight w:val="none"/>
        </w:rPr>
        <w:t xml:space="preserve"> </w:t>
      </w:r>
    </w:p>
    <w:p>
      <w:pPr>
        <w:spacing w:line="360" w:lineRule="auto"/>
        <w:ind w:firstLine="630" w:firstLineChars="300"/>
        <w:rPr>
          <w:color w:val="auto"/>
          <w:szCs w:val="21"/>
          <w:highlight w:val="none"/>
        </w:rPr>
      </w:pPr>
      <w:r>
        <w:rPr>
          <w:rFonts w:hint="eastAsia" w:ascii="宋体" w:hAnsi="宋体" w:cs="宋体"/>
          <w:color w:val="auto"/>
          <w:szCs w:val="21"/>
          <w:highlight w:val="none"/>
        </w:rPr>
        <w:sym w:font="Wingdings 2" w:char="00A3"/>
      </w:r>
      <w:r>
        <w:rPr>
          <w:color w:val="auto"/>
          <w:szCs w:val="21"/>
          <w:highlight w:val="none"/>
        </w:rPr>
        <w:t>要求，（由招标人在以下工程业绩中勾选一项）</w:t>
      </w:r>
    </w:p>
    <w:p>
      <w:pPr>
        <w:spacing w:line="360" w:lineRule="auto"/>
        <w:ind w:firstLine="1050" w:firstLineChars="500"/>
        <w:rPr>
          <w:color w:val="auto"/>
          <w:highlight w:val="none"/>
        </w:rPr>
      </w:pPr>
      <w:r>
        <w:rPr>
          <w:rFonts w:hint="eastAsia" w:ascii="宋体" w:hAnsi="宋体" w:cs="宋体"/>
          <w:color w:val="auto"/>
          <w:szCs w:val="21"/>
          <w:highlight w:val="none"/>
        </w:rPr>
        <w:sym w:font="Wingdings 2" w:char="00A3"/>
      </w:r>
      <w:r>
        <w:rPr>
          <w:color w:val="auto"/>
          <w:highlight w:val="none"/>
        </w:rPr>
        <w:t xml:space="preserve">企业承担过1项类似工程； </w:t>
      </w:r>
      <w:r>
        <w:rPr>
          <w:rFonts w:hint="eastAsia" w:ascii="宋体" w:hAnsi="宋体" w:cs="宋体"/>
          <w:color w:val="auto"/>
          <w:szCs w:val="21"/>
          <w:highlight w:val="none"/>
        </w:rPr>
        <w:sym w:font="Wingdings 2" w:char="00A3"/>
      </w:r>
      <w:r>
        <w:rPr>
          <w:color w:val="auto"/>
          <w:szCs w:val="21"/>
          <w:highlight w:val="none"/>
        </w:rPr>
        <w:t xml:space="preserve"> </w:t>
      </w:r>
      <w:r>
        <w:rPr>
          <w:color w:val="auto"/>
          <w:highlight w:val="none"/>
        </w:rPr>
        <w:t xml:space="preserve">拟任项目经理承担过1项类似工程 </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7</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snapToGrid w:val="0"/>
        <w:spacing w:line="460" w:lineRule="exact"/>
        <w:ind w:firstLine="630" w:firstLineChars="300"/>
        <w:rPr>
          <w:color w:val="auto"/>
          <w:highlight w:val="none"/>
        </w:rPr>
      </w:pPr>
      <w:r>
        <w:rPr>
          <w:color w:val="auto"/>
          <w:highlight w:val="none"/>
        </w:rPr>
        <w:t>投标人资格</w:t>
      </w:r>
      <w:r>
        <w:rPr>
          <w:rFonts w:hint="eastAsia"/>
          <w:color w:val="auto"/>
          <w:highlight w:val="none"/>
        </w:rPr>
        <w:t>具体要求</w:t>
      </w:r>
      <w:r>
        <w:rPr>
          <w:color w:val="auto"/>
          <w:highlight w:val="none"/>
        </w:rPr>
        <w:t>详见第二章投标人须知前附表。</w:t>
      </w:r>
    </w:p>
    <w:p>
      <w:pPr>
        <w:pStyle w:val="3"/>
        <w:spacing w:before="0" w:after="0" w:line="360" w:lineRule="auto"/>
        <w:rPr>
          <w:rFonts w:hint="eastAsia" w:ascii="Times New Roman" w:hAnsi="Times New Roman" w:eastAsia="黑体"/>
          <w:b w:val="0"/>
          <w:bCs w:val="0"/>
          <w:color w:val="auto"/>
          <w:sz w:val="30"/>
          <w:highlight w:val="none"/>
        </w:rPr>
      </w:pPr>
      <w:bookmarkStart w:id="17" w:name="_Toc80006071"/>
      <w:bookmarkStart w:id="18" w:name="_Toc9178497"/>
      <w:bookmarkStart w:id="19" w:name="_Toc800061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.资格审查</w:t>
      </w:r>
      <w:bookmarkEnd w:id="17"/>
      <w:bookmarkEnd w:id="18"/>
      <w:bookmarkEnd w:id="19"/>
      <w:r>
        <w:rPr>
          <w:rFonts w:hint="eastAsia" w:ascii="Times New Roman" w:hAnsi="Times New Roman" w:eastAsia="黑体"/>
          <w:b w:val="0"/>
          <w:bCs w:val="0"/>
          <w:color w:val="auto"/>
          <w:sz w:val="30"/>
          <w:highlight w:val="none"/>
        </w:rPr>
        <w:t xml:space="preserve">    </w:t>
      </w:r>
    </w:p>
    <w:p>
      <w:pPr>
        <w:snapToGrid w:val="0"/>
        <w:spacing w:line="360" w:lineRule="auto"/>
        <w:ind w:firstLine="315" w:firstLineChars="150"/>
        <w:rPr>
          <w:rFonts w:hint="eastAsia"/>
          <w:color w:val="auto"/>
          <w:highlight w:val="none"/>
        </w:rPr>
      </w:pPr>
      <w:bookmarkStart w:id="20" w:name="_Toc9178498"/>
      <w:bookmarkStart w:id="21" w:name="_Toc9189272"/>
      <w:bookmarkStart w:id="22" w:name="_Toc9178161"/>
      <w:bookmarkStart w:id="23" w:name="_Toc9178302"/>
      <w:bookmarkStart w:id="24" w:name="_Toc9188856"/>
      <w:bookmarkStart w:id="25" w:name="_Toc21505371"/>
      <w:r>
        <w:rPr>
          <w:rFonts w:hint="eastAsia"/>
          <w:color w:val="auto"/>
          <w:highlight w:val="none"/>
        </w:rPr>
        <w:t>采用</w:t>
      </w:r>
      <w:bookmarkEnd w:id="20"/>
      <w:bookmarkEnd w:id="21"/>
      <w:bookmarkEnd w:id="22"/>
      <w:bookmarkEnd w:id="23"/>
      <w:bookmarkEnd w:id="24"/>
      <w:bookmarkStart w:id="26" w:name="_Toc9178499"/>
      <w:bookmarkStart w:id="27" w:name="_Toc9189273"/>
      <w:bookmarkStart w:id="28" w:name="_Toc9188857"/>
      <w:bookmarkStart w:id="29" w:name="_Toc9178162"/>
      <w:bookmarkStart w:id="30" w:name="_Toc9178303"/>
      <w:r>
        <w:rPr>
          <w:rFonts w:hint="eastAsia"/>
          <w:color w:val="auto"/>
          <w:highlight w:val="none"/>
        </w:rPr>
        <w:t>资格后审方式</w:t>
      </w:r>
      <w:bookmarkEnd w:id="25"/>
      <w:bookmarkEnd w:id="26"/>
      <w:bookmarkEnd w:id="27"/>
      <w:bookmarkEnd w:id="28"/>
      <w:bookmarkEnd w:id="29"/>
      <w:bookmarkEnd w:id="30"/>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31" w:name="_Toc80006182"/>
      <w:bookmarkStart w:id="32" w:name="_Toc80006072"/>
      <w:bookmarkStart w:id="33" w:name="_Toc300677967"/>
      <w:bookmarkStart w:id="34" w:name="_Toc9178500"/>
      <w:r>
        <w:rPr>
          <w:rFonts w:ascii="Times New Roman" w:hAnsi="Times New Roman" w:eastAsia="黑体"/>
          <w:b w:val="0"/>
          <w:bCs w:val="0"/>
          <w:color w:val="auto"/>
          <w:sz w:val="30"/>
          <w:highlight w:val="none"/>
        </w:rPr>
        <w:t>4.评标办法</w:t>
      </w:r>
      <w:bookmarkEnd w:id="31"/>
      <w:bookmarkEnd w:id="32"/>
      <w:bookmarkEnd w:id="33"/>
      <w:bookmarkEnd w:id="34"/>
    </w:p>
    <w:p>
      <w:pPr>
        <w:snapToGrid w:val="0"/>
        <w:spacing w:line="360" w:lineRule="auto"/>
        <w:ind w:firstLine="315" w:firstLineChars="150"/>
        <w:rPr>
          <w:color w:val="auto"/>
          <w:highlight w:val="none"/>
        </w:rPr>
      </w:pPr>
      <w:r>
        <w:rPr>
          <w:rFonts w:hint="eastAsia"/>
          <w:color w:val="auto"/>
          <w:highlight w:val="none"/>
        </w:rPr>
        <w:t>本招标项目采用湘建监督</w:t>
      </w:r>
      <w:r>
        <w:rPr>
          <w:color w:val="auto"/>
          <w:highlight w:val="none"/>
        </w:rPr>
        <w:t>〔</w:t>
      </w:r>
      <w:r>
        <w:rPr>
          <w:rFonts w:hint="eastAsia"/>
          <w:color w:val="auto"/>
          <w:highlight w:val="none"/>
          <w:lang w:val="en-US" w:eastAsia="zh-CN"/>
        </w:rPr>
        <w:t>2024</w:t>
      </w:r>
      <w:r>
        <w:rPr>
          <w:color w:val="auto"/>
          <w:highlight w:val="none"/>
        </w:rPr>
        <w:t>〕</w:t>
      </w:r>
      <w:r>
        <w:rPr>
          <w:rFonts w:hint="eastAsia"/>
          <w:color w:val="auto"/>
          <w:highlight w:val="none"/>
          <w:lang w:val="en-US" w:eastAsia="zh-CN"/>
        </w:rPr>
        <w:t xml:space="preserve">33 </w:t>
      </w:r>
      <w:r>
        <w:rPr>
          <w:rFonts w:hint="eastAsia"/>
          <w:color w:val="auto"/>
          <w:highlight w:val="none"/>
        </w:rPr>
        <w:t>号文件规定的：</w:t>
      </w:r>
      <w:r>
        <w:rPr>
          <w:rFonts w:hint="eastAsia"/>
          <w:color w:val="auto"/>
          <w:highlight w:val="none"/>
        </w:rPr>
        <w:sym w:font="Wingdings 2" w:char="00A3"/>
      </w:r>
      <w:r>
        <w:rPr>
          <w:color w:val="auto"/>
          <w:highlight w:val="none"/>
        </w:rPr>
        <w:t>经评审的最低投标价法；</w:t>
      </w:r>
      <w:r>
        <w:rPr>
          <w:rFonts w:hint="eastAsia"/>
          <w:color w:val="auto"/>
          <w:highlight w:val="none"/>
        </w:rPr>
        <w:sym w:font="Wingdings 2" w:char="00A3"/>
      </w:r>
      <w:r>
        <w:rPr>
          <w:color w:val="auto"/>
          <w:highlight w:val="none"/>
        </w:rPr>
        <w:t>综合评估法。</w:t>
      </w:r>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35" w:name="_Toc80006183"/>
      <w:bookmarkStart w:id="36" w:name="_Toc9178501"/>
      <w:bookmarkStart w:id="37" w:name="_Toc80006073"/>
      <w:bookmarkStart w:id="38" w:name="_Toc300677964"/>
      <w:r>
        <w:rPr>
          <w:rFonts w:ascii="Times New Roman" w:hAnsi="Times New Roman" w:eastAsia="黑体"/>
          <w:b w:val="0"/>
          <w:bCs w:val="0"/>
          <w:color w:val="auto"/>
          <w:sz w:val="30"/>
          <w:highlight w:val="none"/>
        </w:rPr>
        <w:t>5.招标文件的获取</w:t>
      </w:r>
      <w:bookmarkEnd w:id="35"/>
      <w:bookmarkEnd w:id="36"/>
      <w:bookmarkEnd w:id="37"/>
      <w:bookmarkEnd w:id="38"/>
    </w:p>
    <w:p>
      <w:pPr>
        <w:spacing w:line="360" w:lineRule="auto"/>
        <w:ind w:firstLine="420" w:firstLineChars="200"/>
        <w:rPr>
          <w:color w:val="auto"/>
          <w:highlight w:val="none"/>
        </w:rPr>
      </w:pPr>
      <w:r>
        <w:rPr>
          <w:color w:val="auto"/>
          <w:highlight w:val="none"/>
        </w:rPr>
        <w:t>5.1 有投标意愿者，请于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 xml:space="preserve">月 </w:t>
      </w:r>
      <w:r>
        <w:rPr>
          <w:color w:val="auto"/>
          <w:highlight w:val="none"/>
          <w:u w:val="single"/>
        </w:rPr>
        <w:t xml:space="preserve">  </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color w:val="auto"/>
          <w:highlight w:val="none"/>
          <w:u w:val="single"/>
        </w:rPr>
        <w:t xml:space="preserve">  电子招标投标交易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rFonts w:hint="eastAsia"/>
          <w:color w:val="auto"/>
          <w:highlight w:val="none"/>
        </w:rPr>
        <w:t>数据电文形式的</w:t>
      </w:r>
      <w:r>
        <w:rPr>
          <w:color w:val="auto"/>
          <w:highlight w:val="none"/>
        </w:rPr>
        <w:t>招标文件。招标文件包括图纸、工程量清单、最高投标限价、合同条款等。</w:t>
      </w:r>
    </w:p>
    <w:p>
      <w:pPr>
        <w:spacing w:line="360" w:lineRule="auto"/>
        <w:ind w:firstLine="420" w:firstLineChars="200"/>
        <w:rPr>
          <w:color w:val="auto"/>
          <w:highlight w:val="none"/>
        </w:rPr>
      </w:pPr>
      <w:r>
        <w:rPr>
          <w:color w:val="auto"/>
          <w:highlight w:val="none"/>
        </w:rPr>
        <w:t>5.2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pStyle w:val="3"/>
        <w:spacing w:before="0" w:after="0" w:line="360" w:lineRule="auto"/>
        <w:rPr>
          <w:rFonts w:ascii="Times New Roman" w:hAnsi="Times New Roman" w:eastAsia="黑体"/>
          <w:b w:val="0"/>
          <w:bCs w:val="0"/>
          <w:color w:val="auto"/>
          <w:sz w:val="30"/>
          <w:highlight w:val="none"/>
        </w:rPr>
      </w:pPr>
      <w:bookmarkStart w:id="39" w:name="_Toc9178502"/>
      <w:bookmarkStart w:id="40" w:name="_Toc300677966"/>
      <w:r>
        <w:rPr>
          <w:rFonts w:hint="eastAsia" w:ascii="Times New Roman" w:hAnsi="Times New Roman" w:eastAsia="黑体"/>
          <w:b w:val="0"/>
          <w:bCs w:val="0"/>
          <w:color w:val="auto"/>
          <w:sz w:val="30"/>
          <w:highlight w:val="none"/>
        </w:rPr>
        <w:t xml:space="preserve"> </w:t>
      </w:r>
      <w:bookmarkStart w:id="41" w:name="_Toc80006074"/>
      <w:bookmarkStart w:id="42" w:name="_Toc80006184"/>
      <w:r>
        <w:rPr>
          <w:rFonts w:ascii="Times New Roman" w:hAnsi="Times New Roman" w:eastAsia="黑体"/>
          <w:b w:val="0"/>
          <w:bCs w:val="0"/>
          <w:color w:val="auto"/>
          <w:sz w:val="30"/>
          <w:highlight w:val="none"/>
        </w:rPr>
        <w:t>6.投标文件的递交</w:t>
      </w:r>
      <w:bookmarkEnd w:id="39"/>
      <w:bookmarkEnd w:id="40"/>
      <w:bookmarkEnd w:id="41"/>
      <w:bookmarkEnd w:id="42"/>
    </w:p>
    <w:p>
      <w:pPr>
        <w:spacing w:line="360" w:lineRule="auto"/>
        <w:ind w:firstLine="420" w:firstLineChars="200"/>
        <w:rPr>
          <w:color w:val="auto"/>
          <w:highlight w:val="none"/>
        </w:rPr>
      </w:pP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w:t>
      </w:r>
      <w:r>
        <w:rPr>
          <w:rFonts w:hint="eastAsia"/>
          <w:color w:val="auto"/>
          <w:highlight w:val="none"/>
        </w:rPr>
        <w:t>（北京时间，下同）</w:t>
      </w:r>
      <w:r>
        <w:rPr>
          <w:color w:val="auto"/>
          <w:highlight w:val="none"/>
        </w:rPr>
        <w:t>。请投标人登录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pStyle w:val="3"/>
        <w:spacing w:before="0" w:after="0" w:line="360" w:lineRule="auto"/>
        <w:rPr>
          <w:rFonts w:ascii="Times New Roman" w:hAnsi="Times New Roman" w:eastAsia="黑体"/>
          <w:b w:val="0"/>
          <w:bCs w:val="0"/>
          <w:color w:val="auto"/>
          <w:sz w:val="30"/>
          <w:highlight w:val="none"/>
        </w:rPr>
      </w:pPr>
      <w:bookmarkStart w:id="43" w:name="_Toc80006185"/>
      <w:bookmarkStart w:id="44" w:name="_Toc9178503"/>
      <w:bookmarkStart w:id="45" w:name="_Toc300677969"/>
      <w:bookmarkStart w:id="46" w:name="_Toc80006075"/>
      <w:r>
        <w:rPr>
          <w:rFonts w:ascii="Times New Roman" w:hAnsi="Times New Roman" w:eastAsia="黑体"/>
          <w:b w:val="0"/>
          <w:bCs w:val="0"/>
          <w:color w:val="auto"/>
          <w:sz w:val="30"/>
          <w:highlight w:val="none"/>
        </w:rPr>
        <w:t>7.发布公告的媒介</w:t>
      </w:r>
      <w:bookmarkEnd w:id="43"/>
      <w:bookmarkEnd w:id="44"/>
      <w:bookmarkEnd w:id="45"/>
      <w:bookmarkEnd w:id="46"/>
    </w:p>
    <w:p>
      <w:pPr>
        <w:spacing w:line="360" w:lineRule="auto"/>
        <w:ind w:firstLine="420" w:firstLineChars="200"/>
        <w:rPr>
          <w:color w:val="auto"/>
          <w:highlight w:val="none"/>
        </w:rPr>
      </w:pPr>
      <w:r>
        <w:rPr>
          <w:color w:val="auto"/>
          <w:highlight w:val="none"/>
        </w:rPr>
        <w:t>本次招标公告同时在</w:t>
      </w:r>
      <w:r>
        <w:rPr>
          <w:color w:val="auto"/>
          <w:highlight w:val="none"/>
          <w:u w:val="single"/>
        </w:rPr>
        <w:t xml:space="preserve">       发布公告的媒介名称</w:t>
      </w:r>
      <w:r>
        <w:rPr>
          <w:rFonts w:hint="eastAsia"/>
          <w:color w:val="auto"/>
          <w:highlight w:val="none"/>
          <w:u w:val="single"/>
        </w:rPr>
        <w:t xml:space="preserve">  </w:t>
      </w:r>
      <w:r>
        <w:rPr>
          <w:color w:val="auto"/>
          <w:highlight w:val="none"/>
        </w:rPr>
        <w:t>上发布。</w:t>
      </w:r>
    </w:p>
    <w:p>
      <w:pPr>
        <w:spacing w:line="360" w:lineRule="auto"/>
        <w:ind w:firstLine="420" w:firstLineChars="200"/>
        <w:rPr>
          <w:color w:val="auto"/>
          <w:highlight w:val="none"/>
        </w:rPr>
      </w:pPr>
    </w:p>
    <w:p>
      <w:pPr>
        <w:pStyle w:val="3"/>
        <w:spacing w:before="0" w:after="0" w:line="360" w:lineRule="auto"/>
        <w:rPr>
          <w:rFonts w:ascii="Times New Roman" w:hAnsi="Times New Roman" w:eastAsia="黑体"/>
          <w:b w:val="0"/>
          <w:bCs w:val="0"/>
          <w:color w:val="auto"/>
          <w:sz w:val="30"/>
          <w:highlight w:val="none"/>
        </w:rPr>
      </w:pPr>
      <w:bookmarkStart w:id="47" w:name="_Toc80006076"/>
      <w:bookmarkStart w:id="48" w:name="_Toc80006186"/>
      <w:bookmarkStart w:id="49" w:name="_Toc9178504"/>
      <w:bookmarkStart w:id="50" w:name="_Toc300677968"/>
      <w:r>
        <w:rPr>
          <w:rFonts w:ascii="Times New Roman" w:hAnsi="Times New Roman" w:eastAsia="黑体"/>
          <w:b w:val="0"/>
          <w:bCs w:val="0"/>
          <w:color w:val="auto"/>
          <w:sz w:val="30"/>
          <w:highlight w:val="none"/>
        </w:rPr>
        <w:t>8.行政监督</w:t>
      </w:r>
      <w:bookmarkEnd w:id="47"/>
      <w:bookmarkEnd w:id="48"/>
      <w:bookmarkEnd w:id="49"/>
      <w:bookmarkEnd w:id="50"/>
    </w:p>
    <w:p>
      <w:pPr>
        <w:snapToGrid w:val="0"/>
        <w:spacing w:line="360" w:lineRule="auto"/>
        <w:ind w:firstLine="420" w:firstLineChars="200"/>
        <w:rPr>
          <w:color w:val="auto"/>
          <w:szCs w:val="21"/>
          <w:highlight w:val="none"/>
        </w:rPr>
      </w:pPr>
      <w:r>
        <w:rPr>
          <w:color w:val="auto"/>
          <w:szCs w:val="21"/>
          <w:highlight w:val="none"/>
        </w:rPr>
        <w:t>本次招标项目招标投标监督机构为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napToGrid w:val="0"/>
        <w:spacing w:line="360" w:lineRule="auto"/>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51" w:name="_Toc9178505"/>
      <w:bookmarkStart w:id="52" w:name="_Toc300677970"/>
      <w:bookmarkStart w:id="53" w:name="_Toc80006187"/>
      <w:bookmarkStart w:id="54" w:name="_Toc80006077"/>
      <w:r>
        <w:rPr>
          <w:rFonts w:ascii="Times New Roman" w:hAnsi="Times New Roman" w:eastAsia="黑体"/>
          <w:b w:val="0"/>
          <w:bCs w:val="0"/>
          <w:color w:val="auto"/>
          <w:sz w:val="30"/>
          <w:highlight w:val="none"/>
        </w:rPr>
        <w:t>9.其它</w:t>
      </w:r>
      <w:bookmarkEnd w:id="51"/>
      <w:bookmarkEnd w:id="52"/>
      <w:bookmarkEnd w:id="53"/>
      <w:bookmarkEnd w:id="54"/>
    </w:p>
    <w:p>
      <w:pPr>
        <w:snapToGrid w:val="0"/>
        <w:spacing w:line="360" w:lineRule="auto"/>
        <w:ind w:firstLine="420" w:firstLineChars="200"/>
        <w:rPr>
          <w:rFonts w:hint="eastAsia"/>
          <w:color w:val="auto"/>
          <w:szCs w:val="21"/>
          <w:highlight w:val="none"/>
        </w:rPr>
      </w:pPr>
      <w:r>
        <w:rPr>
          <w:rFonts w:hint="eastAsia"/>
          <w:color w:val="auto"/>
          <w:highlight w:val="none"/>
          <w:lang w:val="en-US" w:eastAsia="zh-CN"/>
        </w:rPr>
        <w:t>9.1</w:t>
      </w:r>
      <w:r>
        <w:rPr>
          <w:rFonts w:hint="eastAsia"/>
          <w:color w:val="auto"/>
          <w:highlight w:val="none"/>
        </w:rPr>
        <w:t>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ind w:firstLine="525" w:firstLineChars="25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55" w:name="_Toc300677971"/>
      <w:bookmarkStart w:id="56" w:name="_Toc80006078"/>
      <w:bookmarkStart w:id="57" w:name="_Toc80006188"/>
      <w:bookmarkStart w:id="58" w:name="_Toc9178506"/>
      <w:r>
        <w:rPr>
          <w:rFonts w:ascii="Times New Roman" w:hAnsi="Times New Roman" w:eastAsia="黑体"/>
          <w:b w:val="0"/>
          <w:bCs w:val="0"/>
          <w:color w:val="auto"/>
          <w:sz w:val="30"/>
          <w:highlight w:val="none"/>
        </w:rPr>
        <w:t>10.联系方式</w:t>
      </w:r>
      <w:bookmarkEnd w:id="55"/>
      <w:bookmarkEnd w:id="56"/>
      <w:bookmarkEnd w:id="57"/>
      <w:bookmarkEnd w:id="58"/>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rPr>
        <w:t>。</w:t>
      </w: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color w:val="auto"/>
          <w:highlight w:val="none"/>
        </w:rPr>
        <w:sectPr>
          <w:footerReference r:id="rId4" w:type="first"/>
          <w:footerReference r:id="rId3" w:type="default"/>
          <w:pgSz w:w="11906" w:h="16838"/>
          <w:pgMar w:top="1418" w:right="1418" w:bottom="1418" w:left="1418" w:header="851" w:footer="850" w:gutter="0"/>
          <w:pgNumType w:start="0"/>
          <w:cols w:space="720" w:num="1"/>
          <w:titlePg/>
          <w:docGrid w:linePitch="306" w:charSpace="0"/>
        </w:sect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2"/>
        <w:spacing w:before="0" w:after="0"/>
        <w:jc w:val="center"/>
        <w:rPr>
          <w:rFonts w:hint="eastAsia" w:ascii="Times New Roman" w:hAnsi="Times New Roman" w:eastAsia="黑体"/>
          <w:b w:val="0"/>
          <w:bCs w:val="0"/>
          <w:color w:val="auto"/>
          <w:highlight w:val="none"/>
        </w:rPr>
      </w:pPr>
      <w:bookmarkStart w:id="59" w:name="_Toc300677986"/>
      <w:bookmarkStart w:id="60" w:name="_Toc80006189"/>
      <w:bookmarkStart w:id="61" w:name="_Toc80006079"/>
      <w:r>
        <w:rPr>
          <w:rFonts w:ascii="Times New Roman" w:hAnsi="Times New Roman" w:eastAsia="黑体"/>
          <w:b w:val="0"/>
          <w:bCs w:val="0"/>
          <w:color w:val="auto"/>
          <w:highlight w:val="none"/>
        </w:rPr>
        <w:t>第一章  投标邀请书</w:t>
      </w:r>
      <w:bookmarkEnd w:id="59"/>
      <w:r>
        <w:rPr>
          <w:rFonts w:hint="eastAsia" w:ascii="Times New Roman" w:hAnsi="Times New Roman" w:eastAsia="黑体"/>
          <w:b w:val="0"/>
          <w:bCs w:val="0"/>
          <w:color w:val="auto"/>
          <w:highlight w:val="none"/>
        </w:rPr>
        <w:t>（适用于邀请招标）</w:t>
      </w:r>
      <w:bookmarkEnd w:id="60"/>
      <w:bookmarkEnd w:id="61"/>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eastAsia="黑体"/>
          <w:color w:val="auto"/>
          <w:sz w:val="28"/>
          <w:highlight w:val="none"/>
        </w:rPr>
        <w:t>（</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480" w:lineRule="exact"/>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62" w:name="_Toc9178508"/>
      <w:bookmarkStart w:id="63" w:name="_Toc80006190"/>
      <w:bookmarkStart w:id="64" w:name="_Toc80006080"/>
      <w:r>
        <w:rPr>
          <w:rFonts w:ascii="Times New Roman" w:hAnsi="Times New Roman" w:eastAsia="黑体"/>
          <w:b w:val="0"/>
          <w:bCs w:val="0"/>
          <w:color w:val="auto"/>
          <w:sz w:val="30"/>
          <w:highlight w:val="none"/>
        </w:rPr>
        <w:t>1.项目概况</w:t>
      </w:r>
      <w:bookmarkEnd w:id="62"/>
      <w:bookmarkEnd w:id="63"/>
      <w:bookmarkEnd w:id="64"/>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eastAsia="zh-CN"/>
        </w:rPr>
        <w:t>建设单位</w:t>
      </w:r>
      <w:r>
        <w:rPr>
          <w:color w:val="auto"/>
          <w:highlight w:val="none"/>
        </w:rPr>
        <w:t>为</w:t>
      </w:r>
      <w:r>
        <w:rPr>
          <w:color w:val="auto"/>
          <w:highlight w:val="none"/>
          <w:u w:val="single"/>
        </w:rPr>
        <w:t xml:space="preserve">                    </w:t>
      </w:r>
      <w:r>
        <w:rPr>
          <w:color w:val="auto"/>
          <w:highlight w:val="none"/>
        </w:rPr>
        <w:t>，主要建设内容</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highlight w:val="none"/>
        </w:rPr>
        <w:t>1.</w:t>
      </w:r>
      <w:r>
        <w:rPr>
          <w:color w:val="auto"/>
          <w:szCs w:val="21"/>
          <w:highlight w:val="none"/>
        </w:rPr>
        <w:t>2.3  项目基本情况</w:t>
      </w:r>
    </w:p>
    <w:p>
      <w:pPr>
        <w:snapToGrid w:val="0"/>
        <w:spacing w:line="360" w:lineRule="auto"/>
        <w:ind w:firstLine="315" w:firstLineChars="150"/>
        <w:rPr>
          <w:rFonts w:hint="default" w:eastAsia="宋体"/>
          <w:color w:val="auto"/>
          <w:szCs w:val="21"/>
          <w:highlight w:val="none"/>
          <w:u w:val="single"/>
          <w:lang w:val="en-US" w:eastAsia="zh-CN"/>
        </w:rPr>
      </w:pPr>
      <w:r>
        <w:rPr>
          <w:rFonts w:hint="eastAsia"/>
          <w:color w:val="auto"/>
          <w:szCs w:val="21"/>
          <w:highlight w:val="none"/>
          <w:u w:val="single"/>
          <w:lang w:val="en-US" w:eastAsia="zh-CN"/>
        </w:rPr>
        <w:t xml:space="preserve">                                                                                   </w:t>
      </w:r>
    </w:p>
    <w:p>
      <w:pPr>
        <w:snapToGrid w:val="0"/>
        <w:spacing w:line="360" w:lineRule="auto"/>
        <w:ind w:firstLine="315" w:firstLineChars="150"/>
        <w:rPr>
          <w:color w:val="auto"/>
          <w:szCs w:val="21"/>
          <w:highlight w:val="none"/>
        </w:rPr>
      </w:pPr>
      <w:r>
        <w:rPr>
          <w:color w:val="auto"/>
          <w:szCs w:val="21"/>
          <w:highlight w:val="none"/>
        </w:rPr>
        <w:t>（</w:t>
      </w:r>
      <w:r>
        <w:rPr>
          <w:rFonts w:hint="eastAsia"/>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color w:val="auto"/>
          <w:szCs w:val="21"/>
          <w:highlight w:val="none"/>
        </w:rPr>
        <w:t>等</w:t>
      </w:r>
      <w:r>
        <w:rPr>
          <w:rFonts w:hint="eastAsia"/>
          <w:color w:val="auto"/>
          <w:szCs w:val="21"/>
          <w:highlight w:val="none"/>
          <w:lang w:val="en-US" w:eastAsia="zh-CN"/>
        </w:rPr>
        <w:t>”</w:t>
      </w:r>
      <w:r>
        <w:rPr>
          <w:rFonts w:hint="eastAsia"/>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等</w:t>
      </w:r>
      <w:r>
        <w:rPr>
          <w:color w:val="auto"/>
          <w:szCs w:val="21"/>
          <w:highlight w:val="none"/>
        </w:rPr>
        <w:t>）</w:t>
      </w:r>
    </w:p>
    <w:p>
      <w:pPr>
        <w:spacing w:line="360" w:lineRule="auto"/>
        <w:ind w:firstLine="42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 xml:space="preserve">  工期要求：</w:t>
      </w:r>
      <w:r>
        <w:rPr>
          <w:color w:val="auto"/>
          <w:highlight w:val="none"/>
          <w:u w:val="single"/>
        </w:rPr>
        <w:t xml:space="preserve">                     </w:t>
      </w:r>
      <w:r>
        <w:rPr>
          <w:rFonts w:hint="eastAsia"/>
          <w:color w:val="auto"/>
          <w:highlight w:val="none"/>
        </w:rPr>
        <w:t>□</w:t>
      </w:r>
      <w:r>
        <w:rPr>
          <w:color w:val="auto"/>
          <w:highlight w:val="none"/>
        </w:rPr>
        <w:t>天（日历日</w:t>
      </w:r>
      <w:r>
        <w:rPr>
          <w:rFonts w:hint="eastAsia"/>
          <w:color w:val="auto"/>
          <w:highlight w:val="none"/>
        </w:rPr>
        <w:t>，下同</w:t>
      </w:r>
      <w:r>
        <w:rPr>
          <w:color w:val="auto"/>
          <w:highlight w:val="none"/>
        </w:rPr>
        <w:t>）</w:t>
      </w:r>
      <w:r>
        <w:rPr>
          <w:rFonts w:hint="eastAsia"/>
          <w:color w:val="auto"/>
          <w:highlight w:val="none"/>
        </w:rPr>
        <w:t>□月□年</w:t>
      </w:r>
      <w:r>
        <w:rPr>
          <w:color w:val="auto"/>
          <w:highlight w:val="none"/>
        </w:rPr>
        <w:t>；</w:t>
      </w:r>
    </w:p>
    <w:p>
      <w:pPr>
        <w:spacing w:line="360" w:lineRule="auto"/>
        <w:ind w:firstLine="420" w:firstLineChars="200"/>
        <w:rPr>
          <w:color w:val="auto"/>
          <w:highlight w:val="non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spacing w:line="360" w:lineRule="auto"/>
        <w:ind w:firstLine="420" w:firstLineChars="200"/>
        <w:rPr>
          <w:color w:val="auto"/>
          <w:highlight w:val="none"/>
        </w:rPr>
      </w:pPr>
      <w:r>
        <w:rPr>
          <w:color w:val="auto"/>
          <w:highlight w:val="none"/>
        </w:rPr>
        <w:t>1.</w:t>
      </w:r>
      <w:r>
        <w:rPr>
          <w:rFonts w:hint="eastAsia"/>
          <w:color w:val="auto"/>
          <w:highlight w:val="none"/>
        </w:rPr>
        <w:t>5</w:t>
      </w:r>
      <w:r>
        <w:rPr>
          <w:color w:val="auto"/>
          <w:highlight w:val="none"/>
        </w:rPr>
        <w:t xml:space="preserve">  ……</w:t>
      </w:r>
    </w:p>
    <w:p>
      <w:pPr>
        <w:snapToGrid w:val="0"/>
        <w:spacing w:line="360" w:lineRule="auto"/>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65" w:name="_Toc9178509"/>
      <w:bookmarkStart w:id="66" w:name="_Toc80006191"/>
      <w:bookmarkStart w:id="67" w:name="_Toc80006081"/>
      <w:r>
        <w:rPr>
          <w:rFonts w:ascii="Times New Roman" w:hAnsi="Times New Roman" w:eastAsia="黑体"/>
          <w:b w:val="0"/>
          <w:bCs w:val="0"/>
          <w:color w:val="auto"/>
          <w:sz w:val="30"/>
          <w:highlight w:val="none"/>
        </w:rPr>
        <w:t>2.资格要求</w:t>
      </w:r>
      <w:bookmarkEnd w:id="65"/>
      <w:bookmarkEnd w:id="66"/>
      <w:bookmarkEnd w:id="67"/>
    </w:p>
    <w:p>
      <w:pPr>
        <w:spacing w:line="360" w:lineRule="auto"/>
        <w:ind w:firstLine="420" w:firstLineChars="200"/>
        <w:rPr>
          <w:color w:val="auto"/>
          <w:highlight w:val="none"/>
        </w:rPr>
      </w:pPr>
      <w:r>
        <w:rPr>
          <w:color w:val="auto"/>
          <w:highlight w:val="none"/>
        </w:rPr>
        <w:t xml:space="preserve">2.1  具有独立法人资格并依法取得企业营业执照，营业执照处于有效期； </w:t>
      </w:r>
    </w:p>
    <w:p>
      <w:pPr>
        <w:spacing w:line="360" w:lineRule="auto"/>
        <w:ind w:firstLine="420" w:firstLineChars="200"/>
        <w:rPr>
          <w:color w:val="auto"/>
          <w:highlight w:val="none"/>
        </w:rPr>
      </w:pPr>
      <w:r>
        <w:rPr>
          <w:color w:val="auto"/>
          <w:highlight w:val="none"/>
        </w:rPr>
        <w:t>2.2  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color w:val="auto"/>
          <w:highlight w:val="none"/>
        </w:rPr>
        <w:t>2.3  拟任项目经理具备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资格，具备项目负责人安全生产考核合格证书；</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4</w:t>
      </w:r>
      <w:r>
        <w:rPr>
          <w:color w:val="auto"/>
          <w:highlight w:val="none"/>
        </w:rPr>
        <w:t xml:space="preserve">  本次招标 </w:t>
      </w:r>
      <w:r>
        <w:rPr>
          <w:rFonts w:hint="eastAsia" w:ascii="宋体" w:hAnsi="宋体" w:cs="宋体"/>
          <w:color w:val="auto"/>
          <w:szCs w:val="21"/>
          <w:highlight w:val="none"/>
        </w:rPr>
        <w:sym w:font="Wingdings 2" w:char="00A3"/>
      </w:r>
      <w:r>
        <w:rPr>
          <w:color w:val="auto"/>
          <w:highlight w:val="none"/>
        </w:rPr>
        <w:t>接受联合体投标</w:t>
      </w:r>
      <w:r>
        <w:rPr>
          <w:rFonts w:hint="eastAsia"/>
          <w:color w:val="auto"/>
          <w:highlight w:val="none"/>
        </w:rPr>
        <w:t>，联合体投标的相关要求见投标人须知前附表</w:t>
      </w:r>
    </w:p>
    <w:p>
      <w:pPr>
        <w:spacing w:line="360" w:lineRule="auto"/>
        <w:ind w:firstLine="1890" w:firstLineChars="900"/>
        <w:rPr>
          <w:color w:val="auto"/>
          <w:highlight w:val="none"/>
        </w:rPr>
      </w:pPr>
      <w:r>
        <w:rPr>
          <w:rFonts w:hint="eastAsia" w:ascii="宋体" w:hAnsi="宋体" w:cs="宋体"/>
          <w:color w:val="auto"/>
          <w:szCs w:val="21"/>
          <w:highlight w:val="none"/>
        </w:rPr>
        <w:sym w:font="Wingdings 2" w:char="00A3"/>
      </w:r>
      <w:r>
        <w:rPr>
          <w:color w:val="auto"/>
          <w:highlight w:val="none"/>
        </w:rPr>
        <w:t>不接受联合体投标；</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6</w:t>
      </w:r>
      <w:r>
        <w:rPr>
          <w:color w:val="auto"/>
          <w:highlight w:val="none"/>
        </w:rPr>
        <w:t>类似工程业绩要求：</w:t>
      </w:r>
    </w:p>
    <w:p>
      <w:pPr>
        <w:spacing w:line="360" w:lineRule="auto"/>
        <w:ind w:firstLine="630" w:firstLineChars="300"/>
        <w:rPr>
          <w:color w:val="auto"/>
          <w:highlight w:val="none"/>
        </w:rPr>
      </w:pPr>
      <w:r>
        <w:rPr>
          <w:rFonts w:hint="eastAsia" w:ascii="宋体" w:hAnsi="宋体" w:cs="宋体"/>
          <w:color w:val="auto"/>
          <w:szCs w:val="21"/>
          <w:highlight w:val="none"/>
        </w:rPr>
        <w:sym w:font="Wingdings 2" w:char="00A3"/>
      </w:r>
      <w:r>
        <w:rPr>
          <w:color w:val="auto"/>
          <w:szCs w:val="21"/>
          <w:highlight w:val="none"/>
        </w:rPr>
        <w:t xml:space="preserve"> 不要求，</w:t>
      </w:r>
      <w:r>
        <w:rPr>
          <w:color w:val="auto"/>
          <w:highlight w:val="none"/>
        </w:rPr>
        <w:t xml:space="preserve"> </w:t>
      </w:r>
    </w:p>
    <w:p>
      <w:pPr>
        <w:spacing w:line="360" w:lineRule="auto"/>
        <w:ind w:firstLine="630" w:firstLineChars="300"/>
        <w:rPr>
          <w:color w:val="auto"/>
          <w:szCs w:val="21"/>
          <w:highlight w:val="none"/>
        </w:rPr>
      </w:pPr>
      <w:r>
        <w:rPr>
          <w:rFonts w:hint="eastAsia" w:ascii="宋体" w:hAnsi="宋体" w:cs="宋体"/>
          <w:color w:val="auto"/>
          <w:szCs w:val="21"/>
          <w:highlight w:val="none"/>
        </w:rPr>
        <w:sym w:font="Wingdings 2" w:char="00A3"/>
      </w:r>
      <w:r>
        <w:rPr>
          <w:color w:val="auto"/>
          <w:szCs w:val="21"/>
          <w:highlight w:val="none"/>
        </w:rPr>
        <w:t xml:space="preserve"> 要求，（由招标人在以下工程业绩中勾选一项）</w:t>
      </w:r>
    </w:p>
    <w:p>
      <w:pPr>
        <w:spacing w:line="360" w:lineRule="auto"/>
        <w:ind w:firstLine="1050" w:firstLineChars="500"/>
        <w:rPr>
          <w:color w:val="auto"/>
          <w:highlight w:val="none"/>
        </w:rPr>
      </w:pPr>
      <w:r>
        <w:rPr>
          <w:rFonts w:hint="eastAsia" w:ascii="宋体" w:hAnsi="宋体" w:cs="宋体"/>
          <w:color w:val="auto"/>
          <w:szCs w:val="21"/>
          <w:highlight w:val="none"/>
        </w:rPr>
        <w:sym w:font="Wingdings 2" w:char="00A3"/>
      </w:r>
      <w:r>
        <w:rPr>
          <w:color w:val="auto"/>
          <w:highlight w:val="none"/>
        </w:rPr>
        <w:t xml:space="preserve">企业承担过1项类似工程； </w:t>
      </w:r>
      <w:r>
        <w:rPr>
          <w:rFonts w:hint="eastAsia" w:ascii="宋体" w:hAnsi="宋体" w:cs="宋体"/>
          <w:color w:val="auto"/>
          <w:szCs w:val="21"/>
          <w:highlight w:val="none"/>
        </w:rPr>
        <w:sym w:font="Wingdings 2" w:char="00A3"/>
      </w:r>
      <w:r>
        <w:rPr>
          <w:color w:val="auto"/>
          <w:szCs w:val="21"/>
          <w:highlight w:val="none"/>
        </w:rPr>
        <w:t xml:space="preserve"> </w:t>
      </w:r>
      <w:r>
        <w:rPr>
          <w:color w:val="auto"/>
          <w:highlight w:val="none"/>
        </w:rPr>
        <w:t xml:space="preserve">拟任项目经理承担过1项类似工程 </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7</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snapToGrid w:val="0"/>
        <w:spacing w:line="460" w:lineRule="exact"/>
        <w:ind w:firstLine="420" w:firstLineChars="200"/>
        <w:rPr>
          <w:color w:val="auto"/>
          <w:highlight w:val="none"/>
        </w:rPr>
      </w:pPr>
      <w:r>
        <w:rPr>
          <w:color w:val="auto"/>
          <w:highlight w:val="none"/>
        </w:rPr>
        <w:t>投标人资格具体要求详见第二章投标人须知前附表。</w:t>
      </w:r>
    </w:p>
    <w:p>
      <w:pPr>
        <w:pStyle w:val="3"/>
        <w:spacing w:before="0" w:after="0" w:line="360" w:lineRule="auto"/>
        <w:rPr>
          <w:rFonts w:ascii="Times New Roman" w:hAnsi="Times New Roman" w:eastAsia="黑体"/>
          <w:b w:val="0"/>
          <w:bCs w:val="0"/>
          <w:color w:val="auto"/>
          <w:sz w:val="30"/>
          <w:highlight w:val="none"/>
        </w:rPr>
      </w:pPr>
      <w:bookmarkStart w:id="68" w:name="_Toc300677990"/>
      <w:bookmarkStart w:id="69" w:name="_Toc80006082"/>
      <w:bookmarkStart w:id="70" w:name="_Toc80006192"/>
      <w:bookmarkStart w:id="71" w:name="_Toc9178510"/>
      <w:r>
        <w:rPr>
          <w:rFonts w:ascii="Times New Roman" w:hAnsi="Times New Roman" w:eastAsia="黑体"/>
          <w:b w:val="0"/>
          <w:bCs w:val="0"/>
          <w:color w:val="auto"/>
          <w:sz w:val="30"/>
          <w:highlight w:val="none"/>
        </w:rPr>
        <w:t>3.招标文件的获取</w:t>
      </w:r>
      <w:bookmarkEnd w:id="68"/>
      <w:bookmarkEnd w:id="69"/>
      <w:bookmarkEnd w:id="70"/>
      <w:bookmarkEnd w:id="71"/>
    </w:p>
    <w:p>
      <w:pPr>
        <w:spacing w:line="360" w:lineRule="auto"/>
        <w:ind w:firstLine="420" w:firstLineChars="200"/>
        <w:rPr>
          <w:color w:val="auto"/>
          <w:highlight w:val="none"/>
        </w:rPr>
      </w:pPr>
      <w:r>
        <w:rPr>
          <w:color w:val="auto"/>
          <w:szCs w:val="21"/>
          <w:highlight w:val="none"/>
        </w:rPr>
        <w:t>3.1</w:t>
      </w:r>
      <w:r>
        <w:rPr>
          <w:color w:val="auto"/>
          <w:highlight w:val="none"/>
        </w:rPr>
        <w:t xml:space="preserve"> </w:t>
      </w:r>
      <w:r>
        <w:rPr>
          <w:color w:val="auto"/>
          <w:szCs w:val="21"/>
          <w:highlight w:val="none"/>
        </w:rPr>
        <w:t>请于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r>
        <w:rPr>
          <w:rFonts w:hint="eastAsia"/>
          <w:color w:val="auto"/>
          <w:szCs w:val="21"/>
          <w:highlight w:val="none"/>
        </w:rPr>
        <w:t>起</w:t>
      </w:r>
      <w:r>
        <w:rPr>
          <w:color w:val="auto"/>
          <w:szCs w:val="21"/>
          <w:highlight w:val="none"/>
        </w:rPr>
        <w:t>在</w:t>
      </w:r>
      <w:r>
        <w:rPr>
          <w:color w:val="auto"/>
          <w:szCs w:val="21"/>
          <w:highlight w:val="none"/>
          <w:u w:val="single"/>
        </w:rPr>
        <w:t xml:space="preserve">   </w:t>
      </w:r>
      <w:r>
        <w:rPr>
          <w:rFonts w:hint="eastAsia"/>
          <w:color w:val="auto"/>
          <w:highlight w:val="none"/>
          <w:u w:val="single"/>
        </w:rPr>
        <w:t>电子招标投标交易</w:t>
      </w:r>
      <w:r>
        <w:rPr>
          <w:color w:val="auto"/>
          <w:highlight w:val="none"/>
          <w:u w:val="single"/>
        </w:rPr>
        <w:t>平台</w:t>
      </w:r>
      <w:r>
        <w:rPr>
          <w:rFonts w:hint="eastAsia"/>
          <w:color w:val="auto"/>
          <w:highlight w:val="none"/>
          <w:u w:val="single"/>
        </w:rPr>
        <w:t>名称</w:t>
      </w:r>
      <w:r>
        <w:rPr>
          <w:rFonts w:hint="eastAsia"/>
          <w:color w:val="auto"/>
          <w:szCs w:val="21"/>
          <w:highlight w:val="none"/>
          <w:u w:val="single"/>
        </w:rPr>
        <w:t xml:space="preserve">    </w:t>
      </w:r>
      <w:r>
        <w:rPr>
          <w:color w:val="auto"/>
          <w:highlight w:val="none"/>
        </w:rPr>
        <w:t>下载</w:t>
      </w:r>
      <w:r>
        <w:rPr>
          <w:rFonts w:hint="eastAsia"/>
          <w:color w:val="auto"/>
          <w:highlight w:val="none"/>
        </w:rPr>
        <w:t>数据电文形式的</w:t>
      </w:r>
      <w:r>
        <w:rPr>
          <w:color w:val="auto"/>
          <w:highlight w:val="none"/>
        </w:rPr>
        <w:t>招标文件。招标文件包括图纸、工程量清单、最高投标限价、合同条款等。</w:t>
      </w:r>
    </w:p>
    <w:p>
      <w:pPr>
        <w:spacing w:line="360" w:lineRule="auto"/>
        <w:ind w:firstLine="420" w:firstLineChars="200"/>
        <w:rPr>
          <w:color w:val="auto"/>
          <w:highlight w:val="none"/>
        </w:rPr>
      </w:pPr>
      <w:r>
        <w:rPr>
          <w:color w:val="auto"/>
          <w:highlight w:val="none"/>
        </w:rPr>
        <w:t>3.2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spacing w:line="360" w:lineRule="auto"/>
        <w:rPr>
          <w:rFonts w:eastAsia="黑体"/>
          <w:color w:val="auto"/>
          <w:sz w:val="30"/>
          <w:szCs w:val="32"/>
          <w:highlight w:val="none"/>
        </w:rPr>
      </w:pPr>
      <w:bookmarkStart w:id="72" w:name="_Toc9178511"/>
      <w:bookmarkStart w:id="73" w:name="_Toc300677991"/>
      <w:r>
        <w:rPr>
          <w:rFonts w:eastAsia="黑体"/>
          <w:color w:val="auto"/>
          <w:sz w:val="30"/>
          <w:szCs w:val="32"/>
          <w:highlight w:val="none"/>
        </w:rPr>
        <w:t>4.投标文件的递交</w:t>
      </w:r>
      <w:bookmarkEnd w:id="72"/>
      <w:bookmarkEnd w:id="73"/>
    </w:p>
    <w:p>
      <w:pPr>
        <w:spacing w:line="360" w:lineRule="auto"/>
        <w:ind w:firstLine="420" w:firstLineChars="200"/>
        <w:rPr>
          <w:color w:val="auto"/>
          <w:highlight w:val="none"/>
        </w:rPr>
      </w:pPr>
      <w:r>
        <w:rPr>
          <w:color w:val="auto"/>
          <w:highlight w:val="none"/>
        </w:rPr>
        <w:t xml:space="preserve">4.1 </w:t>
      </w: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w:t>
      </w:r>
      <w:r>
        <w:rPr>
          <w:rFonts w:hint="eastAsia"/>
          <w:color w:val="auto"/>
          <w:highlight w:val="none"/>
        </w:rPr>
        <w:t>（北京时间，下同）</w:t>
      </w:r>
      <w:r>
        <w:rPr>
          <w:color w:val="auto"/>
          <w:highlight w:val="none"/>
        </w:rPr>
        <w:t>。请投标人登录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pStyle w:val="3"/>
        <w:spacing w:before="0" w:after="0" w:line="360" w:lineRule="auto"/>
        <w:rPr>
          <w:rFonts w:ascii="黑体" w:hAnsi="黑体" w:eastAsia="黑体"/>
          <w:b w:val="0"/>
          <w:bCs w:val="0"/>
          <w:color w:val="auto"/>
          <w:sz w:val="30"/>
          <w:highlight w:val="none"/>
        </w:rPr>
      </w:pPr>
      <w:bookmarkStart w:id="74" w:name="_Toc80006193"/>
      <w:bookmarkStart w:id="75" w:name="_Toc300677992"/>
      <w:bookmarkStart w:id="76" w:name="_Toc80006083"/>
      <w:bookmarkStart w:id="77" w:name="_Toc9178512"/>
      <w:r>
        <w:rPr>
          <w:rFonts w:hint="eastAsia" w:ascii="黑体" w:hAnsi="黑体" w:eastAsia="黑体"/>
          <w:b w:val="0"/>
          <w:bCs w:val="0"/>
          <w:color w:val="auto"/>
          <w:sz w:val="30"/>
          <w:highlight w:val="none"/>
        </w:rPr>
        <w:t>5.确认</w:t>
      </w:r>
      <w:bookmarkEnd w:id="74"/>
      <w:bookmarkEnd w:id="75"/>
      <w:bookmarkEnd w:id="76"/>
      <w:bookmarkEnd w:id="77"/>
    </w:p>
    <w:p>
      <w:pPr>
        <w:spacing w:line="360" w:lineRule="auto"/>
        <w:ind w:firstLine="420" w:firstLineChars="200"/>
        <w:rPr>
          <w:strike/>
          <w:color w:val="auto"/>
          <w:highlight w:val="none"/>
        </w:rPr>
      </w:pPr>
      <w:r>
        <w:rPr>
          <w:rFonts w:hint="eastAsia" w:ascii="宋体" w:hAnsi="宋体"/>
          <w:color w:val="auto"/>
          <w:szCs w:val="21"/>
          <w:highlight w:val="none"/>
        </w:rPr>
        <w:t>你单位收到本投标邀请书后，请于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分前在</w:t>
      </w:r>
      <w:r>
        <w:rPr>
          <w:rFonts w:hint="eastAsia"/>
          <w:color w:val="auto"/>
          <w:highlight w:val="none"/>
          <w:u w:val="single"/>
        </w:rPr>
        <w:t xml:space="preserve">  电子招标投标交易平台名称  </w:t>
      </w:r>
      <w:r>
        <w:rPr>
          <w:rFonts w:hint="eastAsia" w:ascii="宋体" w:hAnsi="宋体"/>
          <w:color w:val="auto"/>
          <w:szCs w:val="21"/>
          <w:highlight w:val="none"/>
        </w:rPr>
        <w:t>确认是否参与投标。在本邀请书规定的时间内未表示是否参加投标或明确表示不参加投标的，不得再参加投标。</w:t>
      </w:r>
    </w:p>
    <w:p>
      <w:pPr>
        <w:pStyle w:val="3"/>
        <w:spacing w:before="0" w:after="0" w:line="360" w:lineRule="auto"/>
        <w:rPr>
          <w:rFonts w:ascii="Times New Roman" w:hAnsi="Times New Roman" w:eastAsia="黑体"/>
          <w:b w:val="0"/>
          <w:bCs w:val="0"/>
          <w:color w:val="auto"/>
          <w:sz w:val="30"/>
          <w:highlight w:val="none"/>
        </w:rPr>
      </w:pPr>
      <w:bookmarkStart w:id="78" w:name="_Toc80006194"/>
      <w:bookmarkStart w:id="79" w:name="_Toc9178513"/>
      <w:bookmarkStart w:id="80" w:name="_Toc300677993"/>
      <w:bookmarkStart w:id="81" w:name="_Toc80006084"/>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.行政监督</w:t>
      </w:r>
      <w:bookmarkEnd w:id="78"/>
      <w:bookmarkEnd w:id="79"/>
      <w:bookmarkEnd w:id="80"/>
      <w:bookmarkEnd w:id="81"/>
    </w:p>
    <w:p>
      <w:pPr>
        <w:snapToGrid w:val="0"/>
        <w:spacing w:line="360" w:lineRule="auto"/>
        <w:ind w:firstLine="420" w:firstLineChars="200"/>
        <w:rPr>
          <w:color w:val="auto"/>
          <w:szCs w:val="21"/>
          <w:highlight w:val="none"/>
        </w:rPr>
      </w:pPr>
      <w:r>
        <w:rPr>
          <w:color w:val="auto"/>
          <w:szCs w:val="21"/>
          <w:highlight w:val="none"/>
        </w:rPr>
        <w:t>本次招投标活动的监督机构为</w:t>
      </w:r>
      <w:r>
        <w:rPr>
          <w:color w:val="auto"/>
          <w:szCs w:val="21"/>
          <w:highlight w:val="none"/>
          <w:u w:val="single"/>
        </w:rPr>
        <w:t xml:space="preserve">                   </w:t>
      </w:r>
      <w:r>
        <w:rPr>
          <w:color w:val="auto"/>
          <w:szCs w:val="21"/>
          <w:highlight w:val="none"/>
        </w:rPr>
        <w:t>，电话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highlight w:val="none"/>
        </w:rPr>
      </w:pPr>
    </w:p>
    <w:p>
      <w:pPr>
        <w:pStyle w:val="3"/>
        <w:spacing w:before="0" w:after="0" w:line="360" w:lineRule="auto"/>
        <w:rPr>
          <w:rFonts w:ascii="Times New Roman" w:hAnsi="Times New Roman" w:eastAsia="黑体"/>
          <w:b w:val="0"/>
          <w:bCs w:val="0"/>
          <w:color w:val="auto"/>
          <w:sz w:val="30"/>
          <w:highlight w:val="none"/>
        </w:rPr>
      </w:pPr>
      <w:bookmarkStart w:id="82" w:name="_Toc80006085"/>
      <w:bookmarkStart w:id="83" w:name="_Toc300677994"/>
      <w:bookmarkStart w:id="84" w:name="_Toc9178514"/>
      <w:bookmarkStart w:id="85" w:name="_Toc80006195"/>
      <w:r>
        <w:rPr>
          <w:rFonts w:hint="eastAsia" w:ascii="Times New Roman" w:hAnsi="Times New Roman" w:eastAsia="黑体"/>
          <w:b w:val="0"/>
          <w:bCs w:val="0"/>
          <w:color w:val="auto"/>
          <w:sz w:val="30"/>
          <w:highlight w:val="none"/>
        </w:rPr>
        <w:t>7</w:t>
      </w:r>
      <w:r>
        <w:rPr>
          <w:rFonts w:ascii="Times New Roman" w:hAnsi="Times New Roman" w:eastAsia="黑体"/>
          <w:b w:val="0"/>
          <w:bCs w:val="0"/>
          <w:color w:val="auto"/>
          <w:sz w:val="30"/>
          <w:highlight w:val="none"/>
        </w:rPr>
        <w:t>.其它</w:t>
      </w:r>
      <w:bookmarkEnd w:id="82"/>
      <w:bookmarkEnd w:id="83"/>
      <w:bookmarkEnd w:id="84"/>
      <w:bookmarkEnd w:id="85"/>
    </w:p>
    <w:p>
      <w:pPr>
        <w:rPr>
          <w:color w:val="auto"/>
          <w:highlight w:val="none"/>
        </w:rPr>
      </w:pPr>
    </w:p>
    <w:p>
      <w:pPr>
        <w:snapToGrid w:val="0"/>
        <w:spacing w:line="360" w:lineRule="auto"/>
        <w:ind w:firstLine="420" w:firstLineChars="200"/>
        <w:rPr>
          <w:rFonts w:hint="eastAsia"/>
          <w:color w:val="auto"/>
          <w:highlight w:val="none"/>
        </w:rPr>
      </w:pPr>
      <w:r>
        <w:rPr>
          <w:color w:val="auto"/>
          <w:highlight w:val="none"/>
        </w:rPr>
        <w:t>7</w:t>
      </w:r>
      <w:r>
        <w:rPr>
          <w:rFonts w:hint="eastAsia"/>
          <w:color w:val="auto"/>
          <w:highlight w:val="none"/>
        </w:rPr>
        <w:t>.</w:t>
      </w:r>
      <w:r>
        <w:rPr>
          <w:color w:val="auto"/>
          <w:highlight w:val="none"/>
        </w:rPr>
        <w:t>1</w:t>
      </w:r>
      <w:r>
        <w:rPr>
          <w:rFonts w:hint="eastAsia"/>
          <w:color w:val="auto"/>
          <w:highlight w:val="none"/>
        </w:rPr>
        <w:t xml:space="preserve"> </w:t>
      </w:r>
      <w:r>
        <w:rPr>
          <w:rFonts w:hint="eastAsia"/>
          <w:color w:val="auto"/>
          <w:highlight w:val="none"/>
          <w:lang w:eastAsia="zh-CN"/>
        </w:rPr>
        <w:t>省外入湘企业应在“湖南省住房和城乡建设网”进行基本信息登记；</w:t>
      </w:r>
    </w:p>
    <w:p>
      <w:pPr>
        <w:snapToGrid w:val="0"/>
        <w:spacing w:line="360" w:lineRule="auto"/>
        <w:ind w:firstLine="420" w:firstLineChars="200"/>
        <w:rPr>
          <w:rFonts w:hint="eastAsia"/>
          <w:color w:val="auto"/>
          <w:szCs w:val="21"/>
          <w:highlight w:val="none"/>
        </w:rPr>
      </w:pPr>
      <w:r>
        <w:rPr>
          <w:rFonts w:hint="eastAsia"/>
          <w:color w:val="auto"/>
          <w:highlight w:val="none"/>
          <w:lang w:val="en-US" w:eastAsia="zh-CN"/>
        </w:rPr>
        <w:t>7.2</w:t>
      </w:r>
      <w:r>
        <w:rPr>
          <w:rFonts w:hint="eastAsia"/>
          <w:color w:val="auto"/>
          <w:highlight w:val="none"/>
        </w:rPr>
        <w:t>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86" w:name="_Toc300677995"/>
      <w:bookmarkStart w:id="87" w:name="_Toc80006086"/>
      <w:bookmarkStart w:id="88" w:name="_Toc9178515"/>
      <w:bookmarkStart w:id="89" w:name="_Toc80006196"/>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.联系方式</w:t>
      </w:r>
      <w:bookmarkEnd w:id="86"/>
      <w:bookmarkEnd w:id="87"/>
      <w:bookmarkEnd w:id="88"/>
      <w:bookmarkEnd w:id="89"/>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jc w:val="right"/>
        <w:rPr>
          <w:color w:val="auto"/>
          <w:szCs w:val="21"/>
          <w:highlight w:val="none"/>
          <w:u w:val="single"/>
        </w:rPr>
      </w:pPr>
    </w:p>
    <w:p>
      <w:pPr>
        <w:spacing w:line="360" w:lineRule="auto"/>
        <w:jc w:val="right"/>
        <w:rPr>
          <w:color w:val="auto"/>
          <w:szCs w:val="21"/>
          <w:highlight w:val="none"/>
          <w:u w:val="single"/>
        </w:rPr>
      </w:pP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sectPr>
          <w:footerReference r:id="rId5" w:type="even"/>
          <w:pgSz w:w="11907" w:h="16840"/>
          <w:pgMar w:top="1418" w:right="1418" w:bottom="1418" w:left="1418" w:header="851" w:footer="850" w:gutter="0"/>
          <w:cols w:space="720" w:num="1"/>
          <w:docGrid w:linePitch="312" w:charSpace="0"/>
        </w:sectPr>
      </w:pPr>
    </w:p>
    <w:p>
      <w:pPr>
        <w:pStyle w:val="2"/>
        <w:spacing w:before="0" w:after="0"/>
        <w:jc w:val="center"/>
        <w:rPr>
          <w:rFonts w:ascii="Times New Roman" w:hAnsi="Times New Roman" w:eastAsia="黑体"/>
          <w:b w:val="0"/>
          <w:bCs w:val="0"/>
          <w:color w:val="auto"/>
          <w:highlight w:val="none"/>
        </w:rPr>
      </w:pPr>
      <w:bookmarkStart w:id="90" w:name="_Toc80006087"/>
      <w:bookmarkStart w:id="91" w:name="_Toc80006197"/>
      <w:r>
        <w:rPr>
          <w:rFonts w:ascii="Times New Roman" w:hAnsi="Times New Roman" w:eastAsia="黑体"/>
          <w:b w:val="0"/>
          <w:bCs w:val="0"/>
          <w:color w:val="auto"/>
          <w:highlight w:val="none"/>
        </w:rPr>
        <w:t>第一章  资格预审通过通知书</w:t>
      </w:r>
      <w:bookmarkEnd w:id="90"/>
      <w:bookmarkEnd w:id="91"/>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eastAsia="黑体"/>
          <w:color w:val="auto"/>
          <w:sz w:val="28"/>
          <w:highlight w:val="none"/>
        </w:rPr>
        <w:t>（</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你单位已经通过资格预审，现邀请你单位按招标文件的规定，参加</w:t>
      </w:r>
      <w:r>
        <w:rPr>
          <w:rFonts w:hint="eastAsia" w:ascii="宋体" w:hAnsi="宋体"/>
          <w:color w:val="auto"/>
          <w:szCs w:val="21"/>
          <w:highlight w:val="none"/>
          <w:u w:val="single"/>
        </w:rPr>
        <w:t xml:space="preserve">                 </w:t>
      </w:r>
      <w:r>
        <w:rPr>
          <w:color w:val="auto"/>
          <w:szCs w:val="21"/>
          <w:highlight w:val="none"/>
        </w:rPr>
        <w:t>（招标项目</w:t>
      </w:r>
      <w:r>
        <w:rPr>
          <w:rFonts w:hint="eastAsia"/>
          <w:color w:val="auto"/>
          <w:szCs w:val="21"/>
          <w:highlight w:val="none"/>
        </w:rPr>
        <w:t>或标段，以下简称：招标项目</w:t>
      </w:r>
      <w:r>
        <w:rPr>
          <w:color w:val="auto"/>
          <w:szCs w:val="21"/>
          <w:highlight w:val="none"/>
        </w:rPr>
        <w:t>）</w:t>
      </w:r>
      <w:r>
        <w:rPr>
          <w:rFonts w:hint="eastAsia" w:ascii="宋体" w:hAnsi="宋体"/>
          <w:color w:val="auto"/>
          <w:szCs w:val="21"/>
          <w:highlight w:val="none"/>
        </w:rPr>
        <w:t>施工投标。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请你单位于</w:t>
      </w:r>
      <w:r>
        <w:rPr>
          <w:rFonts w:hint="eastAsia" w:ascii="宋体" w:hAnsi="宋体"/>
          <w:color w:val="auto"/>
          <w:szCs w:val="21"/>
          <w:highlight w:val="none"/>
          <w:u w:val="single"/>
        </w:rPr>
        <w:t xml:space="preserve">    年    月    日</w:t>
      </w:r>
      <w:r>
        <w:rPr>
          <w:rFonts w:hint="eastAsia" w:ascii="宋体" w:hAnsi="宋体"/>
          <w:color w:val="auto"/>
          <w:szCs w:val="21"/>
          <w:highlight w:val="none"/>
        </w:rPr>
        <w:t>起在</w:t>
      </w:r>
      <w:r>
        <w:rPr>
          <w:rFonts w:hint="eastAsia" w:ascii="宋体" w:hAnsi="宋体"/>
          <w:color w:val="auto"/>
          <w:szCs w:val="21"/>
          <w:highlight w:val="none"/>
          <w:u w:val="single"/>
        </w:rPr>
        <w:t xml:space="preserve"> 电子招标投标交易平台名称 </w:t>
      </w:r>
      <w:r>
        <w:rPr>
          <w:rFonts w:hint="eastAsia" w:ascii="宋体" w:hAnsi="宋体"/>
          <w:color w:val="auto"/>
          <w:szCs w:val="21"/>
          <w:highlight w:val="none"/>
        </w:rPr>
        <w:t>下载数据电文形式的招标文件。</w:t>
      </w:r>
    </w:p>
    <w:p>
      <w:pPr>
        <w:spacing w:line="360" w:lineRule="auto"/>
        <w:ind w:firstLine="420" w:firstLineChars="200"/>
        <w:rPr>
          <w:rFonts w:hint="eastAsia" w:ascii="宋体" w:hAnsi="宋体"/>
          <w:color w:val="auto"/>
          <w:szCs w:val="21"/>
          <w:highlight w:val="none"/>
          <w:u w:val="single"/>
        </w:rPr>
      </w:pPr>
      <w:r>
        <w:rPr>
          <w:color w:val="auto"/>
          <w:szCs w:val="21"/>
          <w:highlight w:val="none"/>
        </w:rPr>
        <w:t>电子</w:t>
      </w:r>
      <w:r>
        <w:rPr>
          <w:color w:val="auto"/>
          <w:highlight w:val="none"/>
        </w:rPr>
        <w:t>投标文件递交的截止时间（即：投标截止时间，下同）及开标时间为</w:t>
      </w:r>
      <w:r>
        <w:rPr>
          <w:rFonts w:hint="eastAsia" w:ascii="宋体" w:hAnsi="宋体"/>
          <w:color w:val="auto"/>
          <w:szCs w:val="21"/>
          <w:highlight w:val="none"/>
          <w:u w:val="single"/>
        </w:rPr>
        <w:t xml:space="preserve">    年    月    日</w:t>
      </w:r>
    </w:p>
    <w:p>
      <w:pPr>
        <w:spacing w:line="360" w:lineRule="auto"/>
        <w:rPr>
          <w:color w:val="auto"/>
          <w:highlight w:val="none"/>
        </w:rPr>
      </w:pP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color w:val="auto"/>
          <w:highlight w:val="none"/>
        </w:rPr>
        <w:t>。请投标人登录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。逾期提交的投标文件，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rFonts w:hint="eastAsia"/>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spacing w:line="360" w:lineRule="auto"/>
        <w:ind w:firstLine="420" w:firstLineChars="200"/>
        <w:rPr>
          <w:rFonts w:ascii="宋体" w:hAnsi="宋体"/>
          <w:color w:val="auto"/>
          <w:szCs w:val="21"/>
          <w:highlight w:val="none"/>
          <w:shd w:val="pct10" w:color="auto" w:fill="FFFFFF"/>
        </w:rPr>
      </w:pPr>
      <w:r>
        <w:rPr>
          <w:rFonts w:hint="eastAsia" w:ascii="宋体" w:hAnsi="宋体"/>
          <w:color w:val="auto"/>
          <w:szCs w:val="21"/>
          <w:highlight w:val="none"/>
        </w:rPr>
        <w:t>你单位收到本投标邀请书后，请于</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年 </w:t>
      </w:r>
      <w:r>
        <w:rPr>
          <w:rFonts w:hint="eastAsia"/>
          <w:color w:val="auto"/>
          <w:highlight w:val="none"/>
          <w:u w:val="single"/>
          <w:lang w:val="en-US" w:eastAsia="zh-CN"/>
        </w:rPr>
        <w:t xml:space="preserve">   </w:t>
      </w:r>
      <w:r>
        <w:rPr>
          <w:color w:val="auto"/>
          <w:highlight w:val="none"/>
          <w:u w:val="single"/>
        </w:rPr>
        <w:t xml:space="preserve">月 </w:t>
      </w:r>
      <w:r>
        <w:rPr>
          <w:rFonts w:hint="eastAsia"/>
          <w:color w:val="auto"/>
          <w:highlight w:val="none"/>
          <w:u w:val="single"/>
          <w:lang w:val="en-US" w:eastAsia="zh-CN"/>
        </w:rPr>
        <w:t xml:space="preserve">  </w:t>
      </w:r>
      <w:r>
        <w:rPr>
          <w:color w:val="auto"/>
          <w:highlight w:val="none"/>
          <w:u w:val="single"/>
        </w:rPr>
        <w:t xml:space="preserve"> 日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rFonts w:hint="eastAsia" w:ascii="宋体" w:hAnsi="宋体"/>
          <w:color w:val="auto"/>
          <w:szCs w:val="21"/>
          <w:highlight w:val="none"/>
        </w:rPr>
        <w:t>前在</w:t>
      </w:r>
      <w:r>
        <w:rPr>
          <w:rFonts w:hint="eastAsia"/>
          <w:color w:val="auto"/>
          <w:highlight w:val="none"/>
          <w:u w:val="single"/>
        </w:rPr>
        <w:t xml:space="preserve">  电子招标投标交易平台名称</w:t>
      </w:r>
      <w:r>
        <w:rPr>
          <w:rFonts w:hint="eastAsia"/>
          <w:color w:val="auto"/>
          <w:highlight w:val="none"/>
          <w:u w:val="single"/>
          <w:lang w:val="en-US" w:eastAsia="zh-CN"/>
        </w:rPr>
        <w:t xml:space="preserve"> </w:t>
      </w:r>
      <w:r>
        <w:rPr>
          <w:rFonts w:hint="eastAsia" w:ascii="宋体" w:hAnsi="宋体"/>
          <w:color w:val="auto"/>
          <w:szCs w:val="21"/>
          <w:highlight w:val="none"/>
        </w:rPr>
        <w:t>确认是否参与投标。在本邀请书规定的时间内未表示是否参加投标或明确表示不参加投标的，不得再参加投标。</w:t>
      </w:r>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jc w:val="right"/>
        <w:rPr>
          <w:color w:val="auto"/>
          <w:szCs w:val="21"/>
          <w:highlight w:val="none"/>
        </w:rPr>
        <w:sectPr>
          <w:pgSz w:w="11907" w:h="16840"/>
          <w:pgMar w:top="1418" w:right="1418" w:bottom="1418" w:left="1418" w:header="851" w:footer="850" w:gutter="0"/>
          <w:cols w:space="720" w:num="1"/>
          <w:docGrid w:linePitch="312" w:charSpace="0"/>
        </w:sectPr>
      </w:pPr>
    </w:p>
    <w:p>
      <w:pPr>
        <w:pStyle w:val="2"/>
        <w:spacing w:before="0" w:after="0"/>
        <w:jc w:val="center"/>
        <w:rPr>
          <w:rFonts w:ascii="Times New Roman" w:hAnsi="Times New Roman" w:eastAsia="黑体"/>
          <w:b w:val="0"/>
          <w:bCs w:val="0"/>
          <w:color w:val="auto"/>
          <w:highlight w:val="none"/>
        </w:rPr>
      </w:pPr>
      <w:bookmarkStart w:id="92" w:name="_Toc80006198"/>
      <w:bookmarkStart w:id="93" w:name="_Toc80006088"/>
      <w:r>
        <w:rPr>
          <w:rFonts w:ascii="Times New Roman" w:hAnsi="Times New Roman" w:eastAsia="黑体"/>
          <w:b w:val="0"/>
          <w:bCs w:val="0"/>
          <w:color w:val="auto"/>
          <w:highlight w:val="none"/>
        </w:rPr>
        <w:t>第二章  投标人须知</w:t>
      </w:r>
      <w:bookmarkEnd w:id="92"/>
      <w:bookmarkEnd w:id="93"/>
    </w:p>
    <w:p>
      <w:pPr>
        <w:rPr>
          <w:color w:val="auto"/>
          <w:highlight w:val="none"/>
        </w:rPr>
      </w:pPr>
    </w:p>
    <w:p>
      <w:pPr>
        <w:snapToGrid w:val="0"/>
        <w:jc w:val="center"/>
        <w:rPr>
          <w:rFonts w:eastAsia="黑体"/>
          <w:color w:val="auto"/>
          <w:sz w:val="28"/>
          <w:szCs w:val="28"/>
          <w:highlight w:val="none"/>
        </w:rPr>
      </w:pPr>
      <w:bookmarkStart w:id="94" w:name="_Toc300677997"/>
      <w:r>
        <w:rPr>
          <w:rFonts w:eastAsia="黑体"/>
          <w:color w:val="auto"/>
          <w:sz w:val="28"/>
          <w:szCs w:val="28"/>
          <w:highlight w:val="none"/>
        </w:rPr>
        <w:t>投标人须知前附表</w:t>
      </w:r>
      <w:bookmarkEnd w:id="94"/>
    </w:p>
    <w:tbl>
      <w:tblPr>
        <w:tblStyle w:val="39"/>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bCs/>
                <w:color w:val="auto"/>
                <w:szCs w:val="21"/>
                <w:highlight w:val="none"/>
              </w:rPr>
              <w:t>条款号</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bCs/>
                <w:color w:val="auto"/>
                <w:szCs w:val="21"/>
                <w:highlight w:val="none"/>
              </w:rPr>
              <w:t>条款名称</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jc w:val="center"/>
              <w:rPr>
                <w:rFonts w:hint="default" w:ascii="Calibri" w:hAnsi="Calibri" w:cs="Calibri"/>
                <w:bCs/>
                <w:color w:val="auto"/>
                <w:szCs w:val="21"/>
                <w:highlight w:val="none"/>
              </w:rPr>
            </w:pPr>
            <w:r>
              <w:rPr>
                <w:rFonts w:hint="default" w:ascii="Calibri" w:hAnsi="Calibri" w:cs="Calibri"/>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招标人</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联 系 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招标代理机构</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eastAsia"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olor w:val="auto"/>
                <w:szCs w:val="21"/>
                <w:highlight w:val="none"/>
              </w:rPr>
              <w:t>专职人员</w:t>
            </w:r>
            <w:r>
              <w:rPr>
                <w:rFonts w:hint="eastAsia" w:ascii="宋体" w:hAnsi="宋体"/>
                <w:color w:val="auto"/>
                <w:szCs w:val="21"/>
                <w:highlight w:val="none"/>
                <w:lang w:eastAsia="zh-CN"/>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.4</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招标项目名称</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.5</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建设地点</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招标范围</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详见招标公告</w:t>
            </w:r>
            <w:r>
              <w:rPr>
                <w:rFonts w:hint="eastAsia" w:ascii="Calibri" w:hAnsi="Calibri" w:cs="Calibri"/>
                <w:color w:val="auto"/>
                <w:szCs w:val="21"/>
                <w:highlight w:val="none"/>
              </w:rPr>
              <w:t>（</w:t>
            </w:r>
            <w:r>
              <w:rPr>
                <w:rFonts w:hint="default" w:ascii="Calibri" w:hAnsi="Calibri" w:cs="Calibri"/>
                <w:color w:val="auto"/>
                <w:szCs w:val="21"/>
                <w:highlight w:val="none"/>
              </w:rPr>
              <w:t>适用于采用资格</w:t>
            </w:r>
            <w:r>
              <w:rPr>
                <w:rFonts w:hint="eastAsia" w:ascii="Calibri" w:hAnsi="Calibri" w:cs="Calibri"/>
                <w:color w:val="auto"/>
                <w:szCs w:val="21"/>
                <w:highlight w:val="none"/>
              </w:rPr>
              <w:t>后</w:t>
            </w:r>
            <w:r>
              <w:rPr>
                <w:rFonts w:hint="default" w:ascii="Calibri" w:hAnsi="Calibri" w:cs="Calibri"/>
                <w:color w:val="auto"/>
                <w:szCs w:val="21"/>
                <w:highlight w:val="none"/>
              </w:rPr>
              <w:t>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详见投标邀请书（适用于邀请招标</w:t>
            </w:r>
            <w:r>
              <w:rPr>
                <w:rFonts w:hint="eastAsia" w:ascii="Calibri" w:hAnsi="Calibri" w:cs="Calibri"/>
                <w:color w:val="auto"/>
                <w:szCs w:val="21"/>
                <w:highlight w:val="none"/>
              </w:rPr>
              <w:t>项目</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关于招标范围的详细说明见第七章“技术标准和要求”及施工图纸和工程量清单。（适用于采用资格预审方式的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计划工期</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计划工期：</w:t>
            </w:r>
            <w:r>
              <w:rPr>
                <w:rFonts w:hint="default" w:ascii="Calibri" w:hAnsi="Calibri" w:cs="Calibri"/>
                <w:color w:val="auto"/>
                <w:szCs w:val="21"/>
                <w:highlight w:val="none"/>
                <w:u w:val="single"/>
              </w:rPr>
              <w:t xml:space="preserve">     </w:t>
            </w:r>
            <w:r>
              <w:rPr>
                <w:rFonts w:hint="eastAsia" w:ascii="宋体" w:hAnsi="宋体" w:cs="Calibri"/>
                <w:color w:val="auto"/>
                <w:szCs w:val="21"/>
                <w:highlight w:val="none"/>
              </w:rPr>
              <w:t>□</w:t>
            </w:r>
            <w:r>
              <w:rPr>
                <w:rFonts w:hint="default" w:ascii="Calibri" w:hAnsi="Calibri" w:cs="Calibri"/>
                <w:color w:val="auto"/>
                <w:szCs w:val="21"/>
                <w:highlight w:val="none"/>
              </w:rPr>
              <w:t>天</w:t>
            </w:r>
            <w:r>
              <w:rPr>
                <w:rFonts w:hint="eastAsia" w:ascii="宋体" w:hAnsi="宋体" w:cs="Calibri"/>
                <w:color w:val="auto"/>
                <w:szCs w:val="21"/>
                <w:highlight w:val="none"/>
              </w:rPr>
              <w:t>□月□年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质量标准和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保修要求</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t>质量标准：</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保修要求：</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资质条件</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具有独立法人资格并依法取得企业营业执照，营业执照处于有效期；</w:t>
            </w:r>
            <w:r>
              <w:rPr>
                <w:rFonts w:hint="default" w:ascii="Calibri" w:hAnsi="Calibri" w:cs="Calibri"/>
                <w:color w:val="auto"/>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2.</w:t>
            </w:r>
            <w:r>
              <w:rPr>
                <w:rFonts w:hint="default" w:ascii="Calibri" w:hAnsi="Calibri" w:cs="Calibri"/>
                <w:color w:val="auto"/>
                <w:szCs w:val="21"/>
                <w:highlight w:val="none"/>
              </w:rPr>
              <w:t>具有住房城乡建设主管部门颁发的</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资质，</w:t>
            </w:r>
            <w:r>
              <w:rPr>
                <w:rFonts w:hint="default" w:ascii="Calibri" w:hAnsi="Calibri" w:cs="Calibri"/>
                <w:color w:val="auto"/>
                <w:szCs w:val="21"/>
                <w:highlight w:val="none"/>
                <w:u w:val="single"/>
              </w:rPr>
              <w:t>安全生产许可证处于有效期</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cs="Times New Roman"/>
                <w:color w:val="auto"/>
                <w:highlight w:val="none"/>
              </w:rPr>
            </w:pPr>
            <w:r>
              <w:rPr>
                <w:rFonts w:hint="eastAsia" w:ascii="Calibri" w:hAnsi="Calibri" w:cs="Calibri"/>
                <w:color w:val="auto"/>
                <w:highlight w:val="none"/>
              </w:rPr>
              <w:t>3.</w:t>
            </w:r>
            <w:r>
              <w:rPr>
                <w:rFonts w:hint="default" w:ascii="Calibri" w:hAnsi="Calibri" w:cs="Calibri"/>
                <w:color w:val="auto"/>
                <w:szCs w:val="21"/>
                <w:highlight w:val="none"/>
              </w:rPr>
              <w:t xml:space="preserve"> </w:t>
            </w:r>
            <w:r>
              <w:rPr>
                <w:rFonts w:hint="default" w:ascii="Calibri" w:hAnsi="Calibri" w:cs="Calibri"/>
                <w:color w:val="auto"/>
                <w:highlight w:val="none"/>
              </w:rPr>
              <w:t>拟任项目经理具备</w:t>
            </w:r>
            <w:r>
              <w:rPr>
                <w:rFonts w:hint="default" w:ascii="Calibri" w:hAnsi="Calibri" w:cs="Calibri"/>
                <w:color w:val="auto"/>
                <w:highlight w:val="none"/>
                <w:u w:val="single"/>
              </w:rPr>
              <w:t xml:space="preserve">         </w:t>
            </w:r>
            <w:r>
              <w:rPr>
                <w:rFonts w:hint="default" w:ascii="Calibri" w:hAnsi="Calibri" w:cs="Calibri"/>
                <w:color w:val="auto"/>
                <w:highlight w:val="none"/>
              </w:rPr>
              <w:t>专业</w:t>
            </w:r>
            <w:r>
              <w:rPr>
                <w:rFonts w:hint="default" w:ascii="Calibri" w:hAnsi="Calibri" w:cs="Calibri"/>
                <w:color w:val="auto"/>
                <w:highlight w:val="none"/>
                <w:u w:val="single"/>
              </w:rPr>
              <w:t xml:space="preserve">        </w:t>
            </w:r>
            <w:r>
              <w:rPr>
                <w:rFonts w:hint="default" w:ascii="Calibri" w:hAnsi="Calibri" w:cs="Calibri"/>
                <w:color w:val="auto"/>
                <w:highlight w:val="none"/>
              </w:rPr>
              <w:t xml:space="preserve">资格,具备项目负责人安全生产考核合格证书。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Calibri" w:hAnsi="Calibri" w:cs="Calibri"/>
                <w:color w:val="auto"/>
                <w:highlight w:val="none"/>
                <w:lang w:val="en-US" w:eastAsia="zh-CN"/>
              </w:rPr>
              <w:t>4</w:t>
            </w:r>
            <w:r>
              <w:rPr>
                <w:rFonts w:hint="eastAsia" w:ascii="Calibri" w:hAnsi="Calibri" w:cs="Calibri"/>
                <w:color w:val="auto"/>
                <w:highlight w:val="none"/>
              </w:rPr>
              <w:t>.</w:t>
            </w:r>
            <w:r>
              <w:rPr>
                <w:rFonts w:hint="default" w:ascii="Calibri" w:hAnsi="Calibri" w:cs="Calibri"/>
                <w:color w:val="auto"/>
                <w:highlight w:val="none"/>
              </w:rPr>
              <w:t>类似工程业绩要求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Calibri" w:hAnsi="Calibri" w:cs="Calibri"/>
                <w:color w:val="auto"/>
                <w:szCs w:val="21"/>
                <w:highlight w:val="none"/>
              </w:rPr>
              <w:t>具体要求</w:t>
            </w:r>
            <w:r>
              <w:rPr>
                <w:rFonts w:hint="default" w:ascii="Calibri" w:hAnsi="Calibri" w:cs="Calibri"/>
                <w:color w:val="auto"/>
                <w:szCs w:val="21"/>
                <w:highlight w:val="none"/>
              </w:rPr>
              <w:t>详见本表第10.1.1</w:t>
            </w:r>
            <w:r>
              <w:rPr>
                <w:rFonts w:hint="default" w:ascii="Calibri" w:hAnsi="Calibri" w:cs="Calibri"/>
                <w:color w:val="auto"/>
                <w:highlight w:val="none"/>
              </w:rPr>
              <w:t xml:space="preserve"> </w:t>
            </w:r>
            <w:r>
              <w:rPr>
                <w:rFonts w:hint="eastAsia" w:ascii="Calibri" w:hAnsi="Calibri" w:cs="Calibri"/>
                <w:color w:val="auto"/>
                <w:highlight w:val="none"/>
              </w:rPr>
              <w:t>项</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u w:val="single"/>
              </w:rPr>
            </w:pPr>
            <w:r>
              <w:rPr>
                <w:rFonts w:hint="eastAsia" w:ascii="Calibri" w:hAnsi="Calibri" w:cs="Calibri"/>
                <w:color w:val="auto"/>
                <w:highlight w:val="none"/>
                <w:lang w:val="en-US" w:eastAsia="zh-CN"/>
              </w:rPr>
              <w:t>5</w:t>
            </w:r>
            <w:r>
              <w:rPr>
                <w:rFonts w:hint="eastAsia" w:ascii="Calibri" w:hAnsi="Calibri" w:cs="Calibri"/>
                <w:color w:val="auto"/>
                <w:highlight w:val="none"/>
              </w:rPr>
              <w:t>.</w:t>
            </w:r>
            <w:r>
              <w:rPr>
                <w:rFonts w:hint="default" w:ascii="Calibri" w:hAnsi="Calibri" w:cs="Calibri"/>
                <w:color w:val="auto"/>
                <w:highlight w:val="none"/>
              </w:rPr>
              <w:t>其他</w:t>
            </w:r>
            <w:r>
              <w:rPr>
                <w:rFonts w:hint="eastAsia" w:ascii="Calibri" w:hAnsi="Calibri" w:cs="Calibri"/>
                <w:color w:val="auto"/>
                <w:highlight w:val="none"/>
                <w:u w:val="singl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.2</w:t>
            </w:r>
          </w:p>
        </w:tc>
        <w:tc>
          <w:tcPr>
            <w:tcW w:w="1770"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default" w:ascii="Calibri" w:hAnsi="Calibri" w:cs="Calibri"/>
                <w:color w:val="auto"/>
                <w:szCs w:val="21"/>
                <w:highlight w:val="none"/>
              </w:rPr>
              <w:t>是否接受</w:t>
            </w:r>
          </w:p>
          <w:p>
            <w:pPr>
              <w:keepNext w:val="0"/>
              <w:keepLines w:val="0"/>
              <w:suppressLineNumbers w:val="0"/>
              <w:spacing w:before="0" w:beforeAutospacing="0" w:after="0" w:afterAutospacing="0"/>
              <w:ind w:left="0" w:right="0" w:firstLine="105" w:firstLineChars="50"/>
              <w:rPr>
                <w:rFonts w:hint="default" w:ascii="Calibri" w:hAnsi="Calibri" w:cs="Calibri"/>
                <w:color w:val="auto"/>
                <w:szCs w:val="21"/>
                <w:highlight w:val="none"/>
              </w:rPr>
            </w:pPr>
            <w:r>
              <w:rPr>
                <w:rFonts w:hint="default" w:ascii="Calibri" w:hAnsi="Calibri" w:cs="Calibri"/>
                <w:color w:val="auto"/>
                <w:szCs w:val="21"/>
                <w:highlight w:val="none"/>
              </w:rPr>
              <w:t>联合体投标</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不接受</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9.1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踏勘现场</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不组织</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组织，踏勘时间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踏勘地点</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分  包</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允许，分包内容要求：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分包金额要求：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偏  离</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允许，偏差范围：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构成招标文件的其他资料</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投标人要求澄清</w:t>
            </w:r>
            <w:r>
              <w:rPr>
                <w:rFonts w:hint="default" w:ascii="Calibri" w:hAnsi="Calibri" w:cs="Calibri"/>
                <w:color w:val="auto"/>
                <w:szCs w:val="21"/>
                <w:highlight w:val="none"/>
              </w:rPr>
              <w:t>招标文件的时间和方式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截止时间：</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网络方式,提交至</w:t>
            </w:r>
            <w:r>
              <w:rPr>
                <w:rFonts w:hint="eastAsia" w:ascii="Calibri" w:hAnsi="Calibri" w:cs="Calibri"/>
                <w:color w:val="auto"/>
                <w:szCs w:val="21"/>
                <w:highlight w:val="none"/>
              </w:rPr>
              <w:t xml:space="preserve"> </w:t>
            </w:r>
            <w:r>
              <w:rPr>
                <w:rFonts w:hint="eastAsia" w:ascii="Calibri" w:hAnsi="Calibri" w:cs="Calibri"/>
                <w:color w:val="auto"/>
                <w:szCs w:val="21"/>
                <w:highlight w:val="none"/>
                <w:u w:val="single"/>
              </w:rPr>
              <w:t xml:space="preserve">  电子招标投标</w:t>
            </w:r>
            <w:r>
              <w:rPr>
                <w:rFonts w:hint="default" w:ascii="Calibri" w:hAnsi="Calibri" w:cs="Calibri"/>
                <w:color w:val="auto"/>
                <w:szCs w:val="21"/>
                <w:highlight w:val="none"/>
                <w:u w:val="single"/>
              </w:rPr>
              <w:t>交易平台</w:t>
            </w:r>
            <w:r>
              <w:rPr>
                <w:rFonts w:hint="eastAsia" w:ascii="Calibri" w:hAnsi="Calibri" w:cs="Calibri"/>
                <w:color w:val="auto"/>
                <w:szCs w:val="21"/>
                <w:highlight w:val="none"/>
                <w:u w:val="single"/>
              </w:rPr>
              <w:t xml:space="preserve">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投标截止时间</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时</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2.2.3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澄清</w:t>
            </w:r>
            <w:r>
              <w:rPr>
                <w:rFonts w:hint="eastAsia" w:ascii="Calibri" w:hAnsi="Calibri" w:cs="Calibri"/>
                <w:color w:val="auto"/>
                <w:szCs w:val="21"/>
                <w:highlight w:val="none"/>
              </w:rPr>
              <w:t>和</w:t>
            </w:r>
            <w:r>
              <w:rPr>
                <w:rFonts w:hint="default" w:ascii="Calibri" w:hAnsi="Calibri" w:cs="Calibri"/>
                <w:color w:val="auto"/>
                <w:szCs w:val="21"/>
                <w:highlight w:val="none"/>
              </w:rPr>
              <w:t>修改</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招标文件的</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方式</w:t>
            </w:r>
          </w:p>
        </w:tc>
        <w:tc>
          <w:tcPr>
            <w:tcW w:w="6435" w:type="dxa"/>
            <w:noWrap w:val="0"/>
            <w:vAlign w:val="center"/>
          </w:tcPr>
          <w:p>
            <w:pPr>
              <w:keepNext w:val="0"/>
              <w:keepLines w:val="0"/>
              <w:suppressLineNumbers w:val="0"/>
              <w:snapToGrid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highlight w:val="none"/>
                <w:u w:val="single"/>
              </w:rPr>
              <w:t>发布</w:t>
            </w:r>
            <w:r>
              <w:rPr>
                <w:rFonts w:hint="eastAsia" w:ascii="Calibri" w:hAnsi="Calibri" w:cs="Calibri"/>
                <w:color w:val="auto"/>
                <w:highlight w:val="none"/>
                <w:u w:val="single"/>
              </w:rPr>
              <w:t>澄清和修改</w:t>
            </w:r>
            <w:r>
              <w:rPr>
                <w:rFonts w:hint="default" w:ascii="Calibri" w:hAnsi="Calibri" w:cs="Calibri"/>
                <w:color w:val="auto"/>
                <w:highlight w:val="none"/>
                <w:u w:val="single"/>
              </w:rPr>
              <w:t>的媒介名称</w:t>
            </w:r>
            <w:r>
              <w:rPr>
                <w:rFonts w:hint="eastAsia" w:ascii="Calibri" w:hAnsi="Calibri" w:cs="Calibri"/>
                <w:color w:val="auto"/>
                <w:highlight w:val="none"/>
                <w:u w:val="single"/>
              </w:rPr>
              <w:t xml:space="preserve">   </w:t>
            </w:r>
            <w:r>
              <w:rPr>
                <w:rFonts w:hint="default" w:ascii="Calibri" w:hAnsi="Calibri" w:cs="Calibri"/>
                <w:color w:val="auto"/>
                <w:szCs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3.1</w:t>
            </w:r>
            <w:r>
              <w:rPr>
                <w:rFonts w:hint="eastAsia" w:ascii="Calibri" w:hAnsi="Calibri" w:cs="Calibri"/>
                <w:color w:val="auto"/>
                <w:szCs w:val="21"/>
                <w:highlight w:val="none"/>
              </w:rPr>
              <w:t>.1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构成投标文件的的其他材料</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w:t>
            </w:r>
            <w:r>
              <w:rPr>
                <w:rFonts w:hint="eastAsia" w:ascii="Calibri" w:hAnsi="Calibri" w:cs="Calibri"/>
                <w:color w:val="auto"/>
                <w:szCs w:val="21"/>
                <w:highlight w:val="none"/>
              </w:rPr>
              <w:t>3.1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投标有效期</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自投标截止之日起</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3.4.1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投标保证</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不要求提交投标担保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要求提交投标担保</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1.形式： </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（1）现金</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（2）保函（银行业金融机构、专业担保公司开立的无条件的、不可撤销的独立保函、保险公司开具的</w:t>
            </w:r>
            <w:r>
              <w:rPr>
                <w:rFonts w:hint="eastAsia" w:ascii="Times New Roman" w:hAnsi="Times New Roman" w:eastAsia="宋体" w:cs="Times New Roman"/>
                <w:color w:val="auto"/>
                <w:szCs w:val="21"/>
                <w:highlight w:val="none"/>
                <w:lang w:val="en-US" w:eastAsia="zh-CN"/>
              </w:rPr>
              <w:t>见索即付</w:t>
            </w:r>
            <w:r>
              <w:rPr>
                <w:rFonts w:hint="default" w:ascii="Times New Roman" w:hAnsi="Times New Roman" w:eastAsia="宋体" w:cs="Times New Roman"/>
                <w:color w:val="auto"/>
                <w:szCs w:val="21"/>
                <w:highlight w:val="none"/>
              </w:rPr>
              <w:t>的保证保险）</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□不接受承诺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□接受承诺，适用于所有投标人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承诺，仅适用于获得“湖南省建筑强企称号”或者参加“湖南省房屋建筑和市政基础设施工程施工及监理招标投标信用评价”且取得提交投标文件截止之时最新公布的信用评价结果满分的投标人以承诺形式递交的投标担保。</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103" w:leftChars="-49" w:right="0" w:firstLine="422" w:firstLineChars="201"/>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2.现金和保函的担保金额</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最高不超过50万元）</w:t>
            </w:r>
            <w:r>
              <w:rPr>
                <w:rFonts w:hint="default" w:ascii="Times New Roman" w:hAnsi="Times New Roman" w:eastAsia="宋体" w:cs="Times New Roman"/>
                <w:color w:val="auto"/>
                <w:szCs w:val="21"/>
                <w:highlight w:val="none"/>
              </w:rPr>
              <w:t>：人民币</w:t>
            </w: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rPr>
              <w:t>元（￥_______元）。</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3.提交方式：</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（1）采用现金的，在投标截止时间前（含），由投标人通过其基本账户转账到达如下账户</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户    名：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开户银行：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账    号：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（2）采用承诺或保函的，符合招标文件第七章投标文件格式第一节“投标函格式”规定。</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4.联合体投标的，由牵头人递交。</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5.本项目投标保证金已委托</w:t>
            </w:r>
            <w:r>
              <w:rPr>
                <w:rFonts w:hint="default" w:ascii="Times New Roman" w:hAnsi="Times New Roman" w:eastAsia="宋体" w:cs="Times New Roman"/>
                <w:color w:val="auto"/>
                <w:szCs w:val="21"/>
                <w:highlight w:val="none"/>
                <w:lang w:val="en-US" w:eastAsia="zh-CN"/>
              </w:rPr>
              <w:t xml:space="preserve">          （交易中心名称）</w:t>
            </w:r>
            <w:r>
              <w:rPr>
                <w:rFonts w:hint="default" w:ascii="Times New Roman" w:hAnsi="Times New Roman" w:eastAsia="宋体" w:cs="Times New Roman"/>
                <w:color w:val="auto"/>
                <w:szCs w:val="21"/>
                <w:highlight w:val="none"/>
              </w:rPr>
              <w:t>进行收退、保密、保管。</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.其他：</w:t>
            </w:r>
            <w:r>
              <w:rPr>
                <w:rFonts w:hint="default" w:ascii="Times New Roman" w:hAnsi="Times New Roman" w:eastAsia="宋体" w:cs="Times New Roman"/>
                <w:color w:val="auto"/>
                <w:szCs w:val="21"/>
                <w:highlight w:val="none"/>
                <w:u w:val="none"/>
              </w:rPr>
              <w:t xml:space="preserve">                  </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3.6</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是否允许递交备选投标方案</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签字和（或）盖章要求</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highlight w:val="none"/>
              </w:rPr>
              <w:t>投标人应使用CA数字证书（电子印章）进行签章。</w:t>
            </w:r>
            <w:r>
              <w:rPr>
                <w:rFonts w:hint="default" w:ascii="Calibri" w:hAnsi="Calibri" w:cs="Calibri"/>
                <w:color w:val="auto"/>
                <w:szCs w:val="21"/>
                <w:highlight w:val="none"/>
              </w:rPr>
              <w:t>投标人加盖的单位公章与其营业执照的单位名称</w:t>
            </w:r>
            <w:r>
              <w:rPr>
                <w:rFonts w:hint="eastAsia" w:ascii="Calibri" w:hAnsi="Calibri" w:cs="Calibri"/>
                <w:color w:val="auto"/>
                <w:szCs w:val="21"/>
                <w:highlight w:val="none"/>
              </w:rPr>
              <w:t>应当</w:t>
            </w:r>
            <w:r>
              <w:rPr>
                <w:rFonts w:hint="default" w:ascii="Calibri" w:hAnsi="Calibri" w:cs="Calibri"/>
                <w:color w:val="auto"/>
                <w:szCs w:val="21"/>
                <w:highlight w:val="none"/>
              </w:rPr>
              <w:t>一致。</w:t>
            </w:r>
            <w:r>
              <w:rPr>
                <w:rFonts w:hint="default" w:ascii="Calibri" w:hAnsi="Calibri" w:cs="Calibri"/>
                <w:bCs/>
                <w:color w:val="auto"/>
                <w:szCs w:val="21"/>
                <w:highlight w:val="none"/>
              </w:rPr>
              <w:t>施工组织设计采用暗标</w:t>
            </w:r>
            <w:r>
              <w:rPr>
                <w:rFonts w:hint="eastAsia" w:ascii="Calibri" w:hAnsi="Calibri" w:cs="Calibri"/>
                <w:bCs/>
                <w:color w:val="auto"/>
                <w:szCs w:val="21"/>
                <w:highlight w:val="none"/>
              </w:rPr>
              <w:t>评审</w:t>
            </w:r>
            <w:r>
              <w:rPr>
                <w:rFonts w:hint="default" w:ascii="Calibri" w:hAnsi="Calibri" w:cs="Calibri"/>
                <w:bCs/>
                <w:color w:val="auto"/>
                <w:szCs w:val="21"/>
                <w:highlight w:val="none"/>
              </w:rPr>
              <w:t>方式的，</w:t>
            </w:r>
            <w:r>
              <w:rPr>
                <w:rFonts w:hint="eastAsia" w:ascii="Calibri" w:hAnsi="Calibri" w:cs="Calibri"/>
                <w:bCs/>
                <w:color w:val="auto"/>
                <w:szCs w:val="21"/>
                <w:highlight w:val="none"/>
              </w:rPr>
              <w:t>详见</w:t>
            </w:r>
            <w:r>
              <w:rPr>
                <w:rFonts w:hint="eastAsia" w:ascii="宋体" w:hAnsi="宋体" w:cs="Calibri"/>
                <w:bCs/>
                <w:color w:val="auto"/>
                <w:szCs w:val="21"/>
                <w:highlight w:val="none"/>
              </w:rPr>
              <w:t>招标文件第八章第三节“施工组织设计文件格式（暗标）”的规定</w:t>
            </w:r>
            <w:r>
              <w:rPr>
                <w:rFonts w:hint="default"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3.7.4</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投标文件份数</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投标人登录</w:t>
            </w:r>
            <w:r>
              <w:rPr>
                <w:rFonts w:hint="eastAsia" w:ascii="宋体" w:hAnsi="宋体" w:cs="Calibri"/>
                <w:color w:val="auto"/>
                <w:szCs w:val="21"/>
                <w:highlight w:val="none"/>
                <w:u w:val="single"/>
              </w:rPr>
              <w:t xml:space="preserve">   电子招标投标交易平台名称  </w:t>
            </w:r>
            <w:r>
              <w:rPr>
                <w:rFonts w:hint="eastAsia" w:ascii="宋体" w:hAnsi="宋体" w:cs="Calibri"/>
                <w:color w:val="auto"/>
                <w:szCs w:val="21"/>
                <w:highlight w:val="none"/>
              </w:rPr>
              <w:t>上传电子投标文件（</w:t>
            </w:r>
            <w:r>
              <w:rPr>
                <w:rFonts w:hint="default" w:ascii="宋体" w:hAnsi="宋体" w:cs="Calibri"/>
                <w:color w:val="auto"/>
                <w:szCs w:val="21"/>
                <w:highlight w:val="none"/>
                <w:u w:val="single"/>
              </w:rPr>
              <w:t xml:space="preserve">        </w:t>
            </w:r>
            <w:r>
              <w:rPr>
                <w:rFonts w:hint="eastAsia" w:ascii="宋体" w:hAnsi="宋体" w:cs="Calibri"/>
                <w:color w:val="auto"/>
                <w:szCs w:val="21"/>
                <w:highlight w:val="none"/>
                <w:u w:val="single"/>
              </w:rPr>
              <w:t xml:space="preserve"> </w:t>
            </w:r>
            <w:r>
              <w:rPr>
                <w:rFonts w:hint="eastAsia" w:ascii="宋体" w:hAnsi="宋体" w:cs="Calibri"/>
                <w:color w:val="auto"/>
                <w:szCs w:val="21"/>
                <w:highlight w:val="none"/>
              </w:rPr>
              <w:t>格式）一份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4.1.1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投标文件加密  要求</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电子交易系统自动加密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递交投标文件</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地点</w:t>
            </w:r>
          </w:p>
        </w:tc>
        <w:tc>
          <w:tcPr>
            <w:tcW w:w="6435" w:type="dxa"/>
            <w:noWrap w:val="0"/>
            <w:vAlign w:val="center"/>
          </w:tcPr>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电子投标文件递交至</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highlight w:val="none"/>
                <w:u w:val="single"/>
              </w:rPr>
              <w:t xml:space="preserve">电子招标投标交易平台名称   </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是否退还投标</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文件</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5.</w:t>
            </w:r>
            <w:r>
              <w:rPr>
                <w:rFonts w:hint="eastAsia" w:ascii="Calibri" w:hAnsi="Calibri" w:cs="Calibri"/>
                <w:color w:val="auto"/>
                <w:szCs w:val="21"/>
                <w:highlight w:val="none"/>
              </w:rPr>
              <w:t>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开标时间和地点</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开标时间：同投标截止时间</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开标地点：</w:t>
            </w:r>
            <w:r>
              <w:rPr>
                <w:rFonts w:hint="eastAsia" w:ascii="Calibri" w:hAnsi="Calibri" w:cs="Calibri"/>
                <w:color w:val="auto"/>
                <w:szCs w:val="21"/>
                <w:highlight w:val="none"/>
              </w:rPr>
              <w:t xml:space="preserve"> </w:t>
            </w:r>
            <w:r>
              <w:rPr>
                <w:rFonts w:hint="eastAsia" w:ascii="Calibri" w:hAnsi="Calibri" w:cs="Calibri"/>
                <w:color w:val="auto"/>
                <w:highlight w:val="none"/>
                <w:u w:val="single"/>
              </w:rPr>
              <w:t>电子招标投标交易平台名称</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举行，所有投标人应准时在线参加开标。</w:t>
            </w:r>
            <w:r>
              <w:rPr>
                <w:rFonts w:hint="eastAsia" w:ascii="Calibri" w:hAnsi="Calibri" w:cs="Calibri"/>
                <w:color w:val="auto"/>
                <w:szCs w:val="21"/>
                <w:highlight w:val="none"/>
              </w:rPr>
              <w:t>同时在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公共资源交易中心名称</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设立</w:t>
            </w:r>
            <w:r>
              <w:rPr>
                <w:rFonts w:hint="default" w:ascii="Calibri" w:hAnsi="Calibri" w:cs="Calibri"/>
                <w:color w:val="auto"/>
                <w:szCs w:val="21"/>
                <w:highlight w:val="none"/>
              </w:rPr>
              <w:t>开标会场</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6.1.1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评标委员会的      组建</w:t>
            </w:r>
          </w:p>
        </w:tc>
        <w:tc>
          <w:tcPr>
            <w:tcW w:w="643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评标委员会</w:t>
            </w:r>
            <w:r>
              <w:rPr>
                <w:rFonts w:hint="eastAsia" w:ascii="Calibri" w:hAnsi="Calibri" w:cs="Calibri"/>
                <w:color w:val="auto"/>
                <w:szCs w:val="21"/>
                <w:highlight w:val="none"/>
              </w:rPr>
              <w:t>成员</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或以上单数</w:t>
            </w:r>
            <w:r>
              <w:rPr>
                <w:rFonts w:hint="default" w:ascii="Calibri" w:hAnsi="Calibri" w:cs="Calibri"/>
                <w:color w:val="auto"/>
                <w:szCs w:val="21"/>
                <w:highlight w:val="none"/>
              </w:rPr>
              <w:t>，其中：招标人代表</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评标专家确定方式：</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7.1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推荐中标候选人和</w:t>
            </w:r>
            <w:r>
              <w:rPr>
                <w:rFonts w:hint="eastAsia" w:ascii="Calibri" w:hAnsi="Calibri" w:cs="Calibri"/>
                <w:color w:val="auto"/>
                <w:szCs w:val="21"/>
                <w:highlight w:val="none"/>
              </w:rPr>
              <w:t xml:space="preserve">确定中标人 </w:t>
            </w:r>
            <w:r>
              <w:rPr>
                <w:rFonts w:hint="default" w:ascii="Calibri" w:hAnsi="Calibri" w:cs="Calibri"/>
                <w:color w:val="auto"/>
                <w:szCs w:val="21"/>
                <w:highlight w:val="none"/>
              </w:rPr>
              <w:t>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排序法，即：</w:t>
            </w:r>
            <w:r>
              <w:rPr>
                <w:rFonts w:hint="default" w:ascii="Calibri" w:hAnsi="Calibri" w:cs="Calibri"/>
                <w:color w:val="auto"/>
                <w:szCs w:val="21"/>
                <w:highlight w:val="none"/>
              </w:rPr>
              <w:t>由评标委员会推荐不超过</w:t>
            </w:r>
            <w:r>
              <w:rPr>
                <w:rFonts w:hint="eastAsia" w:ascii="Calibri" w:hAnsi="Calibri" w:cs="Calibri"/>
                <w:color w:val="auto"/>
                <w:szCs w:val="21"/>
                <w:highlight w:val="none"/>
              </w:rPr>
              <w:t>3</w:t>
            </w:r>
            <w:r>
              <w:rPr>
                <w:rFonts w:hint="default" w:ascii="Calibri" w:hAnsi="Calibri" w:cs="Calibri"/>
                <w:color w:val="auto"/>
                <w:szCs w:val="21"/>
                <w:highlight w:val="none"/>
              </w:rPr>
              <w:t>个有排序的中标候选人，公示期满后招标人</w:t>
            </w:r>
            <w:r>
              <w:rPr>
                <w:rFonts w:hint="eastAsia" w:ascii="Calibri" w:hAnsi="Calibri" w:cs="Calibri"/>
                <w:color w:val="auto"/>
                <w:szCs w:val="21"/>
                <w:highlight w:val="none"/>
              </w:rPr>
              <w:t>按照相关规定</w:t>
            </w:r>
            <w:r>
              <w:rPr>
                <w:rFonts w:hint="default" w:ascii="Calibri" w:hAnsi="Calibri" w:cs="Calibri"/>
                <w:color w:val="auto"/>
                <w:szCs w:val="21"/>
                <w:highlight w:val="none"/>
              </w:rPr>
              <w:t>确定中标人。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评定分离法，即：</w:t>
            </w:r>
            <w:r>
              <w:rPr>
                <w:rFonts w:hint="default" w:ascii="Calibri" w:hAnsi="Calibri" w:cs="Calibri"/>
                <w:color w:val="auto"/>
                <w:szCs w:val="21"/>
                <w:highlight w:val="none"/>
              </w:rPr>
              <w:t>由评标委员会推荐</w:t>
            </w:r>
            <w:r>
              <w:rPr>
                <w:rFonts w:hint="eastAsia" w:ascii="Calibri" w:hAnsi="Calibri" w:cs="Calibri"/>
                <w:color w:val="auto"/>
                <w:szCs w:val="21"/>
                <w:highlight w:val="none"/>
              </w:rPr>
              <w:t>不超过</w:t>
            </w:r>
            <w:r>
              <w:rPr>
                <w:rFonts w:hint="default" w:ascii="Calibri" w:hAnsi="Calibri" w:cs="Calibri"/>
                <w:color w:val="auto"/>
                <w:szCs w:val="21"/>
                <w:highlight w:val="none"/>
              </w:rPr>
              <w:t>3个不排序的中标候选人，招标人按下列</w:t>
            </w:r>
            <w:r>
              <w:rPr>
                <w:rFonts w:hint="eastAsia" w:ascii="Calibri" w:hAnsi="Calibri" w:cs="Calibri"/>
                <w:color w:val="auto"/>
                <w:szCs w:val="21"/>
                <w:highlight w:val="none"/>
              </w:rPr>
              <w:t>第</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种</w:t>
            </w:r>
            <w:r>
              <w:rPr>
                <w:rFonts w:hint="default" w:ascii="Calibri" w:hAnsi="Calibri" w:cs="Calibri"/>
                <w:color w:val="auto"/>
                <w:szCs w:val="21"/>
                <w:highlight w:val="none"/>
              </w:rPr>
              <w:t>方式确定中标人</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Calibri" w:hAnsi="Calibri" w:cs="Calibri"/>
                <w:bCs/>
                <w:color w:val="auto"/>
                <w:szCs w:val="21"/>
                <w:highlight w:val="none"/>
              </w:rPr>
              <w:t>（1）</w:t>
            </w:r>
            <w:r>
              <w:rPr>
                <w:rFonts w:hint="default" w:ascii="Calibri" w:hAnsi="Calibri" w:cs="Calibri"/>
                <w:bCs/>
                <w:color w:val="auto"/>
                <w:szCs w:val="21"/>
                <w:highlight w:val="none"/>
              </w:rPr>
              <w:t>票决法</w:t>
            </w:r>
            <w:r>
              <w:rPr>
                <w:rFonts w:hint="eastAsia" w:ascii="Calibri" w:hAnsi="Calibri" w:cs="Calibri"/>
                <w:bCs/>
                <w:color w:val="auto"/>
                <w:szCs w:val="21"/>
                <w:highlight w:val="none"/>
              </w:rPr>
              <w:t>：</w:t>
            </w:r>
            <w:r>
              <w:rPr>
                <w:rFonts w:hint="eastAsia" w:ascii="Calibri" w:hAnsi="Calibri" w:cs="Calibri"/>
                <w:color w:val="auto"/>
                <w:szCs w:val="21"/>
                <w:highlight w:val="none"/>
                <w:lang w:val="en-US" w:eastAsia="zh-CN"/>
              </w:rPr>
              <w:t>投票决定</w:t>
            </w:r>
            <w:r>
              <w:rPr>
                <w:rFonts w:hint="eastAsia" w:ascii="Calibri" w:hAnsi="Calibri" w:cs="Calibri"/>
                <w:bCs/>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eastAsia" w:ascii="Calibri" w:hAnsi="Calibri" w:cs="Calibri"/>
                <w:bCs/>
                <w:color w:val="auto"/>
                <w:szCs w:val="21"/>
                <w:highlight w:val="none"/>
              </w:rPr>
            </w:pPr>
            <w:r>
              <w:rPr>
                <w:rFonts w:hint="eastAsia" w:ascii="Calibri" w:hAnsi="Calibri" w:cs="Calibri"/>
                <w:bCs/>
                <w:color w:val="auto"/>
                <w:szCs w:val="21"/>
                <w:highlight w:val="none"/>
              </w:rPr>
              <w:t>（2）</w:t>
            </w:r>
            <w:r>
              <w:rPr>
                <w:rFonts w:hint="default" w:ascii="Calibri" w:hAnsi="Calibri" w:cs="Calibri"/>
                <w:bCs/>
                <w:color w:val="auto"/>
                <w:szCs w:val="21"/>
                <w:highlight w:val="none"/>
              </w:rPr>
              <w:t>报价</w:t>
            </w:r>
            <w:r>
              <w:rPr>
                <w:rFonts w:hint="eastAsia" w:ascii="Calibri" w:hAnsi="Calibri" w:cs="Calibri"/>
                <w:bCs/>
                <w:color w:val="auto"/>
                <w:szCs w:val="21"/>
                <w:highlight w:val="none"/>
              </w:rPr>
              <w:t>竞争</w:t>
            </w:r>
            <w:r>
              <w:rPr>
                <w:rFonts w:hint="default" w:ascii="Calibri" w:hAnsi="Calibri" w:cs="Calibri"/>
                <w:bCs/>
                <w:color w:val="auto"/>
                <w:szCs w:val="21"/>
                <w:highlight w:val="none"/>
              </w:rPr>
              <w:t>法</w:t>
            </w:r>
            <w:r>
              <w:rPr>
                <w:rFonts w:hint="eastAsia" w:ascii="Calibri" w:hAnsi="Calibri" w:cs="Calibri"/>
                <w:bCs/>
                <w:color w:val="auto"/>
                <w:szCs w:val="21"/>
                <w:highlight w:val="none"/>
              </w:rPr>
              <w:t>：</w:t>
            </w:r>
            <w:r>
              <w:rPr>
                <w:rFonts w:hint="eastAsia" w:ascii="Calibri" w:hAnsi="Calibri" w:cs="Calibri"/>
                <w:bCs/>
                <w:color w:val="auto"/>
                <w:szCs w:val="21"/>
                <w:highlight w:val="none"/>
                <w:lang w:val="en-US" w:eastAsia="zh-CN"/>
              </w:rPr>
              <w:t>按</w:t>
            </w:r>
            <w:r>
              <w:rPr>
                <w:rFonts w:hint="eastAsia" w:ascii="宋体" w:hAnsi="宋体" w:cs="仿宋_GB2312"/>
                <w:color w:val="auto"/>
                <w:szCs w:val="21"/>
                <w:highlight w:val="none"/>
              </w:rPr>
              <w:t>最低投标价</w:t>
            </w:r>
            <w:r>
              <w:rPr>
                <w:rFonts w:hint="eastAsia" w:ascii="宋体" w:hAnsi="宋体" w:cs="仿宋_GB2312"/>
                <w:color w:val="auto"/>
                <w:szCs w:val="21"/>
                <w:highlight w:val="none"/>
                <w:lang w:val="en-US" w:eastAsia="zh-CN"/>
              </w:rPr>
              <w:t>确定</w:t>
            </w:r>
            <w:r>
              <w:rPr>
                <w:rFonts w:hint="eastAsia" w:ascii="Calibri" w:hAnsi="Calibri" w:cs="Calibri"/>
                <w:color w:val="auto"/>
                <w:szCs w:val="21"/>
                <w:highlight w:val="none"/>
              </w:rPr>
              <w:t>；</w:t>
            </w:r>
            <w:r>
              <w:rPr>
                <w:rFonts w:hint="eastAsia" w:ascii="Calibri" w:hAnsi="Calibri" w:cs="Calibri"/>
                <w:bCs/>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t>（3）</w:t>
            </w:r>
            <w:r>
              <w:rPr>
                <w:rFonts w:hint="eastAsia" w:ascii="Calibri" w:hAnsi="Calibri" w:cs="Calibri"/>
                <w:bCs/>
                <w:color w:val="auto"/>
                <w:szCs w:val="21"/>
                <w:highlight w:val="none"/>
              </w:rPr>
              <w:t>因素法：</w:t>
            </w:r>
            <w:r>
              <w:rPr>
                <w:rFonts w:hint="default" w:ascii="Calibri" w:hAnsi="Calibri" w:cs="Calibri"/>
                <w:color w:val="auto"/>
                <w:szCs w:val="21"/>
                <w:highlight w:val="none"/>
              </w:rPr>
              <w:sym w:font="Wingdings 2" w:char="00A3"/>
            </w:r>
            <w:bookmarkStart w:id="95" w:name="_Hlk73543692"/>
            <w:r>
              <w:rPr>
                <w:rFonts w:hint="eastAsia" w:ascii="Calibri" w:hAnsi="Calibri" w:cs="Calibri"/>
                <w:color w:val="auto"/>
                <w:szCs w:val="21"/>
                <w:highlight w:val="none"/>
              </w:rPr>
              <w:t>施工组织设计和企业资信及履约能力两项得分乘以相应权重之和由高至低排序确定</w:t>
            </w:r>
            <w:r>
              <w:rPr>
                <w:rFonts w:hint="eastAsia" w:ascii="宋体" w:hAnsi="宋体" w:cs="宋体"/>
                <w:color w:val="auto"/>
                <w:szCs w:val="21"/>
                <w:highlight w:val="none"/>
              </w:rPr>
              <w:t>；</w:t>
            </w: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企业资信及履约能力</w:t>
            </w:r>
            <w:r>
              <w:rPr>
                <w:rFonts w:hint="eastAsia" w:ascii="宋体" w:hAnsi="宋体" w:cs="宋体"/>
                <w:color w:val="auto"/>
                <w:szCs w:val="21"/>
                <w:highlight w:val="none"/>
              </w:rPr>
              <w:t>得分由高至低排序确定</w:t>
            </w:r>
            <w:r>
              <w:rPr>
                <w:rFonts w:hint="eastAsia" w:ascii="Calibri" w:hAnsi="Calibri" w:cs="Calibri"/>
                <w:bCs/>
                <w:color w:val="auto"/>
                <w:szCs w:val="21"/>
                <w:highlight w:val="none"/>
              </w:rPr>
              <w:t>。</w:t>
            </w:r>
            <w:bookmarkEnd w:id="95"/>
            <w:r>
              <w:rPr>
                <w:rFonts w:hint="eastAsia" w:ascii="Calibri" w:hAnsi="Calibri" w:cs="Calibri"/>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1065"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7.3.1</w:t>
            </w:r>
          </w:p>
        </w:tc>
        <w:tc>
          <w:tcPr>
            <w:tcW w:w="1770" w:type="dxa"/>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履约担保</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经评审</w:t>
            </w:r>
            <w:r>
              <w:rPr>
                <w:rFonts w:hint="eastAsia" w:ascii="Calibri" w:hAnsi="Calibri" w:cs="Calibri"/>
                <w:color w:val="auto"/>
                <w:szCs w:val="21"/>
                <w:highlight w:val="none"/>
              </w:rPr>
              <w:t>的</w:t>
            </w:r>
            <w:r>
              <w:rPr>
                <w:rFonts w:hint="default" w:ascii="Calibri" w:hAnsi="Calibri" w:cs="Calibri"/>
                <w:color w:val="auto"/>
                <w:szCs w:val="21"/>
                <w:highlight w:val="none"/>
              </w:rPr>
              <w:t>最低投标价法，</w:t>
            </w:r>
            <w:r>
              <w:rPr>
                <w:rFonts w:hint="eastAsia" w:ascii="Calibri" w:hAnsi="Calibri" w:cs="Calibri"/>
                <w:color w:val="auto"/>
                <w:szCs w:val="21"/>
                <w:highlight w:val="none"/>
              </w:rPr>
              <w:t>应当</w:t>
            </w:r>
            <w:r>
              <w:rPr>
                <w:rFonts w:hint="default" w:ascii="Calibri" w:hAnsi="Calibri" w:cs="Calibri"/>
                <w:color w:val="auto"/>
                <w:szCs w:val="21"/>
                <w:highlight w:val="none"/>
              </w:rPr>
              <w:t>提供履约担保，</w:t>
            </w:r>
          </w:p>
          <w:p>
            <w:pPr>
              <w:keepNext w:val="0"/>
              <w:keepLines w:val="0"/>
              <w:numPr>
                <w:ilvl w:val="0"/>
                <w:numId w:val="1"/>
              </w:numPr>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保函形式：包括银行业金融机构保函</w:t>
            </w:r>
            <w:r>
              <w:rPr>
                <w:rFonts w:hint="eastAsia" w:ascii="Calibri" w:hAnsi="Calibri" w:cs="Calibri"/>
                <w:color w:val="auto"/>
                <w:szCs w:val="21"/>
                <w:highlight w:val="none"/>
              </w:rPr>
              <w:t>、担保公司担保（</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融资性担保公司保函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2.担保金额：中标金额低于最高投标限价10%以内的，不超过中标合同金额的10%</w:t>
            </w:r>
            <w:r>
              <w:rPr>
                <w:rFonts w:hint="eastAsia" w:ascii="Calibri" w:hAnsi="Calibri" w:cs="Calibri"/>
                <w:color w:val="auto"/>
                <w:szCs w:val="21"/>
                <w:highlight w:val="none"/>
              </w:rPr>
              <w:t>。</w:t>
            </w:r>
            <w:r>
              <w:rPr>
                <w:rFonts w:hint="default" w:ascii="Calibri" w:hAnsi="Calibri" w:cs="Calibri"/>
                <w:color w:val="auto"/>
                <w:szCs w:val="21"/>
                <w:highlight w:val="none"/>
              </w:rPr>
              <w:t>中标金额低于最高投标限价10%以上的，为最高投标限价减去中标合同金额后的差额。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综合评估法：</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不要求提供履约担保；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要求</w:t>
            </w:r>
            <w:r>
              <w:rPr>
                <w:rFonts w:hint="eastAsia" w:ascii="Calibri" w:hAnsi="Calibri" w:cs="Calibri"/>
                <w:color w:val="auto"/>
                <w:szCs w:val="21"/>
                <w:highlight w:val="none"/>
              </w:rPr>
              <w:t>提供</w:t>
            </w:r>
            <w:r>
              <w:rPr>
                <w:rFonts w:hint="default" w:ascii="Calibri" w:hAnsi="Calibri" w:cs="Calibri"/>
                <w:color w:val="auto"/>
                <w:szCs w:val="21"/>
                <w:highlight w:val="none"/>
              </w:rPr>
              <w:t>履约担保1.保函形式：银行业金融机构保函</w:t>
            </w:r>
            <w:r>
              <w:rPr>
                <w:rFonts w:hint="eastAsia" w:ascii="Calibri" w:hAnsi="Calibri" w:cs="Calibri"/>
                <w:color w:val="auto"/>
                <w:szCs w:val="21"/>
                <w:highlight w:val="none"/>
              </w:rPr>
              <w:t>、担保公司担保（</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融资性担保公司保函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2.</w:t>
            </w:r>
            <w:r>
              <w:rPr>
                <w:rFonts w:hint="default" w:ascii="Calibri" w:hAnsi="Calibri" w:cs="Calibri"/>
                <w:color w:val="auto"/>
                <w:szCs w:val="21"/>
                <w:highlight w:val="none"/>
              </w:rPr>
              <w:t xml:space="preserve"> 担保金额：</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70" w:type="dxa"/>
            <w:gridSpan w:val="3"/>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类似工程业绩</w:t>
            </w:r>
          </w:p>
        </w:tc>
        <w:tc>
          <w:tcPr>
            <w:tcW w:w="643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1.资格</w:t>
            </w:r>
            <w:r>
              <w:rPr>
                <w:rFonts w:hint="eastAsia" w:ascii="Calibri" w:hAnsi="Calibri" w:cs="Calibri"/>
                <w:color w:val="auto"/>
                <w:szCs w:val="21"/>
                <w:highlight w:val="none"/>
              </w:rPr>
              <w:t>要求</w:t>
            </w:r>
            <w:r>
              <w:rPr>
                <w:rFonts w:hint="default" w:ascii="Calibri" w:hAnsi="Calibri" w:cs="Calibri"/>
                <w:color w:val="auto"/>
                <w:szCs w:val="21"/>
                <w:highlight w:val="none"/>
              </w:rPr>
              <w:t>：</w:t>
            </w:r>
          </w:p>
          <w:p>
            <w:pPr>
              <w:keepNext w:val="0"/>
              <w:keepLines w:val="0"/>
              <w:suppressLineNumbers w:val="0"/>
              <w:snapToGrid w:val="0"/>
              <w:spacing w:before="0" w:beforeAutospacing="0" w:after="0" w:afterAutospacing="0"/>
              <w:ind w:left="0" w:right="0" w:firstLine="210" w:firstLineChars="100"/>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不要求类似工程业绩</w:t>
            </w:r>
          </w:p>
          <w:p>
            <w:pPr>
              <w:keepNext w:val="0"/>
              <w:keepLines w:val="0"/>
              <w:suppressLineNumbers w:val="0"/>
              <w:snapToGrid w:val="0"/>
              <w:spacing w:before="0" w:beforeAutospacing="0" w:after="0" w:afterAutospacing="0"/>
              <w:ind w:left="420" w:leftChars="100" w:right="0" w:hanging="210" w:hangingChars="100"/>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要求类似工程业绩（由招标人在以下工程业绩中勾选一项）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投标人1项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拟任项目经理1项</w:t>
            </w:r>
          </w:p>
          <w:p>
            <w:pPr>
              <w:keepNext w:val="0"/>
              <w:keepLines w:val="0"/>
              <w:suppressLineNumbers w:val="0"/>
              <w:tabs>
                <w:tab w:val="left" w:pos="312"/>
              </w:tabs>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2.</w:t>
            </w:r>
            <w:r>
              <w:rPr>
                <w:rFonts w:hint="eastAsia" w:ascii="Calibri" w:hAnsi="Calibri" w:cs="Calibri"/>
                <w:color w:val="auto"/>
                <w:szCs w:val="21"/>
                <w:highlight w:val="none"/>
              </w:rPr>
              <w:t>评审加分</w:t>
            </w:r>
            <w:r>
              <w:rPr>
                <w:rFonts w:hint="default" w:ascii="Calibri" w:hAnsi="Calibri" w:cs="Calibri"/>
                <w:color w:val="auto"/>
                <w:szCs w:val="21"/>
                <w:highlight w:val="none"/>
              </w:rPr>
              <w:t>要求的类似工程业绩</w:t>
            </w:r>
            <w:r>
              <w:rPr>
                <w:rFonts w:hint="eastAsia" w:ascii="Calibri" w:hAnsi="Calibri" w:cs="Calibri"/>
                <w:color w:val="auto"/>
                <w:szCs w:val="21"/>
                <w:highlight w:val="none"/>
              </w:rPr>
              <w:t>个数</w:t>
            </w:r>
          </w:p>
          <w:p>
            <w:pPr>
              <w:keepNext w:val="0"/>
              <w:keepLines w:val="0"/>
              <w:suppressLineNumbers w:val="0"/>
              <w:snapToGrid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2.1投标人：</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0</w:t>
            </w:r>
            <w:r>
              <w:rPr>
                <w:rFonts w:hint="eastAsia" w:ascii="Calibri" w:hAnsi="Calibri" w:cs="Calibri"/>
                <w:color w:val="auto"/>
                <w:szCs w:val="21"/>
                <w:highlight w:val="none"/>
              </w:rPr>
              <w:t xml:space="preserve">个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1</w:t>
            </w:r>
            <w:r>
              <w:rPr>
                <w:rFonts w:hint="eastAsia" w:ascii="Calibri" w:hAnsi="Calibri" w:cs="Calibri"/>
                <w:color w:val="auto"/>
                <w:szCs w:val="21"/>
                <w:highlight w:val="none"/>
              </w:rPr>
              <w:t>个</w:t>
            </w:r>
            <w:r>
              <w:rPr>
                <w:rFonts w:hint="default" w:ascii="Calibri" w:hAnsi="Calibri" w:cs="Calibri"/>
                <w:color w:val="auto"/>
                <w:szCs w:val="21"/>
                <w:highlight w:val="none"/>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2</w:t>
            </w:r>
            <w:r>
              <w:rPr>
                <w:rFonts w:hint="eastAsia" w:ascii="Calibri" w:hAnsi="Calibri" w:cs="Calibri"/>
                <w:color w:val="auto"/>
                <w:szCs w:val="21"/>
                <w:highlight w:val="none"/>
              </w:rPr>
              <w:t xml:space="preserve">个  </w:t>
            </w: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3个</w:t>
            </w:r>
          </w:p>
          <w:p>
            <w:pPr>
              <w:keepNext w:val="0"/>
              <w:keepLines w:val="0"/>
              <w:suppressLineNumbers w:val="0"/>
              <w:snapToGrid w:val="0"/>
              <w:spacing w:before="0" w:beforeAutospacing="0" w:after="0" w:afterAutospacing="0"/>
              <w:ind w:left="0" w:right="0" w:firstLine="210" w:firstLineChars="100"/>
              <w:rPr>
                <w:rFonts w:hint="eastAsia" w:ascii="Calibri" w:hAnsi="Calibri" w:cs="Calibri"/>
                <w:color w:val="auto"/>
                <w:szCs w:val="21"/>
                <w:highlight w:val="none"/>
              </w:rPr>
            </w:pPr>
            <w:r>
              <w:rPr>
                <w:rFonts w:hint="eastAsia" w:ascii="Calibri" w:hAnsi="Calibri" w:cs="Calibri"/>
                <w:color w:val="auto"/>
                <w:szCs w:val="21"/>
                <w:highlight w:val="none"/>
              </w:rPr>
              <w:t>2.2拟任项目经理：</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0</w:t>
            </w:r>
            <w:r>
              <w:rPr>
                <w:rFonts w:hint="eastAsia" w:ascii="Calibri" w:hAnsi="Calibri" w:cs="Calibri"/>
                <w:color w:val="auto"/>
                <w:szCs w:val="21"/>
                <w:highlight w:val="none"/>
              </w:rPr>
              <w:t xml:space="preserve">个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1</w:t>
            </w:r>
            <w:r>
              <w:rPr>
                <w:rFonts w:hint="eastAsia" w:ascii="Calibri" w:hAnsi="Calibri" w:cs="Calibri"/>
                <w:color w:val="auto"/>
                <w:szCs w:val="21"/>
                <w:highlight w:val="none"/>
              </w:rPr>
              <w:t>个</w:t>
            </w:r>
          </w:p>
          <w:p>
            <w:pPr>
              <w:keepNext w:val="0"/>
              <w:keepLines w:val="0"/>
              <w:suppressLineNumbers w:val="0"/>
              <w:tabs>
                <w:tab w:val="left" w:pos="312"/>
              </w:tabs>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3</w:t>
            </w:r>
            <w:r>
              <w:rPr>
                <w:rFonts w:hint="default" w:ascii="Calibri" w:hAnsi="Calibri" w:cs="Calibri"/>
                <w:color w:val="auto"/>
                <w:szCs w:val="21"/>
                <w:highlight w:val="none"/>
              </w:rPr>
              <w:t>.类似工程业绩应当符合以下</w:t>
            </w:r>
            <w:r>
              <w:rPr>
                <w:rFonts w:hint="eastAsia" w:ascii="Calibri" w:hAnsi="Calibri" w:cs="Calibri"/>
                <w:color w:val="auto"/>
                <w:szCs w:val="21"/>
                <w:highlight w:val="none"/>
              </w:rPr>
              <w:t>规定</w:t>
            </w:r>
            <w:r>
              <w:rPr>
                <w:rFonts w:hint="default" w:ascii="Calibri" w:hAnsi="Calibri" w:cs="Calibri"/>
                <w:color w:val="auto"/>
                <w:szCs w:val="21"/>
                <w:highlight w:val="none"/>
              </w:rPr>
              <w:t>：</w:t>
            </w:r>
          </w:p>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（1）资格要求的类似工程业绩：</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w:t>
            </w:r>
          </w:p>
          <w:p>
            <w:pPr>
              <w:keepNext w:val="0"/>
              <w:keepLines w:val="0"/>
              <w:suppressLineNumbers w:val="0"/>
              <w:snapToGrid w:val="0"/>
              <w:spacing w:before="0" w:beforeAutospacing="0" w:after="0" w:afterAutospacing="0"/>
              <w:ind w:left="-103" w:leftChars="-49" w:right="0"/>
              <w:rPr>
                <w:rFonts w:hint="default" w:ascii="Calibri" w:hAnsi="Calibri" w:cs="Calibri"/>
                <w:color w:val="auto"/>
                <w:szCs w:val="21"/>
                <w:highlight w:val="none"/>
                <w:u w:val="single"/>
              </w:rPr>
            </w:pPr>
            <w:r>
              <w:rPr>
                <w:rFonts w:hint="eastAsia" w:ascii="Calibri" w:hAnsi="Calibri" w:cs="Calibri"/>
                <w:color w:val="auto"/>
                <w:szCs w:val="21"/>
                <w:highlight w:val="none"/>
              </w:rPr>
              <w:t xml:space="preserve"> （2）评审加分要求的类似工程业绩：</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w:t>
            </w:r>
          </w:p>
          <w:p>
            <w:pPr>
              <w:keepNext w:val="0"/>
              <w:keepLines w:val="0"/>
              <w:suppressLineNumbers w:val="0"/>
              <w:snapToGrid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w:t>
            </w:r>
            <w:r>
              <w:rPr>
                <w:rFonts w:hint="eastAsia" w:ascii="Calibri" w:hAnsi="Calibri" w:cs="Calibri"/>
                <w:color w:val="auto"/>
                <w:szCs w:val="21"/>
                <w:highlight w:val="none"/>
              </w:rPr>
              <w:t>由招标人根据招标项目的特点和实际需要提出要求，并符合以下规定：</w:t>
            </w:r>
            <w:r>
              <w:rPr>
                <w:rFonts w:hint="eastAsia" w:ascii="宋体" w:hAnsi="宋体" w:cs="宋体"/>
                <w:color w:val="auto"/>
                <w:szCs w:val="21"/>
                <w:highlight w:val="none"/>
              </w:rPr>
              <w:t>①</w:t>
            </w:r>
            <w:r>
              <w:rPr>
                <w:rFonts w:hint="default" w:ascii="Calibri" w:hAnsi="Calibri" w:cs="Calibri"/>
                <w:color w:val="auto"/>
                <w:szCs w:val="21"/>
                <w:highlight w:val="none"/>
              </w:rPr>
              <w:t>投标人资格要求的类似工程业绩原则上不超过招标项目相关指标的50%［四舍五入取整数，下同</w:t>
            </w:r>
            <w:r>
              <w:rPr>
                <w:rFonts w:hint="eastAsia" w:ascii="Calibri" w:hAnsi="Calibri" w:cs="Calibri"/>
                <w:color w:val="auto"/>
                <w:szCs w:val="21"/>
                <w:highlight w:val="none"/>
              </w:rPr>
              <w:t>］</w:t>
            </w:r>
            <w:r>
              <w:rPr>
                <w:rFonts w:hint="eastAsia" w:ascii="宋体" w:hAnsi="宋体" w:cs="宋体"/>
                <w:color w:val="auto"/>
                <w:szCs w:val="21"/>
                <w:highlight w:val="none"/>
              </w:rPr>
              <w:t>②</w:t>
            </w:r>
            <w:r>
              <w:rPr>
                <w:rFonts w:hint="eastAsia" w:ascii="Calibri" w:hAnsi="Calibri" w:cs="Calibri"/>
                <w:color w:val="auto"/>
                <w:szCs w:val="21"/>
                <w:highlight w:val="none"/>
              </w:rPr>
              <w:t>评审加分</w:t>
            </w:r>
            <w:r>
              <w:rPr>
                <w:rFonts w:hint="default" w:ascii="Calibri" w:hAnsi="Calibri" w:cs="Calibri"/>
                <w:color w:val="auto"/>
                <w:szCs w:val="21"/>
                <w:highlight w:val="none"/>
              </w:rPr>
              <w:t>的类似工程业绩，原则上</w:t>
            </w:r>
            <w:r>
              <w:rPr>
                <w:rFonts w:hint="eastAsia" w:ascii="Calibri" w:hAnsi="Calibri" w:cs="Calibri"/>
                <w:color w:val="auto"/>
                <w:szCs w:val="21"/>
                <w:highlight w:val="none"/>
              </w:rPr>
              <w:t>为</w:t>
            </w:r>
            <w:r>
              <w:rPr>
                <w:rFonts w:hint="default" w:ascii="Calibri" w:hAnsi="Calibri" w:cs="Calibri"/>
                <w:color w:val="auto"/>
                <w:szCs w:val="21"/>
                <w:highlight w:val="none"/>
              </w:rPr>
              <w:t>招标项目相关指标的70%。其中：</w:t>
            </w:r>
            <w:r>
              <w:rPr>
                <w:rFonts w:hint="eastAsia" w:ascii="Calibri" w:hAnsi="Calibri" w:cs="Calibri"/>
                <w:color w:val="auto"/>
                <w:szCs w:val="21"/>
                <w:highlight w:val="none"/>
              </w:rPr>
              <w:t>房屋建筑工程，采用</w:t>
            </w:r>
            <w:r>
              <w:rPr>
                <w:rFonts w:hint="eastAsia" w:ascii="Calibri" w:hAnsi="Calibri" w:cs="Calibri"/>
                <w:color w:val="auto"/>
                <w:szCs w:val="32"/>
                <w:highlight w:val="none"/>
              </w:rPr>
              <w:t>建筑类型、</w:t>
            </w:r>
            <w:r>
              <w:rPr>
                <w:rFonts w:hint="default" w:ascii="Calibri" w:hAnsi="Calibri" w:cs="Calibri"/>
                <w:color w:val="auto"/>
                <w:szCs w:val="32"/>
                <w:highlight w:val="none"/>
              </w:rPr>
              <w:t>结构、层数、高度、建筑面积、跨度、单项合同额等</w:t>
            </w:r>
            <w:r>
              <w:rPr>
                <w:rFonts w:hint="default" w:ascii="Calibri" w:hAnsi="Calibri" w:cs="Calibri"/>
                <w:color w:val="auto"/>
                <w:highlight w:val="none"/>
              </w:rPr>
              <w:t>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szCs w:val="21"/>
                <w:highlight w:val="none"/>
              </w:rPr>
              <w:t>的 1-2项。市政基础设施工程，采用道路长度或者面积、桥梁长度或者面积或者跨度或者结构、管道直径或者压力、隧道和地下交通工程断面面积、供水能力、供气能力、供热能力、污水处理能力、垃圾处理能力、园林绿化规模以及单项合同额等</w:t>
            </w:r>
            <w:r>
              <w:rPr>
                <w:rFonts w:hint="default" w:ascii="Calibri" w:hAnsi="Calibri" w:cs="Calibri"/>
                <w:color w:val="auto"/>
                <w:highlight w:val="none"/>
              </w:rPr>
              <w:t>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szCs w:val="21"/>
                <w:highlight w:val="none"/>
              </w:rPr>
              <w:t>的1-2 项）。</w:t>
            </w:r>
          </w:p>
          <w:p>
            <w:pPr>
              <w:keepNext w:val="0"/>
              <w:keepLines w:val="0"/>
              <w:suppressLineNumbers w:val="0"/>
              <w:snapToGrid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szCs w:val="21"/>
                <w:highlight w:val="none"/>
              </w:rPr>
              <w:t>4.类似工程业绩的考核要求：</w:t>
            </w:r>
          </w:p>
          <w:p>
            <w:pPr>
              <w:keepNext w:val="0"/>
              <w:keepLines w:val="0"/>
              <w:suppressLineNumbers w:val="0"/>
              <w:snapToGrid/>
              <w:spacing w:before="0" w:beforeAutospacing="0" w:after="0" w:afterAutospacing="0" w:line="240" w:lineRule="auto"/>
              <w:ind w:left="0" w:right="0" w:firstLine="0" w:firstLineChars="0"/>
              <w:rPr>
                <w:rFonts w:hint="eastAsia" w:ascii="Times New Roman" w:hAnsi="Times New Roman" w:eastAsia="宋体" w:cs="Times New Roman"/>
                <w:color w:val="auto"/>
                <w:sz w:val="21"/>
                <w:highlight w:val="none"/>
              </w:rPr>
            </w:pPr>
            <w:r>
              <w:rPr>
                <w:rFonts w:hint="eastAsia" w:ascii="Calibri" w:hAnsi="Calibri" w:cs="Calibri"/>
                <w:bCs/>
                <w:color w:val="auto"/>
                <w:highlight w:val="none"/>
              </w:rPr>
              <w:t>（1）考核依</w:t>
            </w:r>
            <w:r>
              <w:rPr>
                <w:rFonts w:hint="eastAsia" w:ascii="Times New Roman" w:hAnsi="Times New Roman" w:eastAsia="宋体" w:cs="Times New Roman"/>
                <w:bCs w:val="0"/>
                <w:color w:val="auto"/>
                <w:highlight w:val="none"/>
              </w:rPr>
              <w:t>据：</w:t>
            </w:r>
            <w:r>
              <w:rPr>
                <w:rFonts w:hint="eastAsia" w:ascii="Times New Roman" w:hAnsi="Times New Roman" w:eastAsia="宋体" w:cs="Times New Roman"/>
                <w:color w:val="auto"/>
                <w:sz w:val="21"/>
                <w:highlight w:val="none"/>
              </w:rPr>
              <w:t>以投标文件中提供的中标通知书（招标工程提交）、 合同和竣工验收资料以及本项目答疑文件明确可以作为考核依据的资料的复印件为准，并提供“湖南省智慧住建云—湖南省建筑市场监管公共服务平台”或者“全国建筑市场监管公共服务平台”上体现其作为</w:t>
            </w:r>
            <w:r>
              <w:rPr>
                <w:rFonts w:hint="eastAsia" w:ascii="Times New Roman" w:hAnsi="Times New Roman" w:eastAsia="宋体" w:cs="Times New Roman"/>
                <w:color w:val="auto"/>
                <w:sz w:val="21"/>
                <w:highlight w:val="none"/>
                <w:lang w:val="en-US" w:eastAsia="zh-CN"/>
              </w:rPr>
              <w:t>相应</w:t>
            </w:r>
            <w:r>
              <w:rPr>
                <w:rFonts w:hint="eastAsia" w:ascii="Times New Roman" w:hAnsi="Times New Roman" w:eastAsia="宋体" w:cs="Times New Roman"/>
                <w:color w:val="auto"/>
                <w:sz w:val="21"/>
                <w:highlight w:val="none"/>
              </w:rPr>
              <w:t>承包人</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项目经理</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rPr>
              <w:t>的项目网页截图。</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r>
              <w:rPr>
                <w:rFonts w:hint="eastAsia" w:cs="Times New Roman"/>
                <w:color w:val="auto"/>
                <w:sz w:val="21"/>
                <w:highlight w:val="none"/>
                <w:lang w:eastAsia="zh-CN"/>
              </w:rPr>
              <w:t>。</w:t>
            </w:r>
          </w:p>
          <w:p>
            <w:pPr>
              <w:keepNext w:val="0"/>
              <w:keepLines w:val="0"/>
              <w:suppressLineNumbers w:val="0"/>
              <w:snapToGrid/>
              <w:spacing w:before="0" w:beforeAutospacing="0" w:after="0" w:afterAutospacing="0" w:line="240" w:lineRule="auto"/>
              <w:ind w:left="0" w:right="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投标人提供的类似工程业绩同时包含</w:t>
            </w:r>
            <w:r>
              <w:rPr>
                <w:rFonts w:hint="eastAsia" w:ascii="Times New Roman" w:hAnsi="Times New Roman" w:eastAsia="宋体" w:cs="Times New Roman"/>
                <w:color w:val="auto"/>
                <w:sz w:val="21"/>
                <w:highlight w:val="none"/>
                <w:lang w:val="en-US" w:eastAsia="zh-CN"/>
              </w:rPr>
              <w:t>多种类型</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专业）</w:t>
            </w:r>
            <w:r>
              <w:rPr>
                <w:rFonts w:hint="eastAsia" w:ascii="Times New Roman" w:hAnsi="Times New Roman" w:eastAsia="宋体" w:cs="Times New Roman"/>
                <w:color w:val="auto"/>
                <w:sz w:val="21"/>
                <w:highlight w:val="none"/>
              </w:rPr>
              <w:t>的，其工程</w:t>
            </w:r>
            <w:r>
              <w:rPr>
                <w:rFonts w:hint="eastAsia" w:ascii="Times New Roman" w:hAnsi="Times New Roman" w:eastAsia="宋体" w:cs="Times New Roman"/>
                <w:color w:val="auto"/>
                <w:sz w:val="21"/>
                <w:highlight w:val="none"/>
                <w:lang w:val="en-US" w:eastAsia="zh-CN"/>
              </w:rPr>
              <w:t>类型（专业）</w:t>
            </w:r>
            <w:r>
              <w:rPr>
                <w:rFonts w:hint="eastAsia" w:ascii="Times New Roman" w:hAnsi="Times New Roman" w:eastAsia="宋体" w:cs="Times New Roman"/>
                <w:color w:val="auto"/>
                <w:sz w:val="21"/>
                <w:highlight w:val="none"/>
              </w:rPr>
              <w:t>所对应的工程量应当根据中标通知书、合同、竣工验收资料</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以及</w:t>
            </w:r>
            <w:r>
              <w:rPr>
                <w:rFonts w:hint="eastAsia" w:ascii="Times New Roman" w:hAnsi="Times New Roman" w:eastAsia="宋体" w:cs="Times New Roman"/>
                <w:color w:val="auto"/>
                <w:sz w:val="21"/>
                <w:highlight w:val="none"/>
              </w:rPr>
              <w:t>本项目答疑文件明确可以作为考核依据的资料进行认定；以上资料均不能明确区分的，由评标委员会进行认定。</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（2）考核期限：</w:t>
            </w:r>
            <w:r>
              <w:rPr>
                <w:rFonts w:hint="eastAsia" w:ascii="Times New Roman" w:hAnsi="Times New Roman" w:eastAsia="宋体" w:cs="Times New Roman"/>
                <w:color w:val="auto"/>
                <w:highlight w:val="none"/>
                <w:lang w:val="en-US" w:eastAsia="zh-CN"/>
              </w:rPr>
              <w:t>投标截止时间之日前</w:t>
            </w:r>
            <w:r>
              <w:rPr>
                <w:rFonts w:hint="eastAsia" w:ascii="Calibri" w:hAnsi="Calibri" w:cs="Calibri"/>
                <w:color w:val="auto"/>
                <w:highlight w:val="none"/>
                <w:lang w:val="en-US" w:eastAsia="zh-CN"/>
              </w:rPr>
              <w:t>3年</w:t>
            </w:r>
            <w:r>
              <w:rPr>
                <w:rFonts w:hint="eastAsia" w:ascii="Calibri" w:hAnsi="Calibri" w:cs="Calibri"/>
                <w:color w:val="auto"/>
                <w:highlight w:val="none"/>
              </w:rPr>
              <w:t>，</w:t>
            </w:r>
            <w:r>
              <w:rPr>
                <w:rFonts w:hint="eastAsia" w:ascii="Times New Roman" w:hAnsi="Times New Roman" w:eastAsia="宋体" w:cs="Times New Roman"/>
                <w:color w:val="auto"/>
                <w:highlight w:val="none"/>
              </w:rPr>
              <w:t>按工程竣工验收文件中建设单位签字之日起计算。类似工程业绩考核依据中竣工验收备案表未体现建设单位签字之日的以竣工验收备案表“竣工验收日期”栏中注明的时间为准。</w:t>
            </w:r>
          </w:p>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Times New Roman" w:hAnsi="Times New Roman" w:eastAsia="宋体" w:cs="Times New Roman"/>
                <w:color w:val="auto"/>
                <w:highlight w:val="none"/>
              </w:rPr>
              <w:t>投标人提供的类似工程业绩不符合上述规定时，涉及投标人资格条件的，应当认定该投标人资格条件不符合招标文件要求，否决其投标；涉及评审加分的，</w:t>
            </w:r>
            <w:r>
              <w:rPr>
                <w:rFonts w:hint="eastAsia" w:ascii="Times New Roman" w:hAnsi="Times New Roman" w:eastAsia="宋体" w:cs="Times New Roman"/>
                <w:color w:val="auto"/>
                <w:szCs w:val="24"/>
                <w:highlight w:val="none"/>
              </w:rPr>
              <w:t>投标人类似工程业绩不予计分。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8"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企业资信及履约能力评审的奖项、标准化工地</w:t>
            </w:r>
          </w:p>
        </w:tc>
        <w:tc>
          <w:tcPr>
            <w:tcW w:w="643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 xml:space="preserve">奖项个数： </w:t>
            </w:r>
          </w:p>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eastAsia" w:ascii="宋体" w:hAnsi="宋体" w:cs="宋体"/>
                <w:color w:val="auto"/>
                <w:szCs w:val="21"/>
                <w:highlight w:val="none"/>
              </w:rPr>
              <w:t>①</w:t>
            </w:r>
            <w:r>
              <w:rPr>
                <w:rFonts w:hint="default" w:ascii="Calibri" w:hAnsi="Calibri" w:cs="Calibri"/>
                <w:color w:val="auto"/>
                <w:szCs w:val="21"/>
                <w:highlight w:val="none"/>
              </w:rPr>
              <w:t>国家级</w:t>
            </w:r>
            <w:r>
              <w:rPr>
                <w:rFonts w:hint="eastAsia" w:ascii="Calibri" w:hAnsi="Calibri" w:cs="Calibri"/>
                <w:color w:val="auto"/>
                <w:szCs w:val="21"/>
                <w:highlight w:val="none"/>
              </w:rPr>
              <w:t>（鲁班奖、国家优质工程奖）</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eastAsia" w:ascii="Calibri" w:hAnsi="Calibri" w:cs="Calibri"/>
                <w:color w:val="auto"/>
                <w:szCs w:val="21"/>
                <w:highlight w:val="none"/>
              </w:rPr>
              <w:t>投标人</w:t>
            </w:r>
            <w:r>
              <w:rPr>
                <w:rFonts w:hint="eastAsia" w:ascii="Calibri" w:hAnsi="Calibri" w:cs="Calibri"/>
                <w:color w:val="auto"/>
                <w:szCs w:val="21"/>
                <w:highlight w:val="none"/>
                <w:lang w:val="en-US" w:eastAsia="zh-CN"/>
              </w:rPr>
              <w:t xml:space="preserve">  □0个  □1个  □2个  □3个</w:t>
            </w:r>
          </w:p>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eastAsia" w:ascii="Calibri" w:hAnsi="Calibri" w:cs="Calibri"/>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eastAsia" w:ascii="宋体" w:hAnsi="宋体" w:cs="宋体"/>
                <w:color w:val="auto"/>
                <w:szCs w:val="21"/>
                <w:highlight w:val="none"/>
              </w:rPr>
              <w:t>②</w:t>
            </w:r>
            <w:r>
              <w:rPr>
                <w:rFonts w:hint="default" w:ascii="Calibri" w:hAnsi="Calibri" w:cs="Calibri"/>
                <w:color w:val="auto"/>
                <w:szCs w:val="21"/>
                <w:highlight w:val="none"/>
              </w:rPr>
              <w:t>省级</w:t>
            </w:r>
            <w:r>
              <w:rPr>
                <w:rFonts w:hint="eastAsia" w:ascii="Calibri" w:hAnsi="Calibri" w:cs="Calibri"/>
                <w:color w:val="auto"/>
                <w:szCs w:val="21"/>
                <w:highlight w:val="none"/>
              </w:rPr>
              <w:t>（省级综合工程质量奖、省</w:t>
            </w:r>
            <w:r>
              <w:rPr>
                <w:rFonts w:hint="eastAsia" w:ascii="Calibri" w:hAnsi="Calibri" w:cs="Calibri"/>
                <w:color w:val="auto"/>
                <w:szCs w:val="21"/>
                <w:highlight w:val="none"/>
                <w:lang w:val="en-US" w:eastAsia="zh-CN"/>
              </w:rPr>
              <w:t>级</w:t>
            </w:r>
            <w:r>
              <w:rPr>
                <w:rFonts w:hint="eastAsia" w:ascii="Calibri" w:hAnsi="Calibri" w:cs="Calibri"/>
                <w:color w:val="auto"/>
                <w:szCs w:val="21"/>
                <w:highlight w:val="none"/>
              </w:rPr>
              <w:t>优质工程奖</w:t>
            </w:r>
            <w:r>
              <w:rPr>
                <w:rFonts w:hint="default" w:ascii="Times New Roman" w:hAnsi="Times New Roman" w:eastAsia="宋体" w:cs="Times New Roman"/>
                <w:color w:val="auto"/>
                <w:szCs w:val="21"/>
                <w:highlight w:val="none"/>
              </w:rPr>
              <w:t>）：</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lang w:val="en-US" w:eastAsia="zh-CN"/>
              </w:rPr>
              <w:t xml:space="preserve">  </w:t>
            </w:r>
            <w:r>
              <w:rPr>
                <w:rFonts w:hint="eastAsia" w:ascii="Calibri" w:hAnsi="Calibri" w:cs="Calibri"/>
                <w:color w:val="auto"/>
                <w:szCs w:val="21"/>
                <w:highlight w:val="none"/>
                <w:lang w:val="en-US" w:eastAsia="zh-CN"/>
              </w:rPr>
              <w:t>□0个  □1个  □2个  □3个</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2.标准化工地个数：</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①国家级（</w:t>
            </w:r>
            <w:r>
              <w:rPr>
                <w:rFonts w:hint="default" w:ascii="Times New Roman" w:hAnsi="Times New Roman" w:eastAsia="宋体" w:cs="Times New Roman"/>
                <w:color w:val="auto"/>
                <w:kern w:val="2"/>
                <w:sz w:val="21"/>
                <w:szCs w:val="21"/>
                <w:highlight w:val="none"/>
              </w:rPr>
              <w:t>国家建设工程项目施工工地安全生产标准化学习交流项目</w:t>
            </w:r>
            <w:r>
              <w:rPr>
                <w:rFonts w:hint="default" w:ascii="Times New Roman" w:hAnsi="Times New Roman" w:eastAsia="宋体" w:cs="Times New Roman"/>
                <w:color w:val="auto"/>
                <w:szCs w:val="21"/>
                <w:highlight w:val="none"/>
              </w:rPr>
              <w:t>）：</w:t>
            </w:r>
            <w:r>
              <w:rPr>
                <w:rFonts w:hint="eastAsia" w:ascii="Calibri" w:hAnsi="Calibri" w:cs="Calibri"/>
                <w:color w:val="auto"/>
                <w:szCs w:val="21"/>
                <w:highlight w:val="none"/>
                <w:lang w:val="en-US" w:eastAsia="zh-CN"/>
              </w:rPr>
              <w:t>□0个  □1个  □2个</w:t>
            </w:r>
            <w:r>
              <w:rPr>
                <w:rFonts w:hint="default" w:ascii="Times New Roman" w:hAnsi="Times New Roman" w:eastAsia="宋体" w:cs="Times New Roman"/>
                <w:color w:val="auto"/>
                <w:szCs w:val="21"/>
                <w:highlight w:val="none"/>
              </w:rPr>
              <w:t xml:space="preserve"> </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②</w:t>
            </w:r>
            <w:r>
              <w:rPr>
                <w:rFonts w:hint="default" w:ascii="Times New Roman" w:hAnsi="Times New Roman" w:eastAsia="宋体" w:cs="Times New Roman"/>
                <w:color w:val="auto"/>
                <w:kern w:val="2"/>
                <w:sz w:val="21"/>
                <w:szCs w:val="21"/>
                <w:highlight w:val="none"/>
              </w:rPr>
              <w:t>省级建筑施工安全生产标准化年度项目考评优良工地</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rPr>
              <w:t>个（0-20个）</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 园林绿化工程奖项、标准化工地加分规定</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（1）奖项</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①国家级，中国人居环境范例奖（园林绿化获奖项目）：</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lang w:val="en-US" w:eastAsia="zh-CN"/>
              </w:rPr>
              <w:t xml:space="preserve"> </w:t>
            </w:r>
            <w:r>
              <w:rPr>
                <w:rFonts w:hint="eastAsia" w:ascii="Calibri" w:hAnsi="Calibri" w:cs="Calibri"/>
                <w:color w:val="auto"/>
                <w:szCs w:val="21"/>
                <w:highlight w:val="none"/>
                <w:lang w:val="en-US" w:eastAsia="zh-CN"/>
              </w:rPr>
              <w:t>□0个  □1个  □2个  □3个</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②省级园林绿化优质工程奖：</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lang w:val="en-US" w:eastAsia="zh-CN"/>
              </w:rPr>
              <w:t xml:space="preserve"> </w:t>
            </w:r>
            <w:r>
              <w:rPr>
                <w:rFonts w:hint="eastAsia" w:ascii="Calibri" w:hAnsi="Calibri" w:cs="Calibri"/>
                <w:color w:val="auto"/>
                <w:szCs w:val="21"/>
                <w:highlight w:val="none"/>
                <w:lang w:val="en-US" w:eastAsia="zh-CN"/>
              </w:rPr>
              <w:t>□0个  □1个  □2个  □3个</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（2）标准化工地均不加分。</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绿色科技创新</w:t>
            </w:r>
            <w:r>
              <w:rPr>
                <w:rFonts w:hint="eastAsia" w:ascii="Times New Roman" w:hAnsi="Times New Roman" w:eastAsia="宋体" w:cs="Times New Roman"/>
                <w:color w:val="auto"/>
                <w:szCs w:val="21"/>
                <w:highlight w:val="none"/>
                <w:lang w:val="en-US" w:eastAsia="zh-CN"/>
              </w:rPr>
              <w:t>指标</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sym w:font="Wingdings 2" w:char="00A3"/>
            </w:r>
            <w:r>
              <w:rPr>
                <w:rFonts w:hint="default" w:ascii="Times New Roman" w:hAnsi="Times New Roman" w:eastAsia="宋体" w:cs="Times New Roman"/>
                <w:color w:val="auto"/>
                <w:szCs w:val="21"/>
                <w:highlight w:val="none"/>
              </w:rPr>
              <w:t>0</w:t>
            </w:r>
            <w:r>
              <w:rPr>
                <w:rFonts w:hint="eastAsia" w:cs="Times New Roman"/>
                <w:color w:val="auto"/>
                <w:szCs w:val="21"/>
                <w:highlight w:val="none"/>
                <w:lang w:eastAsia="zh-CN"/>
              </w:rPr>
              <w:t>分</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rPr>
              <w:sym w:font="Wingdings 2" w:char="00A3"/>
            </w:r>
            <w:r>
              <w:rPr>
                <w:rFonts w:hint="default" w:ascii="Times New Roman" w:hAnsi="Times New Roman" w:eastAsia="宋体" w:cs="Times New Roman"/>
                <w:color w:val="auto"/>
                <w:szCs w:val="21"/>
                <w:highlight w:val="none"/>
              </w:rPr>
              <w:t>1</w:t>
            </w:r>
            <w:r>
              <w:rPr>
                <w:rFonts w:hint="eastAsia" w:cs="Times New Roman"/>
                <w:color w:val="auto"/>
                <w:szCs w:val="21"/>
                <w:highlight w:val="none"/>
                <w:lang w:eastAsia="zh-CN"/>
              </w:rPr>
              <w:t>分</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rPr>
              <w:sym w:font="Wingdings 2" w:char="00A3"/>
            </w:r>
            <w:r>
              <w:rPr>
                <w:rFonts w:hint="default" w:ascii="Times New Roman" w:hAnsi="Times New Roman" w:eastAsia="宋体" w:cs="Times New Roman"/>
                <w:color w:val="auto"/>
                <w:szCs w:val="21"/>
                <w:highlight w:val="none"/>
              </w:rPr>
              <w:t>2</w:t>
            </w:r>
            <w:r>
              <w:rPr>
                <w:rFonts w:hint="eastAsia" w:cs="Times New Roman"/>
                <w:color w:val="auto"/>
                <w:szCs w:val="21"/>
                <w:highlight w:val="none"/>
                <w:lang w:eastAsia="zh-CN"/>
              </w:rPr>
              <w:t>分</w:t>
            </w:r>
            <w:r>
              <w:rPr>
                <w:rFonts w:hint="eastAsia" w:ascii="Calibri" w:hAnsi="Calibri" w:cs="Calibri"/>
                <w:color w:val="auto"/>
                <w:szCs w:val="21"/>
                <w:highlight w:val="none"/>
                <w:lang w:val="en-US" w:eastAsia="zh-CN"/>
              </w:rPr>
              <w:t xml:space="preserve">  □3分</w:t>
            </w:r>
            <w:r>
              <w:rPr>
                <w:rFonts w:hint="default" w:ascii="Times New Roman" w:hAnsi="Times New Roman" w:eastAsia="宋体" w:cs="Times New Roman"/>
                <w:color w:val="auto"/>
                <w:szCs w:val="21"/>
                <w:highlight w:val="none"/>
              </w:rPr>
              <w:t xml:space="preserve">  </w:t>
            </w:r>
          </w:p>
          <w:p>
            <w:pPr>
              <w:keepNext w:val="0"/>
              <w:keepLines w:val="0"/>
              <w:suppressLineNumbers w:val="0"/>
              <w:spacing w:before="0" w:beforeAutospacing="0" w:after="0" w:afterAutospacing="0" w:line="240" w:lineRule="auto"/>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三星绿色建筑</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szCs w:val="24"/>
                <w:highlight w:val="none"/>
              </w:rPr>
              <w:t>二星绿色建筑</w:t>
            </w:r>
          </w:p>
          <w:p>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szCs w:val="24"/>
                <w:highlight w:val="none"/>
                <w:lang w:eastAsia="zh-CN"/>
              </w:rPr>
              <w:t>□</w:t>
            </w:r>
            <w:r>
              <w:rPr>
                <w:rFonts w:hint="eastAsia" w:ascii="Calibri" w:hAnsi="Calibri" w:cs="Calibri"/>
                <w:color w:val="auto"/>
                <w:szCs w:val="21"/>
                <w:highlight w:val="none"/>
              </w:rPr>
              <w:t>AA</w:t>
            </w:r>
            <w:r>
              <w:rPr>
                <w:rFonts w:hint="eastAsia" w:ascii="Calibri" w:hAnsi="Calibri" w:cs="Calibri"/>
                <w:color w:val="auto"/>
                <w:szCs w:val="21"/>
                <w:highlight w:val="none"/>
                <w:lang w:val="en-US" w:eastAsia="zh-CN"/>
              </w:rPr>
              <w:t>A</w:t>
            </w:r>
            <w:r>
              <w:rPr>
                <w:rFonts w:hint="eastAsia" w:ascii="Calibri" w:hAnsi="Calibri" w:cs="Calibri"/>
                <w:color w:val="auto"/>
                <w:szCs w:val="21"/>
                <w:highlight w:val="none"/>
              </w:rPr>
              <w:t>级装配式建筑</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A</w:t>
            </w:r>
            <w:r>
              <w:rPr>
                <w:rFonts w:hint="eastAsia" w:ascii="Calibri" w:hAnsi="Calibri" w:cs="Calibri"/>
                <w:color w:val="auto"/>
                <w:szCs w:val="21"/>
                <w:highlight w:val="none"/>
                <w:lang w:val="en-US" w:eastAsia="zh-CN"/>
              </w:rPr>
              <w:t>A</w:t>
            </w:r>
            <w:r>
              <w:rPr>
                <w:rFonts w:hint="eastAsia" w:ascii="Calibri" w:hAnsi="Calibri" w:cs="Calibri"/>
                <w:color w:val="auto"/>
                <w:szCs w:val="21"/>
                <w:highlight w:val="none"/>
              </w:rPr>
              <w:t>级装配式建筑</w:t>
            </w:r>
          </w:p>
          <w:p>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省</w:t>
            </w:r>
            <w:r>
              <w:rPr>
                <w:rFonts w:hint="eastAsia" w:ascii="Times New Roman" w:hAnsi="Times New Roman" w:eastAsia="宋体" w:cs="Times New Roman"/>
                <w:color w:val="auto"/>
                <w:highlight w:val="none"/>
                <w:lang w:val="en-US" w:eastAsia="zh-CN"/>
              </w:rPr>
              <w:t>级</w:t>
            </w:r>
            <w:r>
              <w:rPr>
                <w:rFonts w:hint="eastAsia" w:ascii="Times New Roman" w:hAnsi="Times New Roman" w:eastAsia="宋体" w:cs="Times New Roman"/>
                <w:color w:val="auto"/>
                <w:highlight w:val="none"/>
              </w:rPr>
              <w:t>绿色施工工程</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 其他</w:t>
            </w:r>
          </w:p>
          <w:p>
            <w:pPr>
              <w:keepNext w:val="0"/>
              <w:keepLines w:val="0"/>
              <w:suppressLineNumbers w:val="0"/>
              <w:spacing w:before="0" w:beforeAutospacing="0" w:after="0" w:afterAutospacing="0"/>
              <w:ind w:left="0" w:right="0"/>
              <w:rPr>
                <w:rFonts w:hint="default" w:ascii="宋体" w:hAnsi="宋体" w:cs="Calibri"/>
                <w:strike/>
                <w:color w:val="auto"/>
                <w:szCs w:val="21"/>
                <w:highlight w:val="none"/>
              </w:rPr>
            </w:pPr>
            <w:r>
              <w:rPr>
                <w:rFonts w:hint="eastAsia" w:cs="Times New Roman"/>
                <w:color w:val="auto"/>
                <w:szCs w:val="21"/>
                <w:highlight w:val="none"/>
                <w:u w:val="none"/>
                <w:lang w:val="en-US" w:eastAsia="zh-CN"/>
              </w:rPr>
              <w:t xml:space="preserve">    </w:t>
            </w:r>
            <w:r>
              <w:rPr>
                <w:rFonts w:hint="eastAsia"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10.2.1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最高投标限价</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u w:val="single"/>
                <w:lang w:eastAsia="zh-CN"/>
              </w:rPr>
            </w:pPr>
            <w:r>
              <w:rPr>
                <w:rFonts w:hint="default" w:ascii="Calibri" w:hAnsi="Calibri" w:cs="Calibri"/>
                <w:color w:val="auto"/>
                <w:szCs w:val="21"/>
                <w:highlight w:val="none"/>
              </w:rPr>
              <w:t>最高投标限价总价：</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eastAsia="zh-CN"/>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lang w:val="en-US" w:eastAsia="zh-CN"/>
              </w:rPr>
            </w:pPr>
            <w:r>
              <w:rPr>
                <w:rFonts w:hint="eastAsia" w:ascii="Calibri" w:hAnsi="Calibri" w:cs="Calibri"/>
                <w:color w:val="auto"/>
                <w:szCs w:val="21"/>
                <w:highlight w:val="none"/>
                <w:u w:val="none"/>
                <w:lang w:val="en-US" w:eastAsia="zh-CN"/>
              </w:rPr>
              <w:t>最高投标限价应公布的内容详见“第五章 工程量清单”第2.3.3款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10.2.2</w:t>
            </w:r>
          </w:p>
        </w:tc>
        <w:tc>
          <w:tcPr>
            <w:tcW w:w="177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投标报价计税</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一般计税法</w:t>
            </w:r>
          </w:p>
          <w:p>
            <w:pPr>
              <w:keepNext w:val="0"/>
              <w:keepLines w:val="0"/>
              <w:suppressLineNumbers w:val="0"/>
              <w:spacing w:before="0" w:beforeAutospacing="0" w:after="0" w:afterAutospacing="0"/>
              <w:ind w:left="-103" w:leftChars="-49" w:right="0" w:firstLine="422" w:firstLineChars="201"/>
              <w:rPr>
                <w:rFonts w:hint="default" w:ascii="Calibri" w:hAnsi="Calibri" w:cs="Calibri"/>
                <w:strike/>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shd w:val="pct10" w:color="auto" w:fill="FFFFFF"/>
              </w:rPr>
            </w:pPr>
            <w:r>
              <w:rPr>
                <w:rFonts w:hint="eastAsia" w:ascii="Calibri" w:hAnsi="Calibri" w:cs="Calibri"/>
                <w:color w:val="auto"/>
                <w:szCs w:val="21"/>
                <w:highlight w:val="none"/>
              </w:rPr>
              <w:t>10.2.3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联合体</w:t>
            </w:r>
            <w:r>
              <w:rPr>
                <w:rFonts w:hint="eastAsia" w:ascii="Calibri" w:hAnsi="Calibri" w:cs="Calibri"/>
                <w:color w:val="auto"/>
                <w:highlight w:val="none"/>
              </w:rPr>
              <w:t>奖项、标准化工地、加分业绩、信用评价、</w:t>
            </w:r>
            <w:r>
              <w:rPr>
                <w:rFonts w:hint="eastAsia" w:ascii="仿宋_GB2312" w:hAnsi="仿宋_GB2312" w:cs="仿宋_GB2312"/>
                <w:color w:val="auto"/>
                <w:sz w:val="21"/>
                <w:highlight w:val="none"/>
                <w:lang w:val="en-US" w:eastAsia="zh-CN"/>
              </w:rPr>
              <w:t>综合</w:t>
            </w:r>
            <w:r>
              <w:rPr>
                <w:rFonts w:hint="eastAsia" w:ascii="Calibri" w:hAnsi="Calibri" w:cs="Calibri"/>
                <w:color w:val="auto"/>
                <w:highlight w:val="none"/>
              </w:rPr>
              <w:t>优良率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绿色科技创新</w:t>
            </w:r>
            <w:r>
              <w:rPr>
                <w:rFonts w:hint="eastAsia" w:ascii="Calibri" w:hAnsi="Calibri" w:cs="Calibri"/>
                <w:color w:val="auto"/>
                <w:highlight w:val="none"/>
              </w:rPr>
              <w:t>得分</w:t>
            </w:r>
            <w:r>
              <w:rPr>
                <w:rFonts w:hint="eastAsia" w:ascii="Calibri" w:hAnsi="Calibri" w:cs="Calibri"/>
                <w:color w:val="auto"/>
                <w:szCs w:val="21"/>
                <w:highlight w:val="none"/>
              </w:rPr>
              <w:t>的计分方式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招标项目存在不同类型工程内容的,招标人应根据项目实际情况在招标文件中明确主要类型（专业）,奖项、标准化工地、加分业绩、信用评价、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得分为联合体主要类型(专业)单位的得分。</w:t>
            </w:r>
            <w:r>
              <w:rPr>
                <w:rFonts w:hint="eastAsia" w:ascii="仿宋_GB2312" w:hAnsi="仿宋_GB2312" w:cs="仿宋_GB2312"/>
                <w:color w:val="auto"/>
                <w:sz w:val="21"/>
                <w:highlight w:val="none"/>
                <w:lang w:val="en-US" w:eastAsia="zh-CN"/>
              </w:rPr>
              <w:t>本项目</w:t>
            </w:r>
            <w:r>
              <w:rPr>
                <w:rFonts w:hint="eastAsia" w:ascii="Times New Roman" w:hAnsi="Times New Roman" w:eastAsia="宋体" w:cs="Times New Roman"/>
                <w:color w:val="auto"/>
                <w:sz w:val="21"/>
                <w:szCs w:val="21"/>
                <w:highlight w:val="none"/>
              </w:rPr>
              <w:t>主要类型（专业）</w:t>
            </w:r>
            <w:r>
              <w:rPr>
                <w:rFonts w:hint="eastAsia" w:ascii="Times New Roman" w:hAnsi="Times New Roman" w:eastAsia="宋体" w:cs="Times New Roman"/>
                <w:color w:val="auto"/>
                <w:sz w:val="21"/>
                <w:szCs w:val="21"/>
                <w:highlight w:val="none"/>
                <w:lang w:eastAsia="zh-CN"/>
              </w:rPr>
              <w:t>：</w:t>
            </w:r>
            <w:r>
              <w:rPr>
                <w:rFonts w:hint="eastAsia" w:cs="Times New Roman"/>
                <w:color w:val="auto"/>
                <w:szCs w:val="21"/>
                <w:highlight w:val="none"/>
                <w:u w:val="single"/>
                <w:lang w:val="en-US" w:eastAsia="zh-CN"/>
              </w:rPr>
              <w:t xml:space="preserve">          </w:t>
            </w:r>
            <w:r>
              <w:rPr>
                <w:rFonts w:hint="eastAsia" w:ascii="Times New Roman" w:hAnsi="Times New Roman" w:eastAsia="宋体" w:cs="Times New Roman"/>
                <w:color w:val="auto"/>
                <w:sz w:val="21"/>
                <w:highlight w:val="none"/>
                <w:lang w:val="en-US" w:eastAsia="zh-CN"/>
              </w:rPr>
              <w:t xml:space="preserve">    </w:t>
            </w:r>
          </w:p>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联合体中同一类型(专业)</w:t>
            </w:r>
            <w:r>
              <w:rPr>
                <w:rFonts w:hint="eastAsia" w:ascii="仿宋_GB2312" w:hAnsi="仿宋_GB2312" w:cs="仿宋_GB2312"/>
                <w:color w:val="auto"/>
                <w:sz w:val="21"/>
                <w:highlight w:val="none"/>
                <w:lang w:val="en-US" w:eastAsia="zh-CN"/>
              </w:rPr>
              <w:t>或者主要类型（专业）</w:t>
            </w:r>
            <w:r>
              <w:rPr>
                <w:rFonts w:hint="eastAsia" w:ascii="仿宋_GB2312" w:hAnsi="仿宋_GB2312" w:cs="仿宋_GB2312"/>
                <w:color w:val="auto"/>
                <w:sz w:val="21"/>
                <w:highlight w:val="none"/>
              </w:rPr>
              <w:t>的</w:t>
            </w:r>
            <w:r>
              <w:rPr>
                <w:rFonts w:hint="eastAsia" w:ascii="仿宋_GB2312" w:hAnsi="仿宋_GB2312" w:cs="仿宋_GB2312"/>
                <w:color w:val="auto"/>
                <w:sz w:val="21"/>
                <w:highlight w:val="none"/>
                <w:lang w:val="en-US" w:eastAsia="zh-CN"/>
              </w:rPr>
              <w:t>施工</w:t>
            </w:r>
            <w:r>
              <w:rPr>
                <w:rFonts w:hint="eastAsia" w:ascii="仿宋_GB2312" w:hAnsi="仿宋_GB2312" w:cs="仿宋_GB2312"/>
                <w:color w:val="auto"/>
                <w:sz w:val="21"/>
                <w:highlight w:val="none"/>
              </w:rPr>
              <w:t>企业有两家以上的,奖项、标准化工地、加分业绩、信用评价、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得分分别为该类型(专业)</w:t>
            </w:r>
            <w:r>
              <w:rPr>
                <w:rFonts w:hint="eastAsia" w:ascii="仿宋_GB2312" w:hAnsi="仿宋_GB2312" w:cs="仿宋_GB2312"/>
                <w:color w:val="auto"/>
                <w:sz w:val="21"/>
                <w:highlight w:val="none"/>
                <w:lang w:eastAsia="zh-CN"/>
              </w:rPr>
              <w:t>联合体各方</w:t>
            </w:r>
            <w:r>
              <w:rPr>
                <w:rFonts w:hint="eastAsia" w:ascii="仿宋_GB2312" w:hAnsi="仿宋_GB2312" w:cs="仿宋_GB2312"/>
                <w:color w:val="auto"/>
                <w:sz w:val="21"/>
                <w:highlight w:val="none"/>
              </w:rPr>
              <w:t>得分的平均值。</w:t>
            </w:r>
          </w:p>
          <w:p>
            <w:pPr>
              <w:keepNext w:val="0"/>
              <w:keepLines w:val="0"/>
              <w:suppressLineNumbers w:val="0"/>
              <w:spacing w:before="0" w:beforeAutospacing="0" w:after="0" w:afterAutospacing="0"/>
              <w:ind w:left="218" w:leftChars="104" w:right="0" w:firstLine="0" w:firstLineChars="0"/>
              <w:jc w:val="left"/>
              <w:rPr>
                <w:rFonts w:hint="default" w:ascii="Calibri" w:hAnsi="Calibri" w:cs="Calibri"/>
                <w:color w:val="auto"/>
                <w:kern w:val="0"/>
                <w:sz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strike/>
                <w:color w:val="auto"/>
                <w:szCs w:val="21"/>
                <w:highlight w:val="none"/>
              </w:rPr>
            </w:pPr>
            <w:r>
              <w:rPr>
                <w:rFonts w:hint="eastAsia" w:ascii="Calibri" w:hAnsi="Calibri" w:cs="Calibri"/>
                <w:color w:val="auto"/>
                <w:szCs w:val="21"/>
                <w:highlight w:val="none"/>
              </w:rPr>
              <w:t>10.2.4</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进入</w:t>
            </w:r>
            <w:r>
              <w:rPr>
                <w:rFonts w:hint="eastAsia" w:ascii="Calibri" w:hAnsi="Calibri" w:cs="Calibri"/>
                <w:color w:val="auto"/>
                <w:szCs w:val="21"/>
                <w:highlight w:val="none"/>
                <w:lang w:val="en-US" w:eastAsia="zh-CN"/>
              </w:rPr>
              <w:t>投标报价</w:t>
            </w:r>
            <w:r>
              <w:rPr>
                <w:rFonts w:hint="eastAsia" w:ascii="Calibri" w:hAnsi="Calibri" w:cs="Calibri"/>
                <w:color w:val="auto"/>
                <w:szCs w:val="21"/>
                <w:highlight w:val="none"/>
              </w:rPr>
              <w:t>评审阶段投标人数量的确定方式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宋体" w:hAnsi="宋体" w:cs="宋体"/>
                <w:bCs/>
                <w:color w:val="auto"/>
                <w:szCs w:val="21"/>
                <w:highlight w:val="none"/>
              </w:rPr>
            </w:pPr>
            <w:r>
              <w:rPr>
                <w:rFonts w:hint="eastAsia" w:ascii="Calibri" w:hAnsi="Calibri" w:cs="Calibri"/>
                <w:color w:val="auto"/>
                <w:szCs w:val="21"/>
                <w:highlight w:val="none"/>
              </w:rPr>
              <w:t>1.采</w:t>
            </w:r>
            <w:r>
              <w:rPr>
                <w:rFonts w:hint="eastAsia" w:ascii="宋体" w:hAnsi="宋体" w:cs="宋体"/>
                <w:bCs/>
                <w:color w:val="auto"/>
                <w:szCs w:val="21"/>
                <w:highlight w:val="none"/>
              </w:rPr>
              <w:t>用经评审的最低投标价法评标的：</w:t>
            </w:r>
          </w:p>
          <w:p>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rPr>
              <w:t>对所有</w:t>
            </w:r>
            <w:r>
              <w:rPr>
                <w:rFonts w:hint="eastAsia" w:ascii="宋体" w:hAnsi="宋体" w:eastAsia="宋体" w:cs="宋体"/>
                <w:bCs/>
                <w:color w:val="auto"/>
                <w:kern w:val="2"/>
                <w:sz w:val="21"/>
                <w:szCs w:val="21"/>
                <w:highlight w:val="none"/>
                <w:lang w:val="en-US" w:eastAsia="zh-CN"/>
              </w:rPr>
              <w:t>合格</w:t>
            </w:r>
            <w:r>
              <w:rPr>
                <w:rFonts w:hint="eastAsia" w:ascii="宋体" w:hAnsi="宋体" w:eastAsia="宋体" w:cs="宋体"/>
                <w:bCs/>
                <w:color w:val="auto"/>
                <w:kern w:val="2"/>
                <w:sz w:val="21"/>
                <w:szCs w:val="21"/>
                <w:highlight w:val="none"/>
              </w:rPr>
              <w:t>投标人</w:t>
            </w:r>
            <w:r>
              <w:rPr>
                <w:rFonts w:hint="eastAsia" w:ascii="宋体" w:hAnsi="宋体" w:eastAsia="宋体" w:cs="宋体"/>
                <w:bCs/>
                <w:color w:val="auto"/>
                <w:sz w:val="21"/>
                <w:szCs w:val="21"/>
                <w:highlight w:val="none"/>
              </w:rPr>
              <w:t>进入</w:t>
            </w:r>
            <w:r>
              <w:rPr>
                <w:rFonts w:hint="eastAsia" w:ascii="宋体" w:hAnsi="宋体" w:eastAsia="宋体" w:cs="宋体"/>
                <w:bCs/>
                <w:color w:val="auto"/>
                <w:kern w:val="2"/>
                <w:sz w:val="21"/>
                <w:szCs w:val="21"/>
                <w:highlight w:val="none"/>
                <w:lang w:val="en-US" w:eastAsia="zh-CN"/>
              </w:rPr>
              <w:t>下一步评审</w:t>
            </w:r>
            <w:r>
              <w:rPr>
                <w:rFonts w:hint="eastAsia" w:ascii="宋体" w:hAnsi="宋体" w:eastAsia="宋体" w:cs="宋体"/>
                <w:bCs/>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□合格投标人超过</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个的（不足</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5个时，全部进入投标报价评审），按照投标报价由低至高的顺序确定</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个投标人进入</w:t>
            </w:r>
            <w:r>
              <w:rPr>
                <w:rFonts w:hint="eastAsia" w:ascii="宋体" w:hAnsi="宋体" w:eastAsia="宋体" w:cs="宋体"/>
                <w:bCs/>
                <w:color w:val="auto"/>
                <w:kern w:val="2"/>
                <w:sz w:val="21"/>
                <w:szCs w:val="21"/>
                <w:highlight w:val="none"/>
                <w:lang w:val="en-US" w:eastAsia="zh-CN"/>
              </w:rPr>
              <w:t>下一步</w:t>
            </w:r>
            <w:r>
              <w:rPr>
                <w:rFonts w:hint="eastAsia" w:ascii="宋体" w:hAnsi="宋体" w:eastAsia="宋体" w:cs="宋体"/>
                <w:bCs/>
                <w:color w:val="auto"/>
                <w:szCs w:val="21"/>
                <w:highlight w:val="none"/>
              </w:rPr>
              <w:t>评审，</w:t>
            </w:r>
            <w:r>
              <w:rPr>
                <w:rFonts w:hint="eastAsia" w:ascii="宋体" w:hAnsi="宋体" w:eastAsia="宋体" w:cs="宋体"/>
                <w:bCs/>
                <w:color w:val="auto"/>
                <w:kern w:val="2"/>
                <w:szCs w:val="21"/>
                <w:highlight w:val="none"/>
              </w:rPr>
              <w:t>报价相同无法确定前</w:t>
            </w:r>
            <w:r>
              <w:rPr>
                <w:rFonts w:hint="eastAsia" w:ascii="宋体" w:hAnsi="宋体" w:eastAsia="宋体" w:cs="宋体"/>
                <w:bCs/>
                <w:color w:val="auto"/>
                <w:kern w:val="2"/>
                <w:szCs w:val="21"/>
                <w:highlight w:val="none"/>
                <w:lang w:eastAsia="zh-CN"/>
              </w:rPr>
              <w:t>2</w:t>
            </w:r>
            <w:r>
              <w:rPr>
                <w:rFonts w:hint="eastAsia" w:ascii="宋体" w:hAnsi="宋体" w:eastAsia="宋体" w:cs="宋体"/>
                <w:bCs/>
                <w:color w:val="auto"/>
                <w:kern w:val="2"/>
                <w:szCs w:val="21"/>
                <w:highlight w:val="none"/>
                <w:lang w:val="en-US" w:eastAsia="zh-CN"/>
              </w:rPr>
              <w:t>5</w:t>
            </w:r>
            <w:r>
              <w:rPr>
                <w:rFonts w:hint="eastAsia" w:ascii="宋体" w:hAnsi="宋体" w:eastAsia="宋体" w:cs="宋体"/>
                <w:bCs/>
                <w:color w:val="auto"/>
                <w:kern w:val="2"/>
                <w:szCs w:val="21"/>
                <w:highlight w:val="none"/>
              </w:rPr>
              <w:t>个投标人时，</w:t>
            </w:r>
            <w:r>
              <w:rPr>
                <w:rFonts w:hint="eastAsia" w:ascii="宋体" w:hAnsi="宋体" w:eastAsia="宋体" w:cs="宋体"/>
                <w:bCs/>
                <w:color w:val="auto"/>
                <w:szCs w:val="21"/>
                <w:highlight w:val="none"/>
              </w:rPr>
              <w:t>其末位投标人报价相同的全部进入</w:t>
            </w:r>
            <w:r>
              <w:rPr>
                <w:rFonts w:hint="eastAsia" w:ascii="宋体" w:hAnsi="宋体" w:eastAsia="宋体" w:cs="宋体"/>
                <w:bCs/>
                <w:color w:val="auto"/>
                <w:kern w:val="2"/>
                <w:sz w:val="21"/>
                <w:szCs w:val="21"/>
                <w:highlight w:val="none"/>
                <w:lang w:val="en-US" w:eastAsia="zh-CN"/>
              </w:rPr>
              <w:t>下一步</w:t>
            </w:r>
            <w:r>
              <w:rPr>
                <w:rFonts w:hint="eastAsia" w:ascii="宋体" w:hAnsi="宋体" w:eastAsia="宋体" w:cs="宋体"/>
                <w:bCs/>
                <w:color w:val="auto"/>
                <w:kern w:val="2"/>
                <w:szCs w:val="21"/>
                <w:highlight w:val="none"/>
              </w:rPr>
              <w:t>评审。</w:t>
            </w:r>
          </w:p>
          <w:p>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2.采用综合评估法评标的：</w:t>
            </w:r>
          </w:p>
          <w:p>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rPr>
              <w:t>对所有</w:t>
            </w:r>
            <w:r>
              <w:rPr>
                <w:rFonts w:hint="eastAsia" w:ascii="宋体" w:hAnsi="宋体" w:eastAsia="宋体" w:cs="宋体"/>
                <w:bCs/>
                <w:color w:val="auto"/>
                <w:kern w:val="2"/>
                <w:sz w:val="21"/>
                <w:szCs w:val="21"/>
                <w:highlight w:val="none"/>
                <w:lang w:val="en-US" w:eastAsia="zh-CN"/>
              </w:rPr>
              <w:t>合格</w:t>
            </w:r>
            <w:r>
              <w:rPr>
                <w:rFonts w:hint="eastAsia" w:ascii="宋体" w:hAnsi="宋体" w:eastAsia="宋体" w:cs="宋体"/>
                <w:bCs/>
                <w:color w:val="auto"/>
                <w:kern w:val="2"/>
                <w:sz w:val="21"/>
                <w:szCs w:val="21"/>
                <w:highlight w:val="none"/>
              </w:rPr>
              <w:t>投标人</w:t>
            </w:r>
            <w:r>
              <w:rPr>
                <w:rFonts w:hint="eastAsia" w:ascii="宋体" w:hAnsi="宋体" w:eastAsia="宋体" w:cs="宋体"/>
                <w:bCs/>
                <w:color w:val="auto"/>
                <w:sz w:val="21"/>
                <w:szCs w:val="21"/>
                <w:highlight w:val="none"/>
              </w:rPr>
              <w:t>进入</w:t>
            </w:r>
            <w:r>
              <w:rPr>
                <w:rFonts w:hint="eastAsia" w:ascii="宋体" w:hAnsi="宋体" w:eastAsia="宋体" w:cs="宋体"/>
                <w:bCs/>
                <w:color w:val="auto"/>
                <w:kern w:val="2"/>
                <w:sz w:val="21"/>
                <w:szCs w:val="21"/>
                <w:highlight w:val="none"/>
                <w:lang w:val="en-US" w:eastAsia="zh-CN"/>
              </w:rPr>
              <w:t>投标报价评审</w:t>
            </w:r>
            <w:r>
              <w:rPr>
                <w:rFonts w:hint="eastAsia" w:ascii="宋体" w:hAnsi="宋体" w:eastAsia="宋体" w:cs="宋体"/>
                <w:bCs/>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eastAsia="宋体" w:cs="宋体"/>
                <w:bCs/>
                <w:color w:val="auto"/>
                <w:szCs w:val="21"/>
                <w:highlight w:val="none"/>
              </w:rPr>
              <w:t>□按照</w:t>
            </w:r>
            <w:r>
              <w:rPr>
                <w:rFonts w:hint="eastAsia" w:ascii="宋体" w:hAnsi="宋体" w:eastAsia="宋体" w:cs="宋体"/>
                <w:bCs/>
                <w:color w:val="auto"/>
                <w:kern w:val="2"/>
                <w:szCs w:val="21"/>
                <w:highlight w:val="none"/>
              </w:rPr>
              <w:t>企业资信及履约能力评审得分与</w:t>
            </w:r>
            <w:r>
              <w:rPr>
                <w:rFonts w:hint="eastAsia" w:ascii="宋体" w:hAnsi="宋体" w:eastAsia="宋体" w:cs="宋体"/>
                <w:bCs/>
                <w:color w:val="auto"/>
                <w:kern w:val="2"/>
                <w:szCs w:val="21"/>
                <w:highlight w:val="none"/>
                <w:lang w:val="en-US" w:eastAsia="zh-CN"/>
              </w:rPr>
              <w:t>施工组织设计</w:t>
            </w:r>
            <w:r>
              <w:rPr>
                <w:rFonts w:hint="eastAsia" w:ascii="宋体" w:hAnsi="宋体" w:eastAsia="宋体" w:cs="宋体"/>
                <w:bCs/>
                <w:color w:val="auto"/>
                <w:kern w:val="2"/>
                <w:szCs w:val="21"/>
                <w:highlight w:val="none"/>
              </w:rPr>
              <w:t>评审得分乘以相应权重之和</w:t>
            </w:r>
            <w:r>
              <w:rPr>
                <w:rFonts w:hint="eastAsia" w:ascii="宋体" w:hAnsi="宋体" w:eastAsia="宋体" w:cs="宋体"/>
                <w:bCs/>
                <w:color w:val="auto"/>
                <w:szCs w:val="21"/>
                <w:highlight w:val="none"/>
              </w:rPr>
              <w:t>由高至低的顺序确定</w:t>
            </w:r>
            <w:r>
              <w:rPr>
                <w:rFonts w:hint="eastAsia" w:ascii="宋体" w:hAnsi="宋体" w:eastAsia="宋体" w:cs="宋体"/>
                <w:bCs/>
                <w:color w:val="auto"/>
                <w:szCs w:val="21"/>
                <w:highlight w:val="none"/>
                <w:lang w:val="en-US" w:eastAsia="zh-CN"/>
              </w:rPr>
              <w:t>15个</w:t>
            </w:r>
            <w:r>
              <w:rPr>
                <w:rFonts w:hint="eastAsia" w:ascii="宋体" w:hAnsi="宋体" w:eastAsia="宋体" w:cs="宋体"/>
                <w:bCs/>
                <w:color w:val="auto"/>
                <w:szCs w:val="21"/>
                <w:highlight w:val="none"/>
              </w:rPr>
              <w:t>投标人进</w:t>
            </w:r>
            <w:r>
              <w:rPr>
                <w:rFonts w:hint="eastAsia" w:ascii="宋体" w:hAnsi="宋体" w:eastAsia="宋体" w:cs="宋体"/>
                <w:bCs/>
                <w:color w:val="auto"/>
                <w:szCs w:val="21"/>
                <w:highlight w:val="none"/>
                <w:lang w:val="en-US" w:eastAsia="zh-CN"/>
              </w:rPr>
              <w:t>行投标报价</w:t>
            </w:r>
            <w:r>
              <w:rPr>
                <w:rFonts w:hint="eastAsia" w:ascii="宋体" w:hAnsi="宋体" w:eastAsia="宋体" w:cs="宋体"/>
                <w:bCs/>
                <w:color w:val="auto"/>
                <w:szCs w:val="21"/>
                <w:highlight w:val="none"/>
              </w:rPr>
              <w:t>评审（不足15个时，全部进入投标报价评审）</w:t>
            </w:r>
            <w:r>
              <w:rPr>
                <w:rFonts w:hint="eastAsia" w:ascii="宋体" w:hAnsi="宋体" w:eastAsia="宋体" w:cs="宋体"/>
                <w:bCs/>
                <w:color w:val="auto"/>
                <w:szCs w:val="21"/>
                <w:highlight w:val="none"/>
                <w:lang w:eastAsia="zh-CN"/>
              </w:rPr>
              <w:t>，得分相同无法确定前15个投标人时，其末位投标人得分相同的全部进入投标报价评审。</w:t>
            </w:r>
            <w:r>
              <w:rPr>
                <w:rFonts w:hint="eastAsia" w:ascii="宋体" w:hAnsi="宋体" w:eastAsia="宋体" w:cs="宋体"/>
                <w:bCs/>
                <w:color w:val="auto"/>
                <w:kern w:val="2"/>
                <w:szCs w:val="21"/>
                <w:highlight w:val="none"/>
              </w:rPr>
              <w:t>其中最高投标限价5000万元以下的项目，再从本次投标得分排名50个以内的剩余合格投标人中随机抽取5个投标人进入投标报价评审，得分相同无法确定排名50个以内时，其末位投标人得分相同的全部</w:t>
            </w:r>
            <w:r>
              <w:rPr>
                <w:rFonts w:hint="eastAsia" w:ascii="宋体" w:hAnsi="宋体" w:eastAsia="宋体" w:cs="宋体"/>
                <w:bCs/>
                <w:color w:val="auto"/>
                <w:kern w:val="2"/>
                <w:szCs w:val="21"/>
                <w:highlight w:val="none"/>
                <w:lang w:val="en-US" w:eastAsia="zh-CN"/>
              </w:rPr>
              <w:t>纳入随机抽取范围</w:t>
            </w:r>
            <w:r>
              <w:rPr>
                <w:rFonts w:hint="eastAsia" w:ascii="宋体" w:hAnsi="宋体" w:eastAsia="宋体" w:cs="宋体"/>
                <w:bCs/>
                <w:color w:val="auto"/>
                <w:kern w:val="2"/>
                <w:szCs w:val="21"/>
                <w:highlight w:val="none"/>
                <w:lang w:eastAsia="zh-CN"/>
              </w:rPr>
              <w:t>，</w:t>
            </w:r>
            <w:r>
              <w:rPr>
                <w:rFonts w:hint="eastAsia" w:ascii="宋体" w:hAnsi="宋体" w:eastAsia="宋体" w:cs="宋体"/>
                <w:bCs/>
                <w:color w:val="auto"/>
                <w:kern w:val="2"/>
                <w:szCs w:val="21"/>
                <w:highlight w:val="none"/>
              </w:rPr>
              <w:t>剩余合格投标人不足5个的，全部进入投标报价评审。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trike/>
                <w:color w:val="auto"/>
                <w:szCs w:val="21"/>
                <w:highlight w:val="none"/>
              </w:rPr>
            </w:pPr>
            <w:r>
              <w:rPr>
                <w:rFonts w:hint="eastAsia" w:ascii="Calibri" w:hAnsi="Calibri" w:cs="Calibri"/>
                <w:color w:val="auto"/>
                <w:szCs w:val="21"/>
                <w:highlight w:val="none"/>
              </w:rPr>
              <w:t>10.3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施工组织设计   的评审</w:t>
            </w:r>
          </w:p>
          <w:p>
            <w:pPr>
              <w:keepNext w:val="0"/>
              <w:keepLines w:val="0"/>
              <w:suppressLineNumbers w:val="0"/>
              <w:spacing w:before="0" w:beforeAutospacing="0" w:after="0" w:afterAutospacing="0"/>
              <w:ind w:left="0" w:right="0"/>
              <w:rPr>
                <w:rFonts w:hint="default" w:ascii="Calibri" w:hAnsi="Calibri" w:cs="Calibri"/>
                <w:color w:val="auto"/>
                <w:szCs w:val="21"/>
                <w:highlight w:val="none"/>
              </w:rPr>
            </w:pP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施工组织设计编制要求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宋体"/>
                <w:color w:val="auto"/>
                <w:szCs w:val="21"/>
                <w:highlight w:val="none"/>
              </w:rPr>
              <w:sym w:font="Wingdings 2" w:char="00A3"/>
            </w:r>
            <w:r>
              <w:rPr>
                <w:rFonts w:hint="default" w:ascii="Calibri" w:hAnsi="Calibri" w:cs="Calibri"/>
                <w:color w:val="auto"/>
                <w:szCs w:val="21"/>
                <w:highlight w:val="none"/>
              </w:rPr>
              <w:t>不要求编制施工组织设计</w:t>
            </w:r>
            <w:r>
              <w:rPr>
                <w:rFonts w:hint="eastAsia" w:ascii="Calibri" w:hAnsi="Calibri" w:cs="Calibri"/>
                <w:color w:val="auto"/>
                <w:szCs w:val="21"/>
                <w:highlight w:val="none"/>
              </w:rPr>
              <w:t>。</w:t>
            </w:r>
            <w:r>
              <w:rPr>
                <w:rFonts w:hint="default" w:ascii="Calibri" w:hAnsi="Calibri" w:cs="Calibri"/>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宋体"/>
                <w:color w:val="auto"/>
                <w:szCs w:val="21"/>
                <w:highlight w:val="none"/>
              </w:rPr>
              <w:sym w:font="Wingdings 2" w:char="00A3"/>
            </w:r>
            <w:r>
              <w:rPr>
                <w:rFonts w:hint="default" w:ascii="Calibri" w:hAnsi="Calibri" w:cs="Calibri"/>
                <w:color w:val="auto"/>
                <w:szCs w:val="21"/>
                <w:highlight w:val="none"/>
              </w:rPr>
              <w:t>要求编制施工组织设计，采用</w:t>
            </w:r>
            <w:r>
              <w:rPr>
                <w:rFonts w:hint="eastAsia" w:ascii="Calibri" w:hAnsi="Calibri" w:cs="Calibri"/>
                <w:color w:val="auto"/>
                <w:szCs w:val="21"/>
                <w:highlight w:val="none"/>
              </w:rPr>
              <w:t>合格性</w:t>
            </w:r>
            <w:r>
              <w:rPr>
                <w:rFonts w:hint="default" w:ascii="Calibri" w:hAnsi="Calibri" w:cs="Calibri"/>
                <w:color w:val="auto"/>
                <w:szCs w:val="21"/>
                <w:highlight w:val="none"/>
              </w:rPr>
              <w:t>评审方式，投标人应按照第八章投标文件格式</w:t>
            </w:r>
            <w:r>
              <w:rPr>
                <w:rFonts w:hint="eastAsia" w:ascii="Calibri" w:hAnsi="Calibri" w:cs="Calibri"/>
                <w:color w:val="auto"/>
                <w:szCs w:val="21"/>
                <w:highlight w:val="none"/>
              </w:rPr>
              <w:t>第三节“</w:t>
            </w:r>
            <w:r>
              <w:rPr>
                <w:rFonts w:hint="default" w:ascii="Calibri" w:hAnsi="Calibri" w:cs="Calibri"/>
                <w:color w:val="auto"/>
                <w:szCs w:val="21"/>
                <w:highlight w:val="none"/>
              </w:rPr>
              <w:t>施工组织设计</w:t>
            </w:r>
            <w:r>
              <w:rPr>
                <w:rFonts w:hint="eastAsia" w:ascii="Calibri" w:hAnsi="Calibri" w:cs="Calibri"/>
                <w:color w:val="auto"/>
                <w:szCs w:val="21"/>
                <w:highlight w:val="none"/>
              </w:rPr>
              <w:t>格式</w:t>
            </w:r>
            <w:r>
              <w:rPr>
                <w:rFonts w:hint="default" w:ascii="Calibri" w:hAnsi="Calibri" w:cs="Calibri"/>
                <w:color w:val="auto"/>
                <w:szCs w:val="21"/>
                <w:highlight w:val="none"/>
              </w:rPr>
              <w:t>（明标）</w:t>
            </w:r>
            <w:r>
              <w:rPr>
                <w:rFonts w:hint="eastAsia" w:ascii="Calibri" w:hAnsi="Calibri" w:cs="Calibri"/>
                <w:color w:val="auto"/>
                <w:szCs w:val="21"/>
                <w:highlight w:val="none"/>
              </w:rPr>
              <w:t>的</w:t>
            </w:r>
            <w:r>
              <w:rPr>
                <w:rFonts w:hint="default" w:ascii="Calibri" w:hAnsi="Calibri" w:cs="Calibri"/>
                <w:color w:val="auto"/>
                <w:szCs w:val="21"/>
                <w:highlight w:val="none"/>
              </w:rPr>
              <w:t>编制要求</w:t>
            </w:r>
            <w:r>
              <w:rPr>
                <w:rFonts w:hint="eastAsia" w:ascii="Calibri" w:hAnsi="Calibri" w:cs="Calibri"/>
                <w:color w:val="auto"/>
                <w:szCs w:val="21"/>
                <w:highlight w:val="none"/>
              </w:rPr>
              <w:t>”进行</w:t>
            </w:r>
            <w:r>
              <w:rPr>
                <w:rFonts w:hint="default" w:ascii="Calibri" w:hAnsi="Calibri" w:cs="Calibri"/>
                <w:color w:val="auto"/>
                <w:szCs w:val="21"/>
                <w:highlight w:val="none"/>
              </w:rPr>
              <w:t>编</w:t>
            </w:r>
            <w:r>
              <w:rPr>
                <w:rFonts w:hint="eastAsia" w:ascii="Calibri" w:hAnsi="Calibri" w:cs="Calibri"/>
                <w:color w:val="auto"/>
                <w:szCs w:val="21"/>
                <w:highlight w:val="none"/>
              </w:rPr>
              <w:t>制。</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宋体" w:hAnsi="宋体" w:cs="宋体"/>
                <w:color w:val="auto"/>
                <w:szCs w:val="21"/>
                <w:highlight w:val="none"/>
              </w:rPr>
              <w:sym w:font="Wingdings 2" w:char="00A3"/>
            </w:r>
            <w:r>
              <w:rPr>
                <w:rFonts w:hint="default" w:ascii="Calibri" w:hAnsi="Calibri" w:cs="Calibri"/>
                <w:color w:val="auto"/>
                <w:szCs w:val="21"/>
                <w:highlight w:val="none"/>
              </w:rPr>
              <w:t>要求编制施工组织设计，采用</w:t>
            </w:r>
            <w:r>
              <w:rPr>
                <w:rFonts w:hint="eastAsia" w:ascii="Calibri" w:hAnsi="Calibri" w:cs="Calibri"/>
                <w:color w:val="auto"/>
                <w:szCs w:val="21"/>
                <w:highlight w:val="none"/>
              </w:rPr>
              <w:t>计分评审</w:t>
            </w:r>
            <w:r>
              <w:rPr>
                <w:rFonts w:hint="default" w:ascii="Calibri" w:hAnsi="Calibri" w:cs="Calibri"/>
                <w:color w:val="auto"/>
                <w:szCs w:val="21"/>
                <w:highlight w:val="none"/>
              </w:rPr>
              <w:t>方式，投标人应按照第八章投标文件格式</w:t>
            </w:r>
            <w:r>
              <w:rPr>
                <w:rFonts w:hint="eastAsia" w:ascii="Calibri" w:hAnsi="Calibri" w:cs="Calibri"/>
                <w:color w:val="auto"/>
                <w:szCs w:val="21"/>
                <w:highlight w:val="none"/>
              </w:rPr>
              <w:t>第三节“</w:t>
            </w:r>
            <w:r>
              <w:rPr>
                <w:rFonts w:hint="default" w:ascii="Calibri" w:hAnsi="Calibri" w:cs="Calibri"/>
                <w:color w:val="auto"/>
                <w:szCs w:val="21"/>
                <w:highlight w:val="none"/>
              </w:rPr>
              <w:t>施工组织设计</w:t>
            </w:r>
            <w:r>
              <w:rPr>
                <w:rFonts w:hint="eastAsia" w:ascii="Calibri" w:hAnsi="Calibri" w:cs="Calibri"/>
                <w:color w:val="auto"/>
                <w:szCs w:val="21"/>
                <w:highlight w:val="none"/>
              </w:rPr>
              <w:t>格式</w:t>
            </w:r>
            <w:r>
              <w:rPr>
                <w:rFonts w:hint="default" w:ascii="Calibri" w:hAnsi="Calibri" w:cs="Calibri"/>
                <w:color w:val="auto"/>
                <w:szCs w:val="21"/>
                <w:highlight w:val="none"/>
              </w:rPr>
              <w:t>（暗标）</w:t>
            </w:r>
            <w:r>
              <w:rPr>
                <w:rFonts w:hint="eastAsia" w:ascii="Calibri" w:hAnsi="Calibri" w:cs="Calibri"/>
                <w:color w:val="auto"/>
                <w:szCs w:val="21"/>
                <w:highlight w:val="none"/>
              </w:rPr>
              <w:t>的要求”进行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u w:val="single"/>
              </w:rPr>
            </w:pPr>
            <w:r>
              <w:rPr>
                <w:rFonts w:hint="default" w:ascii="Calibri" w:hAnsi="Calibri" w:cs="Calibri"/>
                <w:color w:val="auto"/>
                <w:szCs w:val="21"/>
                <w:highlight w:val="none"/>
              </w:rPr>
              <w:t>施工组织设计</w:t>
            </w:r>
            <w:r>
              <w:rPr>
                <w:rFonts w:hint="eastAsia" w:ascii="Calibri" w:hAnsi="Calibri" w:cs="Calibri"/>
                <w:color w:val="auto"/>
                <w:szCs w:val="21"/>
                <w:highlight w:val="none"/>
                <w:lang w:val="en-US" w:eastAsia="zh-CN"/>
              </w:rPr>
              <w:t>页数：不超过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4</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w:t>
            </w:r>
            <w:r>
              <w:rPr>
                <w:rFonts w:hint="eastAsia" w:ascii="Calibri" w:hAnsi="Calibri" w:cs="Calibri"/>
                <w:color w:val="auto"/>
                <w:szCs w:val="21"/>
                <w:highlight w:val="none"/>
              </w:rPr>
              <w:t>实行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计算机辅助评标</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是，按</w:t>
            </w:r>
            <w:r>
              <w:rPr>
                <w:rFonts w:hint="eastAsia" w:ascii="Calibri" w:hAnsi="Calibri" w:cs="Calibri"/>
                <w:color w:val="auto"/>
                <w:szCs w:val="21"/>
                <w:highlight w:val="none"/>
              </w:rPr>
              <w:t>投标人</w:t>
            </w:r>
            <w:r>
              <w:rPr>
                <w:rFonts w:hint="default" w:ascii="Calibri" w:hAnsi="Calibri" w:cs="Calibri"/>
                <w:color w:val="auto"/>
                <w:szCs w:val="21"/>
                <w:highlight w:val="none"/>
              </w:rPr>
              <w:t>须知</w:t>
            </w:r>
            <w:r>
              <w:rPr>
                <w:rFonts w:hint="eastAsia" w:ascii="Calibri" w:hAnsi="Calibri" w:cs="Calibri"/>
                <w:color w:val="auto"/>
                <w:szCs w:val="21"/>
                <w:highlight w:val="none"/>
              </w:rPr>
              <w:t>附件2-1</w:t>
            </w:r>
            <w:r>
              <w:rPr>
                <w:rFonts w:hint="default" w:ascii="Calibri" w:hAnsi="Calibri" w:cs="Calibri"/>
                <w:color w:val="auto"/>
                <w:szCs w:val="21"/>
                <w:highlight w:val="none"/>
              </w:rPr>
              <w:t>“电子投标文件编制及报送要求”编制及报送电子投标文件。计算机辅助评标方法见</w:t>
            </w:r>
            <w:r>
              <w:rPr>
                <w:rFonts w:hint="eastAsia" w:ascii="Calibri" w:hAnsi="Calibri" w:cs="Calibri"/>
                <w:color w:val="auto"/>
                <w:szCs w:val="21"/>
                <w:highlight w:val="none"/>
              </w:rPr>
              <w:t>投标人须知附件2-4</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5</w:t>
            </w:r>
          </w:p>
        </w:tc>
        <w:tc>
          <w:tcPr>
            <w:tcW w:w="1770" w:type="dxa"/>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是否要求投标人</w:t>
            </w:r>
            <w:r>
              <w:rPr>
                <w:rFonts w:hint="eastAsia" w:ascii="Calibri" w:hAnsi="Calibri" w:cs="Calibri"/>
                <w:color w:val="auto"/>
                <w:szCs w:val="21"/>
                <w:highlight w:val="none"/>
              </w:rPr>
              <w:t>代表</w:t>
            </w:r>
            <w:r>
              <w:rPr>
                <w:rFonts w:hint="default" w:ascii="Calibri" w:hAnsi="Calibri" w:cs="Calibri"/>
                <w:color w:val="auto"/>
                <w:szCs w:val="21"/>
                <w:highlight w:val="none"/>
              </w:rPr>
              <w:t>出席开标会</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6</w:t>
            </w:r>
          </w:p>
        </w:tc>
        <w:tc>
          <w:tcPr>
            <w:tcW w:w="1770"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中标公示</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招标人收到评标报告之日起3日内，</w:t>
            </w:r>
            <w:r>
              <w:rPr>
                <w:rFonts w:hint="default" w:ascii="Calibri" w:hAnsi="Calibri" w:cs="Calibri"/>
                <w:color w:val="auto"/>
                <w:szCs w:val="21"/>
                <w:highlight w:val="none"/>
              </w:rPr>
              <w:t>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10.7</w:t>
            </w:r>
          </w:p>
        </w:tc>
        <w:tc>
          <w:tcPr>
            <w:tcW w:w="1770" w:type="dxa"/>
            <w:noWrap w:val="0"/>
            <w:vAlign w:val="center"/>
          </w:tcPr>
          <w:p>
            <w:pPr>
              <w:keepNext w:val="0"/>
              <w:keepLines w:val="0"/>
              <w:suppressLineNumbers w:val="0"/>
              <w:spacing w:before="0" w:beforeAutospacing="0" w:after="0" w:afterAutospacing="0" w:line="300" w:lineRule="exact"/>
              <w:ind w:left="0" w:right="0"/>
              <w:jc w:val="center"/>
              <w:rPr>
                <w:rFonts w:hint="default" w:ascii="Calibri" w:hAnsi="Calibri" w:cs="Calibri"/>
                <w:color w:val="auto"/>
                <w:highlight w:val="none"/>
              </w:rPr>
            </w:pPr>
            <w:r>
              <w:rPr>
                <w:rFonts w:hint="eastAsia" w:ascii="Calibri" w:hAnsi="Calibri" w:cs="Calibri"/>
                <w:color w:val="auto"/>
                <w:highlight w:val="none"/>
              </w:rPr>
              <w:t>省外入湘登记</w:t>
            </w:r>
          </w:p>
          <w:p>
            <w:pPr>
              <w:keepNext w:val="0"/>
              <w:keepLines w:val="0"/>
              <w:suppressLineNumbers w:val="0"/>
              <w:spacing w:before="0" w:beforeAutospacing="0" w:after="0" w:afterAutospacing="0" w:line="300" w:lineRule="exact"/>
              <w:ind w:left="0" w:right="0"/>
              <w:jc w:val="center"/>
              <w:rPr>
                <w:rFonts w:hint="default" w:ascii="Calibri" w:hAnsi="Calibri" w:cs="Calibri"/>
                <w:color w:val="auto"/>
                <w:szCs w:val="21"/>
                <w:highlight w:val="none"/>
              </w:rPr>
            </w:pPr>
            <w:r>
              <w:rPr>
                <w:rFonts w:hint="eastAsia" w:ascii="Calibri" w:hAnsi="Calibri" w:cs="Calibri"/>
                <w:color w:val="auto"/>
                <w:highlight w:val="none"/>
              </w:rPr>
              <w:t>要求</w:t>
            </w:r>
          </w:p>
        </w:tc>
        <w:tc>
          <w:tcPr>
            <w:tcW w:w="6435" w:type="dxa"/>
            <w:noWrap w:val="0"/>
            <w:vAlign w:val="center"/>
          </w:tcPr>
          <w:p>
            <w:pPr>
              <w:keepNext w:val="0"/>
              <w:keepLines w:val="0"/>
              <w:suppressLineNumbers w:val="0"/>
              <w:spacing w:before="0" w:beforeAutospacing="0" w:after="0" w:afterAutospacing="0" w:line="300" w:lineRule="exact"/>
              <w:ind w:left="0" w:right="0"/>
              <w:jc w:val="left"/>
              <w:rPr>
                <w:rFonts w:hint="default" w:ascii="Calibri" w:hAnsi="Calibri" w:cs="Calibri"/>
                <w:color w:val="auto"/>
                <w:szCs w:val="21"/>
                <w:highlight w:val="none"/>
              </w:rPr>
            </w:pPr>
            <w:r>
              <w:rPr>
                <w:rFonts w:hint="eastAsia" w:ascii="Calibri" w:hAnsi="Calibri" w:cs="Calibri"/>
                <w:color w:val="auto"/>
                <w:highlight w:val="none"/>
              </w:rPr>
              <w:t>省外施工入湘企业在“湖南省住房和城乡建设网”进行基本信息登记（按照</w:t>
            </w:r>
            <w:r>
              <w:rPr>
                <w:rFonts w:hint="default" w:ascii="Calibri" w:hAnsi="Calibri" w:cs="Calibri"/>
                <w:color w:val="auto"/>
                <w:szCs w:val="21"/>
                <w:highlight w:val="none"/>
              </w:rPr>
              <w:t>招标文件第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第一节</w:t>
            </w:r>
            <w:r>
              <w:rPr>
                <w:rFonts w:hint="default" w:ascii="Calibri" w:hAnsi="Calibri" w:cs="Calibri"/>
                <w:color w:val="auto"/>
                <w:szCs w:val="21"/>
                <w:highlight w:val="none"/>
              </w:rPr>
              <w:t>“投标函</w:t>
            </w:r>
            <w:r>
              <w:rPr>
                <w:rFonts w:hint="eastAsia" w:ascii="Calibri" w:hAnsi="Calibri" w:cs="Calibri"/>
                <w:color w:val="auto"/>
                <w:szCs w:val="21"/>
                <w:highlight w:val="none"/>
                <w:lang w:val="en-US" w:eastAsia="zh-CN"/>
              </w:rPr>
              <w:t>及附录</w:t>
            </w:r>
            <w:r>
              <w:rPr>
                <w:rFonts w:hint="eastAsia" w:ascii="Calibri" w:hAnsi="Calibri" w:cs="Calibri"/>
                <w:color w:val="auto"/>
                <w:szCs w:val="21"/>
                <w:highlight w:val="none"/>
              </w:rPr>
              <w:t>格式</w:t>
            </w:r>
            <w:r>
              <w:rPr>
                <w:rFonts w:hint="default" w:ascii="Calibri" w:hAnsi="Calibri" w:cs="Calibri"/>
                <w:color w:val="auto"/>
                <w:szCs w:val="21"/>
                <w:highlight w:val="none"/>
              </w:rPr>
              <w:t>”规定</w:t>
            </w:r>
            <w:r>
              <w:rPr>
                <w:rFonts w:hint="eastAsia" w:ascii="Calibri" w:hAnsi="Calibri" w:cs="Calibri"/>
                <w:color w:val="auto"/>
                <w:highlight w:val="none"/>
              </w:rPr>
              <w:t>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.8</w:t>
            </w:r>
          </w:p>
        </w:tc>
        <w:tc>
          <w:tcPr>
            <w:tcW w:w="1770" w:type="dxa"/>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知识产权</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招标人全部或者部分使用未中标人投标文件中的</w:t>
            </w:r>
            <w:r>
              <w:rPr>
                <w:rFonts w:hint="default" w:ascii="Calibri" w:hAnsi="Calibri" w:cs="Calibri"/>
                <w:bCs/>
                <w:color w:val="auto"/>
                <w:szCs w:val="21"/>
                <w:highlight w:val="none"/>
              </w:rPr>
              <w:t>技术</w:t>
            </w:r>
            <w:r>
              <w:rPr>
                <w:rFonts w:hint="default" w:ascii="Calibri" w:hAnsi="Calibri" w:cs="Calibri"/>
                <w:color w:val="auto"/>
                <w:szCs w:val="21"/>
                <w:highlight w:val="none"/>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9</w:t>
            </w:r>
          </w:p>
        </w:tc>
        <w:tc>
          <w:tcPr>
            <w:tcW w:w="1770" w:type="dxa"/>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同义词语</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10</w:t>
            </w:r>
          </w:p>
        </w:tc>
        <w:tc>
          <w:tcPr>
            <w:tcW w:w="1770"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监  督</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本项目的</w:t>
            </w:r>
            <w:r>
              <w:rPr>
                <w:rFonts w:hint="default" w:ascii="Calibri" w:hAnsi="Calibri" w:cs="Calibri"/>
                <w:bCs/>
                <w:color w:val="auto"/>
                <w:szCs w:val="21"/>
                <w:highlight w:val="none"/>
              </w:rPr>
              <w:t>招标</w:t>
            </w:r>
            <w:r>
              <w:rPr>
                <w:rFonts w:hint="default" w:ascii="Calibri" w:hAnsi="Calibri" w:cs="Calibri"/>
                <w:color w:val="auto"/>
                <w:szCs w:val="21"/>
                <w:highlight w:val="none"/>
              </w:rPr>
              <w:t>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065" w:type="dxa"/>
            <w:noWrap w:val="0"/>
            <w:vAlign w:val="center"/>
          </w:tcPr>
          <w:p>
            <w:pPr>
              <w:keepNext w:val="0"/>
              <w:keepLines w:val="0"/>
              <w:suppressLineNumbers w:val="0"/>
              <w:spacing w:before="0" w:beforeAutospacing="0" w:after="0" w:afterAutospacing="0"/>
              <w:ind w:left="0" w:right="0" w:firstLine="105" w:firstLineChars="5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1</w:t>
            </w:r>
          </w:p>
        </w:tc>
        <w:tc>
          <w:tcPr>
            <w:tcW w:w="1770" w:type="dxa"/>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解释权</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构成本招标文件的各个组成文件</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章，下同</w:t>
            </w:r>
            <w:r>
              <w:rPr>
                <w:rFonts w:hint="eastAsia" w:ascii="Calibri" w:hAnsi="Calibri" w:cs="Calibri"/>
                <w:color w:val="auto"/>
                <w:szCs w:val="21"/>
                <w:highlight w:val="none"/>
                <w:lang w:eastAsia="zh-CN"/>
              </w:rPr>
              <w:t>）</w:t>
            </w:r>
            <w:r>
              <w:rPr>
                <w:rFonts w:hint="default" w:ascii="Calibri" w:hAnsi="Calibri" w:cs="Calibri"/>
                <w:color w:val="auto"/>
                <w:szCs w:val="21"/>
                <w:highlight w:val="none"/>
              </w:rPr>
              <w:t>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hint="default" w:ascii="Calibri" w:hAnsi="Calibri" w:cs="Calibri"/>
                <w:bCs/>
                <w:color w:val="auto"/>
                <w:szCs w:val="21"/>
                <w:highlight w:val="none"/>
              </w:rPr>
              <w:t>解释</w:t>
            </w:r>
            <w:r>
              <w:rPr>
                <w:rFonts w:hint="default" w:ascii="Calibri" w:hAnsi="Calibri" w:cs="Calibri"/>
                <w:color w:val="auto"/>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70" w:type="dxa"/>
            <w:gridSpan w:val="3"/>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default" w:ascii="Calibri" w:hAnsi="Calibri" w:cs="Calibri"/>
                <w:color w:val="auto"/>
                <w:szCs w:val="21"/>
                <w:highlight w:val="none"/>
              </w:rPr>
              <w:t>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.1</w:t>
            </w:r>
          </w:p>
        </w:tc>
        <w:tc>
          <w:tcPr>
            <w:tcW w:w="8205"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bCs/>
                <w:color w:val="auto"/>
                <w:szCs w:val="21"/>
                <w:highlight w:val="none"/>
              </w:rPr>
            </w:pPr>
            <w:r>
              <w:rPr>
                <w:rFonts w:hint="default" w:ascii="Calibri" w:hAnsi="Calibri" w:cs="Calibri"/>
                <w:bCs/>
                <w:color w:val="auto"/>
                <w:szCs w:val="21"/>
                <w:highlight w:val="none"/>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.2</w:t>
            </w:r>
          </w:p>
        </w:tc>
        <w:tc>
          <w:tcPr>
            <w:tcW w:w="8205" w:type="dxa"/>
            <w:gridSpan w:val="2"/>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1.招标文件中所设置的内容、条款及未尽事宜，以国家</w:t>
            </w:r>
            <w:r>
              <w:rPr>
                <w:rFonts w:hint="eastAsia" w:ascii="Calibri" w:hAnsi="Calibri" w:cs="Calibri"/>
                <w:color w:val="auto"/>
                <w:szCs w:val="21"/>
                <w:highlight w:val="none"/>
              </w:rPr>
              <w:t>或</w:t>
            </w:r>
            <w:r>
              <w:rPr>
                <w:rFonts w:hint="default" w:ascii="Calibri" w:hAnsi="Calibri" w:cs="Calibri"/>
                <w:color w:val="auto"/>
                <w:szCs w:val="21"/>
                <w:highlight w:val="none"/>
              </w:rPr>
              <w:t>省有关规定为准；</w:t>
            </w:r>
          </w:p>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2.其它：</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.3</w:t>
            </w:r>
          </w:p>
        </w:tc>
        <w:tc>
          <w:tcPr>
            <w:tcW w:w="8205" w:type="dxa"/>
            <w:gridSpan w:val="2"/>
            <w:noWrap w:val="0"/>
            <w:vAlign w:val="center"/>
          </w:tcPr>
          <w:p>
            <w:pPr>
              <w:pStyle w:val="74"/>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9" w:hRule="atLeast"/>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.4</w:t>
            </w:r>
          </w:p>
        </w:tc>
        <w:tc>
          <w:tcPr>
            <w:tcW w:w="8205" w:type="dxa"/>
            <w:gridSpan w:val="2"/>
            <w:noWrap w:val="0"/>
            <w:vAlign w:val="center"/>
          </w:tcPr>
          <w:p>
            <w:pPr>
              <w:pStyle w:val="74"/>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招标代理服务费</w:t>
            </w:r>
            <w:r>
              <w:rPr>
                <w:rFonts w:hint="eastAsia" w:ascii="Calibri" w:hAnsi="Calibri" w:cs="Calibri"/>
                <w:color w:val="auto"/>
                <w:highlight w:val="none"/>
              </w:rPr>
              <w:t>：</w:t>
            </w:r>
            <w:r>
              <w:rPr>
                <w:rFonts w:hint="default" w:ascii="Calibri" w:hAnsi="Calibri" w:cs="Calibri"/>
                <w:color w:val="auto"/>
                <w:highlight w:val="none"/>
                <w:u w:val="single"/>
              </w:rPr>
              <w:t xml:space="preserve">            </w:t>
            </w:r>
          </w:p>
          <w:p>
            <w:pPr>
              <w:pStyle w:val="74"/>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交易服务费：</w:t>
            </w:r>
            <w:r>
              <w:rPr>
                <w:rFonts w:hint="default" w:ascii="Calibri" w:hAnsi="Calibri" w:cs="Calibri"/>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w:t>
            </w:r>
            <w:r>
              <w:rPr>
                <w:rFonts w:hint="eastAsia" w:ascii="Calibri" w:hAnsi="Calibri" w:cs="Calibri"/>
                <w:color w:val="auto"/>
                <w:szCs w:val="21"/>
                <w:highlight w:val="none"/>
                <w:lang w:val="en-US" w:eastAsia="zh-CN"/>
              </w:rPr>
              <w:t>5</w:t>
            </w:r>
          </w:p>
        </w:tc>
        <w:tc>
          <w:tcPr>
            <w:tcW w:w="8205" w:type="dxa"/>
            <w:gridSpan w:val="2"/>
            <w:noWrap w:val="0"/>
            <w:vAlign w:val="center"/>
          </w:tcPr>
          <w:p>
            <w:pPr>
              <w:pStyle w:val="74"/>
              <w:keepNext w:val="0"/>
              <w:keepLines w:val="0"/>
              <w:suppressLineNumbers w:val="0"/>
              <w:spacing w:before="0" w:beforeAutospacing="0" w:after="0" w:afterAutospacing="0"/>
              <w:ind w:left="0" w:right="0"/>
              <w:rPr>
                <w:rFonts w:hint="default" w:ascii="宋体" w:hAnsi="宋体" w:cs="仿宋_GB2312"/>
                <w:color w:val="auto"/>
                <w:highlight w:val="none"/>
              </w:rPr>
            </w:pPr>
            <w:r>
              <w:rPr>
                <w:rFonts w:hint="eastAsia" w:ascii="宋体" w:hAnsi="宋体" w:cs="Calibri"/>
                <w:color w:val="auto"/>
                <w:highlight w:val="none"/>
              </w:rPr>
              <w:t>□</w:t>
            </w:r>
            <w:r>
              <w:rPr>
                <w:rFonts w:hint="eastAsia" w:ascii="宋体" w:hAnsi="宋体" w:cs="仿宋_GB2312"/>
                <w:color w:val="auto"/>
                <w:highlight w:val="none"/>
              </w:rPr>
              <w:t>本项目属于</w:t>
            </w:r>
            <w:r>
              <w:rPr>
                <w:rFonts w:hint="eastAsia" w:ascii="Calibri" w:hAnsi="Calibri" w:cs="Calibri"/>
                <w:color w:val="auto"/>
                <w:highlight w:val="none"/>
              </w:rPr>
              <w:t>园林绿化工程。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w:t>
            </w:r>
            <w:r>
              <w:rPr>
                <w:rFonts w:hint="default" w:ascii="Calibri" w:hAnsi="Calibri" w:cs="Calibri"/>
                <w:color w:val="auto"/>
                <w:szCs w:val="21"/>
                <w:highlight w:val="none"/>
              </w:rPr>
              <w:t>0.1</w:t>
            </w:r>
            <w:r>
              <w:rPr>
                <w:rFonts w:hint="eastAsia" w:ascii="Calibri" w:hAnsi="Calibri" w:cs="Calibri"/>
                <w:color w:val="auto"/>
                <w:szCs w:val="21"/>
                <w:highlight w:val="none"/>
                <w:lang w:val="en-US" w:eastAsia="zh-CN"/>
              </w:rPr>
              <w:t>2</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6</w:t>
            </w:r>
          </w:p>
        </w:tc>
        <w:tc>
          <w:tcPr>
            <w:tcW w:w="820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拟任项目经理在建情况以投标截止时在“湖南省建筑工程监管信息平台”查询信息为准，有在其他项目任关键岗位人员情形的，评标委员会应当否决其投标。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宋体" w:cs="仿宋_GB2312"/>
                <w:color w:val="auto"/>
                <w:highlight w:val="none"/>
              </w:rPr>
            </w:pPr>
            <w:r>
              <w:rPr>
                <w:rFonts w:hint="eastAsia" w:ascii="仿宋_GB2312" w:hAnsi="仿宋_GB2312" w:cs="仿宋_GB2312"/>
                <w:color w:val="auto"/>
                <w:sz w:val="21"/>
                <w:szCs w:val="21"/>
                <w:highlight w:val="none"/>
              </w:rPr>
              <w:t>中标候选人公示期满，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6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w:t>
            </w:r>
          </w:p>
        </w:tc>
        <w:tc>
          <w:tcPr>
            <w:tcW w:w="8205" w:type="dxa"/>
            <w:gridSpan w:val="2"/>
            <w:noWrap w:val="0"/>
            <w:vAlign w:val="center"/>
          </w:tcPr>
          <w:p>
            <w:pPr>
              <w:pStyle w:val="74"/>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w:t>
            </w:r>
          </w:p>
        </w:tc>
      </w:tr>
    </w:tbl>
    <w:p>
      <w:pPr>
        <w:snapToGrid w:val="0"/>
        <w:rPr>
          <w:rFonts w:eastAsia="黑体"/>
          <w:color w:val="auto"/>
          <w:sz w:val="28"/>
          <w:szCs w:val="28"/>
          <w:highlight w:val="none"/>
        </w:rPr>
      </w:pPr>
      <w:bookmarkStart w:id="96" w:name="_Toc300677998"/>
    </w:p>
    <w:p>
      <w:pPr>
        <w:snapToGrid w:val="0"/>
        <w:rPr>
          <w:rFonts w:eastAsia="黑体"/>
          <w:color w:val="auto"/>
          <w:sz w:val="28"/>
          <w:szCs w:val="28"/>
          <w:highlight w:val="none"/>
        </w:rPr>
      </w:pPr>
    </w:p>
    <w:p>
      <w:pPr>
        <w:widowControl/>
        <w:jc w:val="left"/>
        <w:rPr>
          <w:rFonts w:eastAsia="黑体"/>
          <w:color w:val="auto"/>
          <w:sz w:val="28"/>
          <w:szCs w:val="28"/>
          <w:highlight w:val="none"/>
        </w:rPr>
      </w:pPr>
    </w:p>
    <w:p>
      <w:pPr>
        <w:snapToGrid w:val="0"/>
        <w:jc w:val="center"/>
        <w:rPr>
          <w:rFonts w:eastAsia="黑体"/>
          <w:color w:val="auto"/>
          <w:sz w:val="28"/>
          <w:szCs w:val="28"/>
          <w:highlight w:val="none"/>
        </w:rPr>
      </w:pPr>
      <w:r>
        <w:rPr>
          <w:rFonts w:eastAsia="黑体"/>
          <w:color w:val="auto"/>
          <w:sz w:val="28"/>
          <w:szCs w:val="28"/>
          <w:highlight w:val="none"/>
        </w:rPr>
        <w:br w:type="page"/>
      </w:r>
      <w:r>
        <w:rPr>
          <w:rFonts w:eastAsia="黑体"/>
          <w:color w:val="auto"/>
          <w:sz w:val="28"/>
          <w:szCs w:val="28"/>
          <w:highlight w:val="none"/>
        </w:rPr>
        <w:t>投标人须知</w:t>
      </w:r>
      <w:bookmarkEnd w:id="96"/>
    </w:p>
    <w:p>
      <w:pPr>
        <w:pStyle w:val="74"/>
        <w:rPr>
          <w:rFonts w:eastAsia="黑体"/>
          <w:color w:val="auto"/>
          <w:highlight w:val="none"/>
        </w:rPr>
      </w:pPr>
    </w:p>
    <w:p>
      <w:pPr>
        <w:pStyle w:val="3"/>
        <w:spacing w:before="0" w:after="0" w:line="360" w:lineRule="auto"/>
        <w:rPr>
          <w:rFonts w:ascii="Times New Roman" w:hAnsi="Times New Roman" w:eastAsia="黑体"/>
          <w:b w:val="0"/>
          <w:bCs w:val="0"/>
          <w:color w:val="auto"/>
          <w:sz w:val="30"/>
          <w:highlight w:val="none"/>
        </w:rPr>
      </w:pPr>
      <w:bookmarkStart w:id="97" w:name="_Toc80006089"/>
      <w:bookmarkStart w:id="98" w:name="_Toc80006199"/>
      <w:bookmarkStart w:id="99" w:name="_Toc300677999"/>
      <w:bookmarkStart w:id="100" w:name="_Toc9178518"/>
      <w:r>
        <w:rPr>
          <w:rFonts w:ascii="Times New Roman" w:hAnsi="Times New Roman" w:eastAsia="黑体"/>
          <w:b w:val="0"/>
          <w:bCs w:val="0"/>
          <w:color w:val="auto"/>
          <w:sz w:val="30"/>
          <w:highlight w:val="none"/>
        </w:rPr>
        <w:t>1.总则</w:t>
      </w:r>
      <w:bookmarkEnd w:id="97"/>
      <w:bookmarkEnd w:id="98"/>
      <w:bookmarkEnd w:id="99"/>
      <w:bookmarkEnd w:id="100"/>
    </w:p>
    <w:p>
      <w:pPr>
        <w:pStyle w:val="5"/>
        <w:rPr>
          <w:rFonts w:ascii="Times New Roman" w:hAnsi="Times New Roman" w:eastAsia="黑体"/>
          <w:b w:val="0"/>
          <w:bCs w:val="0"/>
          <w:color w:val="auto"/>
          <w:sz w:val="24"/>
          <w:highlight w:val="none"/>
        </w:rPr>
      </w:pPr>
      <w:bookmarkStart w:id="101" w:name="_Toc300678000"/>
      <w:r>
        <w:rPr>
          <w:rFonts w:ascii="Times New Roman" w:hAnsi="Times New Roman" w:eastAsia="黑体"/>
          <w:b w:val="0"/>
          <w:bCs w:val="0"/>
          <w:color w:val="auto"/>
          <w:sz w:val="24"/>
          <w:highlight w:val="none"/>
        </w:rPr>
        <w:t>1.1 项目概况</w:t>
      </w:r>
      <w:bookmarkEnd w:id="101"/>
    </w:p>
    <w:p>
      <w:pPr>
        <w:pStyle w:val="74"/>
        <w:spacing w:line="360" w:lineRule="auto"/>
        <w:ind w:firstLine="420" w:firstLineChars="200"/>
        <w:rPr>
          <w:color w:val="auto"/>
          <w:highlight w:val="none"/>
        </w:rPr>
      </w:pPr>
      <w:r>
        <w:rPr>
          <w:color w:val="auto"/>
          <w:highlight w:val="none"/>
        </w:rPr>
        <w:t>1.1.1  根据《 中华人民共和国招标投标法》、</w:t>
      </w:r>
      <w:r>
        <w:rPr>
          <w:color w:val="auto"/>
          <w:sz w:val="22"/>
          <w:szCs w:val="22"/>
          <w:highlight w:val="none"/>
        </w:rPr>
        <w:t>《中华人民共和国招标投标法实施条例》</w:t>
      </w:r>
      <w:r>
        <w:rPr>
          <w:color w:val="auto"/>
          <w:highlight w:val="none"/>
        </w:rPr>
        <w:t xml:space="preserve"> 等有关法律、法规和规章的规定，本招标项目已具备招标条件，现对施工进行招标。</w:t>
      </w:r>
    </w:p>
    <w:p>
      <w:pPr>
        <w:pStyle w:val="74"/>
        <w:spacing w:line="360" w:lineRule="auto"/>
        <w:ind w:firstLine="420" w:firstLineChars="200"/>
        <w:rPr>
          <w:color w:val="auto"/>
          <w:highlight w:val="none"/>
        </w:rPr>
      </w:pPr>
      <w:r>
        <w:rPr>
          <w:color w:val="auto"/>
          <w:highlight w:val="none"/>
        </w:rPr>
        <w:t>1.1.2  招标人：见投标人须知前附表。</w:t>
      </w:r>
    </w:p>
    <w:p>
      <w:pPr>
        <w:pStyle w:val="74"/>
        <w:spacing w:line="360" w:lineRule="auto"/>
        <w:ind w:firstLine="420" w:firstLineChars="200"/>
        <w:rPr>
          <w:color w:val="auto"/>
          <w:highlight w:val="none"/>
        </w:rPr>
      </w:pPr>
      <w:r>
        <w:rPr>
          <w:color w:val="auto"/>
          <w:highlight w:val="none"/>
        </w:rPr>
        <w:t>1.1.3  招标代理机构：见投标人须知前附表。</w:t>
      </w:r>
    </w:p>
    <w:p>
      <w:pPr>
        <w:pStyle w:val="74"/>
        <w:spacing w:line="360" w:lineRule="auto"/>
        <w:ind w:firstLine="420" w:firstLineChars="200"/>
        <w:rPr>
          <w:color w:val="auto"/>
          <w:highlight w:val="none"/>
        </w:rPr>
      </w:pPr>
      <w:r>
        <w:rPr>
          <w:color w:val="auto"/>
          <w:highlight w:val="none"/>
        </w:rPr>
        <w:t xml:space="preserve">1.1.4  </w:t>
      </w:r>
      <w:r>
        <w:rPr>
          <w:rFonts w:hint="eastAsia"/>
          <w:color w:val="auto"/>
          <w:highlight w:val="none"/>
        </w:rPr>
        <w:t>招标</w:t>
      </w:r>
      <w:r>
        <w:rPr>
          <w:color w:val="auto"/>
          <w:highlight w:val="none"/>
        </w:rPr>
        <w:t>项目名称：见投标人须知前附表。</w:t>
      </w:r>
    </w:p>
    <w:p>
      <w:pPr>
        <w:pStyle w:val="74"/>
        <w:spacing w:line="360" w:lineRule="auto"/>
        <w:ind w:firstLine="420" w:firstLineChars="200"/>
        <w:rPr>
          <w:color w:val="auto"/>
          <w:highlight w:val="none"/>
        </w:rPr>
      </w:pPr>
      <w:r>
        <w:rPr>
          <w:color w:val="auto"/>
          <w:highlight w:val="none"/>
        </w:rPr>
        <w:t>1.1.5  建设地点：见投标人须知前附表。</w:t>
      </w:r>
    </w:p>
    <w:p>
      <w:pPr>
        <w:pStyle w:val="5"/>
        <w:rPr>
          <w:rFonts w:ascii="Times New Roman" w:hAnsi="Times New Roman" w:eastAsia="黑体"/>
          <w:b w:val="0"/>
          <w:bCs w:val="0"/>
          <w:color w:val="auto"/>
          <w:sz w:val="24"/>
          <w:highlight w:val="none"/>
        </w:rPr>
      </w:pPr>
      <w:bookmarkStart w:id="102" w:name="_Toc300678001"/>
      <w:r>
        <w:rPr>
          <w:rFonts w:ascii="Times New Roman" w:hAnsi="Times New Roman" w:eastAsia="黑体"/>
          <w:b w:val="0"/>
          <w:bCs w:val="0"/>
          <w:color w:val="auto"/>
          <w:sz w:val="24"/>
          <w:highlight w:val="none"/>
        </w:rPr>
        <w:t>1.2 资金来源和落实情况</w:t>
      </w:r>
      <w:bookmarkEnd w:id="102"/>
    </w:p>
    <w:p>
      <w:pPr>
        <w:pStyle w:val="74"/>
        <w:spacing w:line="360" w:lineRule="auto"/>
        <w:ind w:firstLine="420" w:firstLineChars="200"/>
        <w:rPr>
          <w:color w:val="auto"/>
          <w:highlight w:val="none"/>
        </w:rPr>
      </w:pPr>
      <w:r>
        <w:rPr>
          <w:color w:val="auto"/>
          <w:highlight w:val="none"/>
        </w:rPr>
        <w:t>详见招标公告或投标邀请书 。</w:t>
      </w:r>
    </w:p>
    <w:p>
      <w:pPr>
        <w:pStyle w:val="5"/>
        <w:rPr>
          <w:rFonts w:ascii="Times New Roman" w:hAnsi="Times New Roman" w:eastAsia="黑体"/>
          <w:b w:val="0"/>
          <w:bCs w:val="0"/>
          <w:color w:val="auto"/>
          <w:sz w:val="24"/>
          <w:highlight w:val="none"/>
        </w:rPr>
      </w:pPr>
      <w:bookmarkStart w:id="103" w:name="_Toc300678002"/>
      <w:r>
        <w:rPr>
          <w:rFonts w:ascii="Times New Roman" w:hAnsi="Times New Roman" w:eastAsia="黑体"/>
          <w:b w:val="0"/>
          <w:bCs w:val="0"/>
          <w:color w:val="auto"/>
          <w:sz w:val="24"/>
          <w:highlight w:val="none"/>
        </w:rPr>
        <w:t>1.3 招标范围、计划工期和质量要求</w:t>
      </w:r>
      <w:bookmarkEnd w:id="103"/>
    </w:p>
    <w:p>
      <w:pPr>
        <w:pStyle w:val="74"/>
        <w:spacing w:line="360" w:lineRule="auto"/>
        <w:ind w:firstLine="420" w:firstLineChars="200"/>
        <w:rPr>
          <w:color w:val="auto"/>
          <w:highlight w:val="none"/>
        </w:rPr>
      </w:pPr>
      <w:r>
        <w:rPr>
          <w:color w:val="auto"/>
          <w:highlight w:val="none"/>
        </w:rPr>
        <w:t>1.3.1  招标范围：见投标人须知前附表。</w:t>
      </w:r>
    </w:p>
    <w:p>
      <w:pPr>
        <w:pStyle w:val="74"/>
        <w:spacing w:line="360" w:lineRule="auto"/>
        <w:ind w:firstLine="420" w:firstLineChars="200"/>
        <w:rPr>
          <w:color w:val="auto"/>
          <w:highlight w:val="none"/>
        </w:rPr>
      </w:pPr>
      <w:r>
        <w:rPr>
          <w:color w:val="auto"/>
          <w:highlight w:val="none"/>
        </w:rPr>
        <w:t>1.3.2  计划工期：见投标人须知前附表。</w:t>
      </w:r>
    </w:p>
    <w:p>
      <w:pPr>
        <w:pStyle w:val="74"/>
        <w:spacing w:line="360" w:lineRule="auto"/>
        <w:ind w:firstLine="420" w:firstLineChars="200"/>
        <w:rPr>
          <w:color w:val="auto"/>
          <w:highlight w:val="none"/>
        </w:rPr>
      </w:pPr>
      <w:r>
        <w:rPr>
          <w:color w:val="auto"/>
          <w:highlight w:val="none"/>
        </w:rPr>
        <w:t>1.3.3  质量标准和保修要求：见投标人须知前附表。</w:t>
      </w:r>
    </w:p>
    <w:p>
      <w:pPr>
        <w:pStyle w:val="5"/>
        <w:rPr>
          <w:rFonts w:ascii="Times New Roman" w:hAnsi="Times New Roman" w:eastAsia="黑体"/>
          <w:b w:val="0"/>
          <w:bCs w:val="0"/>
          <w:color w:val="auto"/>
          <w:sz w:val="24"/>
          <w:highlight w:val="none"/>
        </w:rPr>
      </w:pPr>
      <w:bookmarkStart w:id="104" w:name="_Toc300678003"/>
      <w:r>
        <w:rPr>
          <w:rFonts w:ascii="Times New Roman" w:hAnsi="Times New Roman" w:eastAsia="黑体"/>
          <w:b w:val="0"/>
          <w:bCs w:val="0"/>
          <w:color w:val="auto"/>
          <w:sz w:val="24"/>
          <w:highlight w:val="none"/>
        </w:rPr>
        <w:t>1.4 投标人资格要求</w:t>
      </w:r>
    </w:p>
    <w:p>
      <w:pPr>
        <w:pStyle w:val="74"/>
        <w:spacing w:line="360" w:lineRule="auto"/>
        <w:ind w:firstLine="420" w:firstLineChars="200"/>
        <w:rPr>
          <w:strike/>
          <w:color w:val="auto"/>
          <w:highlight w:val="none"/>
        </w:rPr>
      </w:pPr>
      <w:bookmarkStart w:id="105" w:name="_Toc300678004"/>
      <w:r>
        <w:rPr>
          <w:color w:val="auto"/>
          <w:highlight w:val="none"/>
        </w:rPr>
        <w:t>□采用资格预审方式，</w:t>
      </w:r>
      <w:r>
        <w:rPr>
          <w:rFonts w:hint="eastAsia" w:ascii="宋体" w:hAnsi="宋体"/>
          <w:color w:val="auto"/>
          <w:highlight w:val="none"/>
        </w:rPr>
        <w:t>投标人应是收到招标人发出投标邀请书的单位。</w:t>
      </w:r>
      <w:bookmarkEnd w:id="105"/>
    </w:p>
    <w:p>
      <w:pPr>
        <w:pStyle w:val="5"/>
        <w:ind w:firstLine="420" w:firstLineChars="200"/>
        <w:rPr>
          <w:rFonts w:hint="eastAsia" w:ascii="宋体" w:hAnsi="宋体" w:cs="宋体"/>
          <w:b w:val="0"/>
          <w:bCs w:val="0"/>
          <w:color w:val="auto"/>
          <w:szCs w:val="21"/>
          <w:highlight w:val="none"/>
        </w:rPr>
      </w:pPr>
      <w:r>
        <w:rPr>
          <w:rFonts w:ascii="Times New Roman" w:hAnsi="Times New Roman"/>
          <w:b w:val="0"/>
          <w:color w:val="auto"/>
          <w:szCs w:val="21"/>
          <w:highlight w:val="none"/>
        </w:rPr>
        <w:t>□采用资格后审方式，</w:t>
      </w:r>
      <w:r>
        <w:rPr>
          <w:rFonts w:hint="eastAsia" w:ascii="宋体" w:hAnsi="宋体" w:cs="宋体"/>
          <w:b w:val="0"/>
          <w:bCs w:val="0"/>
          <w:color w:val="auto"/>
          <w:szCs w:val="21"/>
          <w:highlight w:val="none"/>
        </w:rPr>
        <w:t>投标人资格要求</w:t>
      </w:r>
      <w:bookmarkEnd w:id="104"/>
    </w:p>
    <w:p>
      <w:pPr>
        <w:pStyle w:val="74"/>
        <w:spacing w:line="360" w:lineRule="auto"/>
        <w:ind w:firstLine="420" w:firstLineChars="200"/>
        <w:rPr>
          <w:color w:val="auto"/>
          <w:highlight w:val="none"/>
        </w:rPr>
      </w:pPr>
      <w:r>
        <w:rPr>
          <w:color w:val="auto"/>
          <w:highlight w:val="none"/>
        </w:rPr>
        <w:t>1.4.1  投标人应具备承担本</w:t>
      </w:r>
      <w:r>
        <w:rPr>
          <w:rFonts w:hint="eastAsia"/>
          <w:color w:val="auto"/>
          <w:highlight w:val="none"/>
        </w:rPr>
        <w:t>项目</w:t>
      </w:r>
      <w:r>
        <w:rPr>
          <w:color w:val="auto"/>
          <w:highlight w:val="none"/>
        </w:rPr>
        <w:t>施工的资质条件：见投标人须知前附表；</w:t>
      </w:r>
    </w:p>
    <w:p>
      <w:pPr>
        <w:pStyle w:val="74"/>
        <w:spacing w:line="360" w:lineRule="auto"/>
        <w:ind w:firstLine="420" w:firstLineChars="200"/>
        <w:rPr>
          <w:color w:val="auto"/>
          <w:highlight w:val="none"/>
        </w:rPr>
      </w:pPr>
      <w:r>
        <w:rPr>
          <w:color w:val="auto"/>
          <w:highlight w:val="none"/>
        </w:rPr>
        <w:t>1.4.2  投标人须知前附表规定接受联合体投标的，除应符合本</w:t>
      </w:r>
      <w:r>
        <w:rPr>
          <w:rFonts w:hint="eastAsia"/>
          <w:color w:val="auto"/>
          <w:highlight w:val="none"/>
        </w:rPr>
        <w:t>须知</w:t>
      </w:r>
      <w:r>
        <w:rPr>
          <w:color w:val="auto"/>
          <w:highlight w:val="none"/>
        </w:rPr>
        <w:t>第1.4.1项和投标人须知前附表的要求外，还应遵守以下规定：</w:t>
      </w:r>
    </w:p>
    <w:p>
      <w:pPr>
        <w:pStyle w:val="74"/>
        <w:spacing w:line="360" w:lineRule="auto"/>
        <w:ind w:firstLine="420" w:firstLineChars="200"/>
        <w:rPr>
          <w:bCs/>
          <w:color w:val="auto"/>
          <w:highlight w:val="none"/>
        </w:rPr>
      </w:pPr>
      <w:r>
        <w:rPr>
          <w:bCs/>
          <w:color w:val="auto"/>
          <w:highlight w:val="none"/>
        </w:rPr>
        <w:t>（1）联合体各方应按招标文件提供的格式签订</w:t>
      </w:r>
      <w:r>
        <w:rPr>
          <w:rFonts w:hint="eastAsia"/>
          <w:bCs/>
          <w:color w:val="auto"/>
          <w:highlight w:val="none"/>
          <w:lang w:eastAsia="zh-CN"/>
        </w:rPr>
        <w:t>共同投标协议</w:t>
      </w:r>
      <w:r>
        <w:rPr>
          <w:bCs/>
          <w:color w:val="auto"/>
          <w:highlight w:val="none"/>
        </w:rPr>
        <w:t>，明确联合体牵头人和各方权利义务；</w:t>
      </w:r>
    </w:p>
    <w:p>
      <w:pPr>
        <w:pStyle w:val="74"/>
        <w:spacing w:line="360" w:lineRule="auto"/>
        <w:ind w:firstLine="420" w:firstLineChars="200"/>
        <w:rPr>
          <w:bCs/>
          <w:color w:val="auto"/>
          <w:highlight w:val="none"/>
        </w:rPr>
      </w:pPr>
      <w:r>
        <w:rPr>
          <w:bCs/>
          <w:color w:val="auto"/>
          <w:highlight w:val="none"/>
        </w:rPr>
        <w:t>（2）由同一专业的单位组成的联合体，按照资质等级较低的单位确定资质等级；</w:t>
      </w:r>
    </w:p>
    <w:p>
      <w:pPr>
        <w:pStyle w:val="74"/>
        <w:spacing w:line="360" w:lineRule="auto"/>
        <w:ind w:firstLine="420" w:firstLineChars="200"/>
        <w:rPr>
          <w:bCs/>
          <w:color w:val="auto"/>
          <w:highlight w:val="none"/>
        </w:rPr>
      </w:pPr>
      <w:r>
        <w:rPr>
          <w:bCs/>
          <w:color w:val="auto"/>
          <w:highlight w:val="none"/>
        </w:rPr>
        <w:t>（3）联合体各方不得再以自己名义单独或参加其他联合体在同一标段中投标。</w:t>
      </w:r>
    </w:p>
    <w:p>
      <w:pPr>
        <w:pStyle w:val="74"/>
        <w:spacing w:line="360" w:lineRule="auto"/>
        <w:ind w:firstLine="420" w:firstLineChars="200"/>
        <w:rPr>
          <w:bCs/>
          <w:color w:val="auto"/>
          <w:highlight w:val="none"/>
        </w:rPr>
      </w:pPr>
      <w:r>
        <w:rPr>
          <w:bCs/>
          <w:color w:val="auto"/>
          <w:highlight w:val="none"/>
        </w:rPr>
        <w:t>1.4.3 投标人不得存在下列情形之一：</w:t>
      </w:r>
    </w:p>
    <w:p>
      <w:pPr>
        <w:pStyle w:val="74"/>
        <w:spacing w:line="360" w:lineRule="auto"/>
        <w:ind w:firstLine="420" w:firstLineChars="200"/>
        <w:rPr>
          <w:bCs/>
          <w:color w:val="auto"/>
          <w:highlight w:val="none"/>
        </w:rPr>
      </w:pPr>
      <w:r>
        <w:rPr>
          <w:bCs/>
          <w:color w:val="auto"/>
          <w:highlight w:val="none"/>
        </w:rPr>
        <w:t>（l）为招标人的不具有独立法人资格的附属机构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pPr>
        <w:pStyle w:val="74"/>
        <w:spacing w:line="360" w:lineRule="auto"/>
        <w:ind w:firstLine="420" w:firstLineChars="200"/>
        <w:rPr>
          <w:bCs/>
          <w:color w:val="auto"/>
          <w:highlight w:val="none"/>
        </w:rPr>
      </w:pPr>
      <w:r>
        <w:rPr>
          <w:bCs/>
          <w:color w:val="auto"/>
          <w:highlight w:val="none"/>
        </w:rPr>
        <w:t>（2）为本招标项目前期准备提供设计</w:t>
      </w:r>
      <w:r>
        <w:rPr>
          <w:rFonts w:hint="eastAsia"/>
          <w:bCs/>
          <w:color w:val="auto"/>
          <w:highlight w:val="none"/>
        </w:rPr>
        <w:t>或</w:t>
      </w:r>
      <w:r>
        <w:rPr>
          <w:bCs/>
          <w:color w:val="auto"/>
          <w:highlight w:val="none"/>
        </w:rPr>
        <w:t>咨询服务的；</w:t>
      </w:r>
    </w:p>
    <w:p>
      <w:pPr>
        <w:pStyle w:val="74"/>
        <w:spacing w:line="360" w:lineRule="auto"/>
        <w:ind w:firstLine="420" w:firstLineChars="200"/>
        <w:rPr>
          <w:bCs/>
          <w:color w:val="auto"/>
          <w:highlight w:val="none"/>
        </w:rPr>
      </w:pPr>
      <w:r>
        <w:rPr>
          <w:bCs/>
          <w:color w:val="auto"/>
          <w:highlight w:val="none"/>
        </w:rPr>
        <w:t>（3）为本招标项目的监理人；</w:t>
      </w:r>
    </w:p>
    <w:p>
      <w:pPr>
        <w:pStyle w:val="74"/>
        <w:spacing w:line="360" w:lineRule="auto"/>
        <w:ind w:firstLine="420" w:firstLineChars="200"/>
        <w:rPr>
          <w:bCs/>
          <w:color w:val="auto"/>
          <w:highlight w:val="none"/>
        </w:rPr>
      </w:pPr>
      <w:r>
        <w:rPr>
          <w:bCs/>
          <w:color w:val="auto"/>
          <w:highlight w:val="none"/>
        </w:rPr>
        <w:t>（4）为本招标项目的代建人；</w:t>
      </w:r>
    </w:p>
    <w:p>
      <w:pPr>
        <w:pStyle w:val="74"/>
        <w:spacing w:line="360" w:lineRule="auto"/>
        <w:ind w:firstLine="420" w:firstLineChars="200"/>
        <w:rPr>
          <w:bCs/>
          <w:color w:val="auto"/>
          <w:highlight w:val="none"/>
        </w:rPr>
      </w:pPr>
      <w:r>
        <w:rPr>
          <w:bCs/>
          <w:color w:val="auto"/>
          <w:highlight w:val="none"/>
        </w:rPr>
        <w:t>（5）为本招标项目的招标代理机构；</w:t>
      </w:r>
    </w:p>
    <w:p>
      <w:pPr>
        <w:pStyle w:val="74"/>
        <w:spacing w:line="360" w:lineRule="auto"/>
        <w:ind w:firstLine="420" w:firstLineChars="200"/>
        <w:rPr>
          <w:bCs/>
          <w:color w:val="auto"/>
          <w:highlight w:val="none"/>
        </w:rPr>
      </w:pPr>
      <w:r>
        <w:rPr>
          <w:bCs/>
          <w:color w:val="auto"/>
          <w:highlight w:val="none"/>
        </w:rPr>
        <w:t>（6）与本招标项目的监理人或代建人或招标代理机构同为一个法定代表人的；</w:t>
      </w:r>
    </w:p>
    <w:p>
      <w:pPr>
        <w:pStyle w:val="74"/>
        <w:spacing w:line="360" w:lineRule="auto"/>
        <w:ind w:firstLine="420" w:firstLineChars="200"/>
        <w:rPr>
          <w:bCs/>
          <w:color w:val="auto"/>
          <w:highlight w:val="none"/>
        </w:rPr>
      </w:pPr>
      <w:r>
        <w:rPr>
          <w:bCs/>
          <w:color w:val="auto"/>
          <w:highlight w:val="none"/>
        </w:rPr>
        <w:t>（7）与本招标项目的监理人或代建人或招标代理机构相互控股或参股的；</w:t>
      </w:r>
    </w:p>
    <w:p>
      <w:pPr>
        <w:pStyle w:val="74"/>
        <w:spacing w:line="360" w:lineRule="auto"/>
        <w:ind w:firstLine="420" w:firstLineChars="200"/>
        <w:rPr>
          <w:bCs/>
          <w:color w:val="auto"/>
          <w:highlight w:val="none"/>
        </w:rPr>
      </w:pPr>
      <w:r>
        <w:rPr>
          <w:bCs/>
          <w:color w:val="auto"/>
          <w:highlight w:val="none"/>
        </w:rPr>
        <w:t>（8）与本招标项目的监理人或代建人或招标代理机构相互任职或工作的；</w:t>
      </w:r>
    </w:p>
    <w:p>
      <w:pPr>
        <w:pStyle w:val="74"/>
        <w:spacing w:line="360" w:lineRule="auto"/>
        <w:ind w:firstLine="420" w:firstLineChars="200"/>
        <w:rPr>
          <w:bCs/>
          <w:color w:val="auto"/>
          <w:highlight w:val="none"/>
        </w:rPr>
      </w:pPr>
      <w:r>
        <w:rPr>
          <w:bCs/>
          <w:color w:val="auto"/>
          <w:highlight w:val="none"/>
        </w:rPr>
        <w:t>（9）被责令停业的；</w:t>
      </w:r>
    </w:p>
    <w:p>
      <w:pPr>
        <w:pStyle w:val="74"/>
        <w:spacing w:line="360" w:lineRule="auto"/>
        <w:ind w:firstLine="420" w:firstLineChars="200"/>
        <w:rPr>
          <w:bCs/>
          <w:color w:val="auto"/>
          <w:highlight w:val="none"/>
        </w:rPr>
      </w:pPr>
      <w:r>
        <w:rPr>
          <w:bCs/>
          <w:color w:val="auto"/>
          <w:highlight w:val="none"/>
        </w:rPr>
        <w:t>（10）被住房城乡建设主管部门取消参加本地区依法必须招标项目投标资格</w:t>
      </w:r>
      <w:r>
        <w:rPr>
          <w:rFonts w:hint="eastAsia"/>
          <w:bCs/>
          <w:color w:val="auto"/>
          <w:highlight w:val="none"/>
        </w:rPr>
        <w:t>的</w:t>
      </w:r>
      <w:r>
        <w:rPr>
          <w:bCs/>
          <w:color w:val="auto"/>
          <w:highlight w:val="none"/>
        </w:rPr>
        <w:t>；</w:t>
      </w:r>
    </w:p>
    <w:p>
      <w:pPr>
        <w:spacing w:line="360" w:lineRule="auto"/>
        <w:ind w:firstLine="420" w:firstLineChars="200"/>
        <w:rPr>
          <w:bCs/>
          <w:color w:val="auto"/>
          <w:highlight w:val="none"/>
        </w:rPr>
      </w:pPr>
      <w:r>
        <w:rPr>
          <w:rFonts w:hint="eastAsia"/>
          <w:bCs/>
          <w:color w:val="auto"/>
          <w:highlight w:val="none"/>
        </w:rPr>
        <w:t>（1</w:t>
      </w:r>
      <w:r>
        <w:rPr>
          <w:bCs/>
          <w:color w:val="auto"/>
          <w:highlight w:val="none"/>
        </w:rPr>
        <w:t>1</w:t>
      </w:r>
      <w:r>
        <w:rPr>
          <w:rFonts w:hint="eastAsia"/>
          <w:bCs/>
          <w:color w:val="auto"/>
          <w:highlight w:val="none"/>
        </w:rPr>
        <w:t>）与招标人存在利害关系可能影响招标公正性的法人、其他组织或者个人；</w:t>
      </w:r>
    </w:p>
    <w:p>
      <w:pPr>
        <w:spacing w:line="360" w:lineRule="auto"/>
        <w:ind w:firstLine="420" w:firstLineChars="200"/>
        <w:rPr>
          <w:bCs/>
          <w:color w:val="auto"/>
          <w:highlight w:val="none"/>
        </w:rPr>
      </w:pPr>
      <w:r>
        <w:rPr>
          <w:rFonts w:hint="eastAsia"/>
          <w:bCs/>
          <w:color w:val="auto"/>
          <w:highlight w:val="none"/>
        </w:rPr>
        <w:t>（1</w:t>
      </w:r>
      <w:r>
        <w:rPr>
          <w:bCs/>
          <w:color w:val="auto"/>
          <w:highlight w:val="none"/>
        </w:rPr>
        <w:t>2</w:t>
      </w:r>
      <w:r>
        <w:rPr>
          <w:rFonts w:hint="eastAsia"/>
          <w:bCs/>
          <w:color w:val="auto"/>
          <w:highlight w:val="none"/>
        </w:rPr>
        <w:t>）单位负责人为同一人或者存在控股、管理关系的不同单位参加同一标段或者未划分标段的同一招标项目投标的；</w:t>
      </w:r>
    </w:p>
    <w:p>
      <w:pPr>
        <w:spacing w:line="360" w:lineRule="auto"/>
        <w:ind w:firstLine="420" w:firstLineChars="200"/>
        <w:rPr>
          <w:bCs/>
          <w:color w:val="auto"/>
          <w:highlight w:val="none"/>
        </w:rPr>
      </w:pPr>
      <w:r>
        <w:rPr>
          <w:bCs/>
          <w:color w:val="auto"/>
          <w:szCs w:val="21"/>
          <w:highlight w:val="none"/>
        </w:rPr>
        <w:t>（13）</w:t>
      </w:r>
      <w:r>
        <w:rPr>
          <w:bCs/>
          <w:color w:val="auto"/>
          <w:highlight w:val="none"/>
        </w:rPr>
        <w:t>法律、法规规定的其他情形。</w:t>
      </w:r>
    </w:p>
    <w:p>
      <w:pPr>
        <w:pStyle w:val="5"/>
        <w:rPr>
          <w:rFonts w:ascii="Times New Roman" w:hAnsi="Times New Roman" w:eastAsia="黑体"/>
          <w:b w:val="0"/>
          <w:bCs w:val="0"/>
          <w:color w:val="auto"/>
          <w:sz w:val="24"/>
          <w:highlight w:val="none"/>
        </w:rPr>
      </w:pPr>
      <w:bookmarkStart w:id="106" w:name="_Toc300678005"/>
      <w:r>
        <w:rPr>
          <w:rFonts w:ascii="Times New Roman" w:hAnsi="Times New Roman" w:eastAsia="黑体"/>
          <w:b w:val="0"/>
          <w:bCs w:val="0"/>
          <w:color w:val="auto"/>
          <w:sz w:val="24"/>
          <w:highlight w:val="none"/>
        </w:rPr>
        <w:t>1.5 费用承担</w:t>
      </w:r>
      <w:bookmarkEnd w:id="106"/>
    </w:p>
    <w:p>
      <w:pPr>
        <w:pStyle w:val="74"/>
        <w:spacing w:line="360" w:lineRule="auto"/>
        <w:ind w:firstLine="420" w:firstLineChars="200"/>
        <w:rPr>
          <w:color w:val="auto"/>
          <w:highlight w:val="none"/>
        </w:rPr>
      </w:pPr>
      <w:r>
        <w:rPr>
          <w:color w:val="auto"/>
          <w:highlight w:val="none"/>
        </w:rPr>
        <w:t>投标人准备和参加投标活动发生的费用自理。</w:t>
      </w:r>
    </w:p>
    <w:p>
      <w:pPr>
        <w:pStyle w:val="5"/>
        <w:rPr>
          <w:rFonts w:ascii="Times New Roman" w:hAnsi="Times New Roman" w:eastAsia="黑体"/>
          <w:b w:val="0"/>
          <w:bCs w:val="0"/>
          <w:color w:val="auto"/>
          <w:sz w:val="24"/>
          <w:highlight w:val="none"/>
        </w:rPr>
      </w:pPr>
      <w:bookmarkStart w:id="107" w:name="_Toc300678006"/>
      <w:r>
        <w:rPr>
          <w:rFonts w:ascii="Times New Roman" w:hAnsi="Times New Roman" w:eastAsia="黑体"/>
          <w:b w:val="0"/>
          <w:bCs w:val="0"/>
          <w:color w:val="auto"/>
          <w:sz w:val="24"/>
          <w:highlight w:val="none"/>
        </w:rPr>
        <w:t>1.6 保密</w:t>
      </w:r>
      <w:bookmarkEnd w:id="107"/>
    </w:p>
    <w:p>
      <w:pPr>
        <w:pStyle w:val="74"/>
        <w:spacing w:line="360" w:lineRule="auto"/>
        <w:ind w:firstLine="420" w:firstLineChars="200"/>
        <w:rPr>
          <w:color w:val="auto"/>
          <w:highlight w:val="none"/>
        </w:rPr>
      </w:pPr>
      <w:r>
        <w:rPr>
          <w:color w:val="auto"/>
          <w:highlight w:val="none"/>
        </w:rPr>
        <w:t>参与招标投标活动的各方应对招标文件和投标文件中的商业和技术等秘密保密，违者应对由此造成的后果承担法律责任。</w:t>
      </w:r>
    </w:p>
    <w:p>
      <w:pPr>
        <w:pStyle w:val="5"/>
        <w:rPr>
          <w:rFonts w:ascii="Times New Roman" w:hAnsi="Times New Roman" w:eastAsia="黑体"/>
          <w:b w:val="0"/>
          <w:bCs w:val="0"/>
          <w:color w:val="auto"/>
          <w:sz w:val="24"/>
          <w:highlight w:val="none"/>
        </w:rPr>
      </w:pPr>
      <w:bookmarkStart w:id="108" w:name="_Toc300678007"/>
      <w:r>
        <w:rPr>
          <w:rFonts w:ascii="Times New Roman" w:hAnsi="Times New Roman" w:eastAsia="黑体"/>
          <w:b w:val="0"/>
          <w:bCs w:val="0"/>
          <w:color w:val="auto"/>
          <w:sz w:val="24"/>
          <w:highlight w:val="none"/>
        </w:rPr>
        <w:t>1.7 语言文字</w:t>
      </w:r>
      <w:bookmarkEnd w:id="108"/>
    </w:p>
    <w:p>
      <w:pPr>
        <w:pStyle w:val="74"/>
        <w:spacing w:line="360" w:lineRule="auto"/>
        <w:ind w:firstLine="420" w:firstLineChars="200"/>
        <w:rPr>
          <w:color w:val="auto"/>
          <w:highlight w:val="none"/>
        </w:rPr>
      </w:pPr>
      <w:r>
        <w:rPr>
          <w:color w:val="auto"/>
          <w:highlight w:val="none"/>
        </w:rPr>
        <w:t>除专用术语外，与招标投标有关的语言均使用中文。必要时专用术语应附有中文注释。</w:t>
      </w:r>
    </w:p>
    <w:p>
      <w:pPr>
        <w:pStyle w:val="5"/>
        <w:rPr>
          <w:rFonts w:ascii="Times New Roman" w:hAnsi="Times New Roman" w:eastAsia="黑体"/>
          <w:b w:val="0"/>
          <w:bCs w:val="0"/>
          <w:color w:val="auto"/>
          <w:sz w:val="24"/>
          <w:highlight w:val="none"/>
        </w:rPr>
      </w:pPr>
      <w:bookmarkStart w:id="109" w:name="_Toc300678008"/>
      <w:r>
        <w:rPr>
          <w:rFonts w:ascii="Times New Roman" w:hAnsi="Times New Roman" w:eastAsia="黑体"/>
          <w:b w:val="0"/>
          <w:bCs w:val="0"/>
          <w:color w:val="auto"/>
          <w:sz w:val="24"/>
          <w:highlight w:val="none"/>
        </w:rPr>
        <w:t>1.8 计量单位</w:t>
      </w:r>
      <w:bookmarkEnd w:id="109"/>
    </w:p>
    <w:p>
      <w:pPr>
        <w:pStyle w:val="74"/>
        <w:spacing w:line="360" w:lineRule="auto"/>
        <w:ind w:firstLine="420" w:firstLineChars="200"/>
        <w:rPr>
          <w:color w:val="auto"/>
          <w:highlight w:val="none"/>
        </w:rPr>
      </w:pPr>
      <w:r>
        <w:rPr>
          <w:color w:val="auto"/>
          <w:highlight w:val="none"/>
        </w:rPr>
        <w:t>所有计量均采用中华人民共和国法定计量单位。</w:t>
      </w:r>
    </w:p>
    <w:p>
      <w:pPr>
        <w:pStyle w:val="5"/>
        <w:rPr>
          <w:rFonts w:ascii="Times New Roman" w:hAnsi="Times New Roman" w:eastAsia="黑体"/>
          <w:b w:val="0"/>
          <w:bCs w:val="0"/>
          <w:color w:val="auto"/>
          <w:sz w:val="24"/>
          <w:highlight w:val="none"/>
        </w:rPr>
      </w:pPr>
      <w:bookmarkStart w:id="110" w:name="_Toc300678009"/>
      <w:r>
        <w:rPr>
          <w:rFonts w:ascii="Times New Roman" w:hAnsi="Times New Roman" w:eastAsia="黑体"/>
          <w:b w:val="0"/>
          <w:bCs w:val="0"/>
          <w:color w:val="auto"/>
          <w:sz w:val="24"/>
          <w:highlight w:val="none"/>
        </w:rPr>
        <w:t>1.9 踏勘现场</w:t>
      </w:r>
      <w:bookmarkEnd w:id="110"/>
    </w:p>
    <w:p>
      <w:pPr>
        <w:pStyle w:val="74"/>
        <w:spacing w:line="360" w:lineRule="auto"/>
        <w:ind w:firstLine="420" w:firstLineChars="200"/>
        <w:rPr>
          <w:color w:val="auto"/>
          <w:highlight w:val="none"/>
        </w:rPr>
      </w:pPr>
      <w:r>
        <w:rPr>
          <w:color w:val="auto"/>
          <w:highlight w:val="none"/>
        </w:rPr>
        <w:t>1.9.1  按投标人须知前附表的规定执行。</w:t>
      </w:r>
    </w:p>
    <w:p>
      <w:pPr>
        <w:pStyle w:val="74"/>
        <w:spacing w:line="360" w:lineRule="auto"/>
        <w:ind w:firstLine="420" w:firstLineChars="200"/>
        <w:rPr>
          <w:color w:val="auto"/>
          <w:highlight w:val="none"/>
        </w:rPr>
      </w:pPr>
      <w:r>
        <w:rPr>
          <w:color w:val="auto"/>
          <w:highlight w:val="none"/>
        </w:rPr>
        <w:t>1.9.2  投标人踏勘现场发生的费用自理。</w:t>
      </w:r>
    </w:p>
    <w:p>
      <w:pPr>
        <w:pStyle w:val="74"/>
        <w:spacing w:line="360" w:lineRule="auto"/>
        <w:ind w:firstLine="420" w:firstLineChars="200"/>
        <w:rPr>
          <w:color w:val="auto"/>
          <w:highlight w:val="none"/>
        </w:rPr>
      </w:pPr>
      <w:r>
        <w:rPr>
          <w:color w:val="auto"/>
          <w:highlight w:val="none"/>
        </w:rPr>
        <w:t>1.9.3  除招标人的原因外，投标人自行负责在踏勘现场中所发生的人员伤亡和财产损失。</w:t>
      </w:r>
    </w:p>
    <w:p>
      <w:pPr>
        <w:pStyle w:val="74"/>
        <w:spacing w:line="360" w:lineRule="auto"/>
        <w:ind w:firstLine="420" w:firstLineChars="200"/>
        <w:rPr>
          <w:color w:val="auto"/>
          <w:highlight w:val="none"/>
        </w:rPr>
      </w:pPr>
      <w:r>
        <w:rPr>
          <w:color w:val="auto"/>
          <w:highlight w:val="none"/>
        </w:rPr>
        <w:t>1.9.4  招标人在踏勘现场有关工程场地和相关环境等情况的介绍，供投标人参考。投标人对自身的判断和决策负责。</w:t>
      </w:r>
    </w:p>
    <w:p>
      <w:pPr>
        <w:pStyle w:val="5"/>
        <w:rPr>
          <w:rFonts w:ascii="Times New Roman" w:hAnsi="Times New Roman" w:eastAsia="黑体"/>
          <w:b w:val="0"/>
          <w:bCs w:val="0"/>
          <w:color w:val="auto"/>
          <w:sz w:val="24"/>
          <w:highlight w:val="none"/>
        </w:rPr>
      </w:pPr>
      <w:bookmarkStart w:id="111" w:name="_Toc300678011"/>
      <w:r>
        <w:rPr>
          <w:rFonts w:ascii="Times New Roman" w:hAnsi="Times New Roman" w:eastAsia="黑体"/>
          <w:b w:val="0"/>
          <w:bCs w:val="0"/>
          <w:color w:val="auto"/>
          <w:sz w:val="24"/>
          <w:highlight w:val="none"/>
        </w:rPr>
        <w:t>1.10 分包</w:t>
      </w:r>
      <w:bookmarkEnd w:id="111"/>
    </w:p>
    <w:p>
      <w:pPr>
        <w:pStyle w:val="74"/>
        <w:spacing w:line="360" w:lineRule="auto"/>
        <w:ind w:firstLine="420" w:firstLineChars="200"/>
        <w:rPr>
          <w:color w:val="auto"/>
          <w:highlight w:val="none"/>
        </w:rPr>
      </w:pPr>
      <w:r>
        <w:rPr>
          <w:color w:val="auto"/>
          <w:highlight w:val="none"/>
        </w:rPr>
        <w:t>投标人拟在中标后将中标项目的部分非主体、非关键性工作进行分包的，应符合投标人须知前附表规定的分包内容、分包金额和接受分包的第三人资质要求等限制性条件。</w:t>
      </w:r>
    </w:p>
    <w:p>
      <w:pPr>
        <w:pStyle w:val="5"/>
        <w:rPr>
          <w:rFonts w:ascii="Times New Roman" w:hAnsi="Times New Roman" w:eastAsia="黑体"/>
          <w:b w:val="0"/>
          <w:bCs w:val="0"/>
          <w:color w:val="auto"/>
          <w:sz w:val="24"/>
          <w:highlight w:val="none"/>
        </w:rPr>
      </w:pPr>
      <w:bookmarkStart w:id="112" w:name="_Toc300678012"/>
      <w:r>
        <w:rPr>
          <w:rFonts w:ascii="Times New Roman" w:hAnsi="Times New Roman" w:eastAsia="黑体"/>
          <w:b w:val="0"/>
          <w:bCs w:val="0"/>
          <w:color w:val="auto"/>
          <w:sz w:val="24"/>
          <w:highlight w:val="none"/>
        </w:rPr>
        <w:t>1.11 偏离</w:t>
      </w:r>
      <w:bookmarkEnd w:id="112"/>
    </w:p>
    <w:p>
      <w:pPr>
        <w:pStyle w:val="74"/>
        <w:spacing w:line="360" w:lineRule="auto"/>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pPr>
        <w:pStyle w:val="3"/>
        <w:spacing w:before="0" w:after="0" w:line="360" w:lineRule="auto"/>
        <w:rPr>
          <w:rFonts w:ascii="Times New Roman" w:hAnsi="Times New Roman" w:eastAsia="黑体"/>
          <w:b w:val="0"/>
          <w:bCs w:val="0"/>
          <w:color w:val="auto"/>
          <w:sz w:val="30"/>
          <w:highlight w:val="none"/>
        </w:rPr>
      </w:pPr>
      <w:bookmarkStart w:id="113" w:name="_Toc80006090"/>
      <w:bookmarkStart w:id="114" w:name="_Toc9178519"/>
      <w:bookmarkStart w:id="115" w:name="_Toc80006200"/>
      <w:bookmarkStart w:id="116" w:name="_Toc300678013"/>
      <w:r>
        <w:rPr>
          <w:rFonts w:ascii="Times New Roman" w:hAnsi="Times New Roman" w:eastAsia="黑体"/>
          <w:b w:val="0"/>
          <w:bCs w:val="0"/>
          <w:color w:val="auto"/>
          <w:sz w:val="30"/>
          <w:highlight w:val="none"/>
        </w:rPr>
        <w:t>2.招标文件</w:t>
      </w:r>
      <w:bookmarkEnd w:id="113"/>
      <w:bookmarkEnd w:id="114"/>
      <w:bookmarkEnd w:id="115"/>
      <w:bookmarkEnd w:id="116"/>
    </w:p>
    <w:p>
      <w:pPr>
        <w:pStyle w:val="5"/>
        <w:rPr>
          <w:rFonts w:ascii="Times New Roman" w:hAnsi="Times New Roman" w:eastAsia="黑体"/>
          <w:b w:val="0"/>
          <w:bCs w:val="0"/>
          <w:color w:val="auto"/>
          <w:sz w:val="24"/>
          <w:highlight w:val="none"/>
        </w:rPr>
      </w:pPr>
      <w:bookmarkStart w:id="117" w:name="_Toc300678014"/>
      <w:r>
        <w:rPr>
          <w:rFonts w:ascii="Times New Roman" w:hAnsi="Times New Roman" w:eastAsia="黑体"/>
          <w:b w:val="0"/>
          <w:bCs w:val="0"/>
          <w:color w:val="auto"/>
          <w:sz w:val="24"/>
          <w:highlight w:val="none"/>
        </w:rPr>
        <w:t>2.1 招标文件的组成</w:t>
      </w:r>
      <w:bookmarkEnd w:id="117"/>
    </w:p>
    <w:p>
      <w:pPr>
        <w:pStyle w:val="74"/>
        <w:spacing w:line="360" w:lineRule="auto"/>
        <w:ind w:firstLine="420" w:firstLineChars="200"/>
        <w:rPr>
          <w:color w:val="auto"/>
          <w:highlight w:val="none"/>
        </w:rPr>
      </w:pPr>
      <w:r>
        <w:rPr>
          <w:color w:val="auto"/>
          <w:highlight w:val="none"/>
        </w:rPr>
        <w:t>本招标文件包括：</w:t>
      </w:r>
    </w:p>
    <w:p>
      <w:pPr>
        <w:pStyle w:val="74"/>
        <w:spacing w:line="360" w:lineRule="auto"/>
        <w:ind w:firstLine="420" w:firstLineChars="200"/>
        <w:rPr>
          <w:color w:val="auto"/>
          <w:highlight w:val="none"/>
        </w:rPr>
      </w:pPr>
      <w:r>
        <w:rPr>
          <w:color w:val="auto"/>
          <w:highlight w:val="none"/>
        </w:rPr>
        <w:t xml:space="preserve">（1）招标公告（或投标邀请书）； </w:t>
      </w:r>
    </w:p>
    <w:p>
      <w:pPr>
        <w:pStyle w:val="74"/>
        <w:spacing w:line="360" w:lineRule="auto"/>
        <w:ind w:firstLine="420" w:firstLineChars="200"/>
        <w:rPr>
          <w:color w:val="auto"/>
          <w:highlight w:val="none"/>
        </w:rPr>
      </w:pPr>
      <w:r>
        <w:rPr>
          <w:color w:val="auto"/>
          <w:highlight w:val="none"/>
        </w:rPr>
        <w:t>（2）投标人须知；</w:t>
      </w:r>
    </w:p>
    <w:p>
      <w:pPr>
        <w:pStyle w:val="74"/>
        <w:spacing w:line="360" w:lineRule="auto"/>
        <w:ind w:firstLine="420" w:firstLineChars="200"/>
        <w:rPr>
          <w:color w:val="auto"/>
          <w:highlight w:val="none"/>
        </w:rPr>
      </w:pPr>
      <w:r>
        <w:rPr>
          <w:color w:val="auto"/>
          <w:highlight w:val="none"/>
        </w:rPr>
        <w:t>（3）评标办法；</w:t>
      </w:r>
    </w:p>
    <w:p>
      <w:pPr>
        <w:pStyle w:val="74"/>
        <w:spacing w:line="360" w:lineRule="auto"/>
        <w:ind w:firstLine="420" w:firstLineChars="200"/>
        <w:rPr>
          <w:color w:val="auto"/>
          <w:highlight w:val="none"/>
        </w:rPr>
      </w:pPr>
      <w:r>
        <w:rPr>
          <w:color w:val="auto"/>
          <w:highlight w:val="none"/>
        </w:rPr>
        <w:t>（4）合同条款及格式；</w:t>
      </w:r>
    </w:p>
    <w:p>
      <w:pPr>
        <w:pStyle w:val="74"/>
        <w:spacing w:line="360" w:lineRule="auto"/>
        <w:ind w:firstLine="420" w:firstLineChars="200"/>
        <w:rPr>
          <w:color w:val="auto"/>
          <w:highlight w:val="none"/>
        </w:rPr>
      </w:pPr>
      <w:r>
        <w:rPr>
          <w:color w:val="auto"/>
          <w:highlight w:val="none"/>
        </w:rPr>
        <w:t>（5）工程量清单；</w:t>
      </w:r>
    </w:p>
    <w:p>
      <w:pPr>
        <w:pStyle w:val="74"/>
        <w:spacing w:line="360" w:lineRule="auto"/>
        <w:ind w:firstLine="420" w:firstLineChars="200"/>
        <w:rPr>
          <w:color w:val="auto"/>
          <w:highlight w:val="none"/>
        </w:rPr>
      </w:pPr>
      <w:r>
        <w:rPr>
          <w:color w:val="auto"/>
          <w:highlight w:val="none"/>
        </w:rPr>
        <w:t>（6）图纸；</w:t>
      </w:r>
    </w:p>
    <w:p>
      <w:pPr>
        <w:pStyle w:val="74"/>
        <w:spacing w:line="360" w:lineRule="auto"/>
        <w:ind w:firstLine="420" w:firstLineChars="200"/>
        <w:rPr>
          <w:color w:val="auto"/>
          <w:highlight w:val="none"/>
        </w:rPr>
      </w:pPr>
      <w:r>
        <w:rPr>
          <w:color w:val="auto"/>
          <w:highlight w:val="none"/>
        </w:rPr>
        <w:t>（7）技术标准和要求；</w:t>
      </w:r>
    </w:p>
    <w:p>
      <w:pPr>
        <w:pStyle w:val="74"/>
        <w:spacing w:line="360" w:lineRule="auto"/>
        <w:ind w:firstLine="420" w:firstLineChars="200"/>
        <w:rPr>
          <w:color w:val="auto"/>
          <w:highlight w:val="none"/>
        </w:rPr>
      </w:pPr>
      <w:r>
        <w:rPr>
          <w:color w:val="auto"/>
          <w:highlight w:val="none"/>
        </w:rPr>
        <w:t>（8）投标文件格式；</w:t>
      </w:r>
    </w:p>
    <w:p>
      <w:pPr>
        <w:pStyle w:val="74"/>
        <w:widowControl w:val="0"/>
        <w:spacing w:line="360" w:lineRule="auto"/>
        <w:ind w:firstLine="420" w:firstLineChars="200"/>
        <w:rPr>
          <w:color w:val="auto"/>
          <w:highlight w:val="none"/>
        </w:rPr>
      </w:pPr>
      <w:r>
        <w:rPr>
          <w:color w:val="auto"/>
          <w:highlight w:val="none"/>
        </w:rPr>
        <w:t>（9）投标人须知前附表规定的其他材料。</w:t>
      </w:r>
    </w:p>
    <w:p>
      <w:pPr>
        <w:pStyle w:val="74"/>
        <w:widowControl w:val="0"/>
        <w:spacing w:line="360" w:lineRule="auto"/>
        <w:ind w:firstLine="420" w:firstLineChars="200"/>
        <w:rPr>
          <w:color w:val="auto"/>
          <w:highlight w:val="none"/>
        </w:rPr>
      </w:pPr>
      <w:r>
        <w:rPr>
          <w:color w:val="auto"/>
          <w:highlight w:val="none"/>
        </w:rPr>
        <w:t>根据本</w:t>
      </w:r>
      <w:r>
        <w:rPr>
          <w:rFonts w:hint="eastAsia"/>
          <w:color w:val="auto"/>
          <w:highlight w:val="none"/>
        </w:rPr>
        <w:t>须知</w:t>
      </w:r>
      <w:r>
        <w:rPr>
          <w:color w:val="auto"/>
          <w:highlight w:val="none"/>
        </w:rPr>
        <w:t xml:space="preserve">第2.2 </w:t>
      </w:r>
      <w:r>
        <w:rPr>
          <w:rFonts w:hint="eastAsia"/>
          <w:color w:val="auto"/>
          <w:highlight w:val="none"/>
        </w:rPr>
        <w:t>项</w:t>
      </w:r>
      <w:r>
        <w:rPr>
          <w:color w:val="auto"/>
          <w:highlight w:val="none"/>
        </w:rPr>
        <w:t>对招标文件所作的澄清和修改，构成招标文件的组成部分。</w:t>
      </w:r>
    </w:p>
    <w:p>
      <w:pPr>
        <w:pStyle w:val="5"/>
        <w:rPr>
          <w:rFonts w:ascii="Times New Roman" w:hAnsi="Times New Roman" w:eastAsia="黑体"/>
          <w:b w:val="0"/>
          <w:bCs w:val="0"/>
          <w:color w:val="auto"/>
          <w:sz w:val="24"/>
          <w:highlight w:val="none"/>
        </w:rPr>
      </w:pPr>
      <w:bookmarkStart w:id="118" w:name="_Toc300678015"/>
      <w:r>
        <w:rPr>
          <w:rFonts w:ascii="Times New Roman" w:hAnsi="Times New Roman" w:eastAsia="黑体"/>
          <w:b w:val="0"/>
          <w:bCs w:val="0"/>
          <w:color w:val="auto"/>
          <w:sz w:val="24"/>
          <w:highlight w:val="none"/>
        </w:rPr>
        <w:t>2.2 招标文件的澄清</w:t>
      </w:r>
      <w:bookmarkEnd w:id="118"/>
      <w:r>
        <w:rPr>
          <w:rFonts w:ascii="Times New Roman" w:hAnsi="Times New Roman" w:eastAsia="黑体"/>
          <w:b w:val="0"/>
          <w:bCs w:val="0"/>
          <w:color w:val="auto"/>
          <w:sz w:val="24"/>
          <w:highlight w:val="none"/>
        </w:rPr>
        <w:t>和修改</w:t>
      </w:r>
    </w:p>
    <w:p>
      <w:pPr>
        <w:pStyle w:val="74"/>
        <w:widowControl w:val="0"/>
        <w:spacing w:line="360" w:lineRule="auto"/>
        <w:ind w:firstLine="420" w:firstLineChars="200"/>
        <w:rPr>
          <w:rFonts w:hint="eastAsia"/>
          <w:color w:val="auto"/>
          <w:highlight w:val="none"/>
        </w:rPr>
      </w:pPr>
      <w:r>
        <w:rPr>
          <w:color w:val="auto"/>
          <w:highlight w:val="none"/>
        </w:rPr>
        <w:t>2.2.1  投标人应仔细阅读和检查招标文件的全部内容。如有疑问，应当在投标人须知前附表规定的时间之前，按照规定的方式，要求招标人澄清。</w:t>
      </w:r>
    </w:p>
    <w:p>
      <w:pPr>
        <w:pStyle w:val="74"/>
        <w:widowControl w:val="0"/>
        <w:spacing w:line="360" w:lineRule="auto"/>
        <w:ind w:firstLine="420" w:firstLineChars="200"/>
        <w:rPr>
          <w:color w:val="auto"/>
          <w:highlight w:val="none"/>
        </w:rPr>
      </w:pPr>
      <w:r>
        <w:rPr>
          <w:color w:val="auto"/>
          <w:highlight w:val="none"/>
        </w:rPr>
        <w:t>2.2.2  招标文件的澄清或者修改的内容可能影响投标文件编制的，由招标人在投标人须知前附表规定的投标截止时间至少15日前，在投标人须知前附表规定的媒介发布；</w:t>
      </w:r>
      <w:r>
        <w:rPr>
          <w:color w:val="auto"/>
          <w:szCs w:val="20"/>
          <w:highlight w:val="none"/>
        </w:rPr>
        <w:t>不足15日</w:t>
      </w:r>
      <w:r>
        <w:rPr>
          <w:color w:val="auto"/>
          <w:highlight w:val="none"/>
        </w:rPr>
        <w:t>，相应</w:t>
      </w:r>
      <w:r>
        <w:rPr>
          <w:color w:val="auto"/>
          <w:szCs w:val="20"/>
          <w:highlight w:val="none"/>
        </w:rPr>
        <w:t>顺延</w:t>
      </w:r>
      <w:r>
        <w:rPr>
          <w:color w:val="auto"/>
          <w:highlight w:val="none"/>
        </w:rPr>
        <w:t>投标截止时间。</w:t>
      </w:r>
    </w:p>
    <w:p>
      <w:pPr>
        <w:pStyle w:val="74"/>
        <w:widowControl w:val="0"/>
        <w:spacing w:line="360" w:lineRule="auto"/>
        <w:ind w:firstLine="420" w:firstLineChars="200"/>
        <w:rPr>
          <w:color w:val="auto"/>
          <w:highlight w:val="none"/>
        </w:rPr>
      </w:pPr>
      <w:r>
        <w:rPr>
          <w:color w:val="auto"/>
          <w:highlight w:val="none"/>
        </w:rPr>
        <w:t>2.2.3招标文件澄清或者修改的内容由投标人在投标人须知前附表规定的媒介上自行查阅。</w:t>
      </w:r>
    </w:p>
    <w:p>
      <w:pPr>
        <w:pStyle w:val="3"/>
        <w:spacing w:before="0" w:after="0" w:line="360" w:lineRule="auto"/>
        <w:rPr>
          <w:rFonts w:ascii="Times New Roman" w:hAnsi="Times New Roman" w:eastAsia="黑体"/>
          <w:b w:val="0"/>
          <w:bCs w:val="0"/>
          <w:color w:val="auto"/>
          <w:sz w:val="30"/>
          <w:highlight w:val="none"/>
        </w:rPr>
      </w:pPr>
      <w:bookmarkStart w:id="119" w:name="_Toc300678017"/>
      <w:bookmarkStart w:id="120" w:name="_Toc80006091"/>
      <w:bookmarkStart w:id="121" w:name="_Toc9178520"/>
      <w:bookmarkStart w:id="122" w:name="_Toc80006201"/>
      <w:r>
        <w:rPr>
          <w:rFonts w:ascii="Times New Roman" w:hAnsi="Times New Roman" w:eastAsia="黑体"/>
          <w:b w:val="0"/>
          <w:bCs w:val="0"/>
          <w:color w:val="auto"/>
          <w:sz w:val="30"/>
          <w:highlight w:val="none"/>
        </w:rPr>
        <w:t>3.投标文件</w:t>
      </w:r>
      <w:bookmarkEnd w:id="119"/>
      <w:bookmarkEnd w:id="120"/>
      <w:bookmarkEnd w:id="121"/>
      <w:bookmarkEnd w:id="122"/>
    </w:p>
    <w:p>
      <w:pPr>
        <w:pStyle w:val="5"/>
        <w:rPr>
          <w:rFonts w:ascii="Times New Roman" w:hAnsi="Times New Roman" w:eastAsia="黑体"/>
          <w:b w:val="0"/>
          <w:bCs w:val="0"/>
          <w:color w:val="auto"/>
          <w:sz w:val="24"/>
          <w:highlight w:val="none"/>
        </w:rPr>
      </w:pPr>
      <w:bookmarkStart w:id="123" w:name="_Toc300678018"/>
      <w:r>
        <w:rPr>
          <w:rFonts w:ascii="Times New Roman" w:hAnsi="Times New Roman" w:eastAsia="黑体"/>
          <w:b w:val="0"/>
          <w:bCs w:val="0"/>
          <w:color w:val="auto"/>
          <w:sz w:val="24"/>
          <w:highlight w:val="none"/>
        </w:rPr>
        <w:t>3.1 投标文件的组成</w:t>
      </w:r>
      <w:bookmarkEnd w:id="123"/>
    </w:p>
    <w:p>
      <w:pPr>
        <w:pStyle w:val="74"/>
        <w:widowControl w:val="0"/>
        <w:spacing w:line="360" w:lineRule="auto"/>
        <w:ind w:firstLine="420" w:firstLineChars="200"/>
        <w:rPr>
          <w:color w:val="auto"/>
          <w:kern w:val="0"/>
          <w:highlight w:val="none"/>
        </w:rPr>
      </w:pPr>
      <w:r>
        <w:rPr>
          <w:color w:val="auto"/>
          <w:highlight w:val="none"/>
        </w:rPr>
        <w:t>3.1.1  投标文件由投标函</w:t>
      </w:r>
      <w:r>
        <w:rPr>
          <w:rFonts w:hint="eastAsia"/>
          <w:color w:val="auto"/>
          <w:highlight w:val="none"/>
          <w:lang w:val="en-US" w:eastAsia="zh-CN"/>
        </w:rPr>
        <w:t>及附录</w:t>
      </w:r>
      <w:r>
        <w:rPr>
          <w:color w:val="auto"/>
          <w:highlight w:val="none"/>
        </w:rPr>
        <w:t>、投标报价、施工组织设计三部分内容</w:t>
      </w:r>
      <w:r>
        <w:rPr>
          <w:rFonts w:hint="eastAsia"/>
          <w:color w:val="auto"/>
          <w:highlight w:val="none"/>
        </w:rPr>
        <w:t>以及投标人须知前附表规定的其他资料</w:t>
      </w:r>
      <w:r>
        <w:rPr>
          <w:color w:val="auto"/>
          <w:highlight w:val="none"/>
        </w:rPr>
        <w:t>组成，具体内容详见第八章投标文件格式。</w:t>
      </w:r>
    </w:p>
    <w:p>
      <w:pPr>
        <w:pStyle w:val="74"/>
        <w:widowControl w:val="0"/>
        <w:spacing w:line="360" w:lineRule="auto"/>
        <w:ind w:firstLine="420" w:firstLineChars="200"/>
        <w:rPr>
          <w:color w:val="auto"/>
          <w:highlight w:val="none"/>
        </w:rPr>
      </w:pPr>
      <w:r>
        <w:rPr>
          <w:color w:val="auto"/>
          <w:highlight w:val="none"/>
        </w:rPr>
        <w:t>3.1.2  投标人须知前附表规定不接受联合体投标的，或投标人没有组成联合体的，投标文件不包括</w:t>
      </w:r>
      <w:r>
        <w:rPr>
          <w:rFonts w:hint="eastAsia"/>
          <w:color w:val="auto"/>
          <w:highlight w:val="none"/>
          <w:lang w:eastAsia="zh-CN"/>
        </w:rPr>
        <w:t>共同投标协议</w:t>
      </w:r>
      <w:r>
        <w:rPr>
          <w:color w:val="auto"/>
          <w:highlight w:val="none"/>
        </w:rPr>
        <w:t>。</w:t>
      </w:r>
    </w:p>
    <w:p>
      <w:pPr>
        <w:pStyle w:val="5"/>
        <w:rPr>
          <w:rFonts w:ascii="Times New Roman" w:hAnsi="Times New Roman" w:eastAsia="黑体"/>
          <w:b w:val="0"/>
          <w:bCs w:val="0"/>
          <w:color w:val="auto"/>
          <w:sz w:val="24"/>
          <w:highlight w:val="none"/>
        </w:rPr>
      </w:pPr>
      <w:bookmarkStart w:id="124" w:name="_Toc300678019"/>
      <w:r>
        <w:rPr>
          <w:rFonts w:ascii="Times New Roman" w:hAnsi="Times New Roman" w:eastAsia="黑体"/>
          <w:b w:val="0"/>
          <w:bCs w:val="0"/>
          <w:color w:val="auto"/>
          <w:sz w:val="24"/>
          <w:highlight w:val="none"/>
        </w:rPr>
        <w:t>3.2 投标报价</w:t>
      </w:r>
      <w:bookmarkEnd w:id="124"/>
    </w:p>
    <w:p>
      <w:pPr>
        <w:pStyle w:val="74"/>
        <w:widowControl w:val="0"/>
        <w:spacing w:line="360" w:lineRule="auto"/>
        <w:ind w:firstLine="420" w:firstLineChars="200"/>
        <w:rPr>
          <w:color w:val="auto"/>
          <w:highlight w:val="none"/>
        </w:rPr>
      </w:pPr>
      <w:r>
        <w:rPr>
          <w:color w:val="auto"/>
          <w:highlight w:val="none"/>
        </w:rPr>
        <w:t>3.2.1  投标人应按第五章“工程量清单”的要求填写相应表格。</w:t>
      </w:r>
    </w:p>
    <w:p>
      <w:pPr>
        <w:pStyle w:val="74"/>
        <w:widowControl w:val="0"/>
        <w:spacing w:line="360" w:lineRule="auto"/>
        <w:ind w:firstLine="420" w:firstLineChars="200"/>
        <w:rPr>
          <w:color w:val="auto"/>
          <w:highlight w:val="none"/>
        </w:rPr>
      </w:pPr>
      <w:r>
        <w:rPr>
          <w:color w:val="auto"/>
          <w:highlight w:val="none"/>
        </w:rPr>
        <w:t>3.2.2  投标人在投标截止时间前修改投标函中的投标总报价，应同时修改其按第五章“工程量清单”要求填写的相应表格中的报价。此修改应当符合本</w:t>
      </w:r>
      <w:r>
        <w:rPr>
          <w:rFonts w:hint="eastAsia"/>
          <w:color w:val="auto"/>
          <w:highlight w:val="none"/>
        </w:rPr>
        <w:t>须知</w:t>
      </w:r>
      <w:r>
        <w:rPr>
          <w:color w:val="auto"/>
          <w:highlight w:val="none"/>
        </w:rPr>
        <w:t xml:space="preserve">第4.3 </w:t>
      </w:r>
      <w:r>
        <w:rPr>
          <w:rFonts w:hint="eastAsia"/>
          <w:color w:val="auto"/>
          <w:highlight w:val="none"/>
        </w:rPr>
        <w:t>项</w:t>
      </w:r>
      <w:r>
        <w:rPr>
          <w:color w:val="auto"/>
          <w:highlight w:val="none"/>
        </w:rPr>
        <w:t>的有关要求。</w:t>
      </w:r>
    </w:p>
    <w:p>
      <w:pPr>
        <w:pStyle w:val="5"/>
        <w:rPr>
          <w:rFonts w:ascii="Times New Roman" w:hAnsi="Times New Roman" w:eastAsia="黑体"/>
          <w:b w:val="0"/>
          <w:bCs w:val="0"/>
          <w:color w:val="auto"/>
          <w:sz w:val="24"/>
          <w:highlight w:val="none"/>
        </w:rPr>
      </w:pPr>
      <w:bookmarkStart w:id="125" w:name="_Toc300678020"/>
      <w:r>
        <w:rPr>
          <w:rFonts w:ascii="Times New Roman" w:hAnsi="Times New Roman" w:eastAsia="黑体"/>
          <w:b w:val="0"/>
          <w:bCs w:val="0"/>
          <w:color w:val="auto"/>
          <w:sz w:val="24"/>
          <w:highlight w:val="none"/>
        </w:rPr>
        <w:t>3.3 投标有效期</w:t>
      </w:r>
      <w:bookmarkEnd w:id="125"/>
    </w:p>
    <w:p>
      <w:pPr>
        <w:pStyle w:val="74"/>
        <w:widowControl w:val="0"/>
        <w:spacing w:line="360" w:lineRule="auto"/>
        <w:ind w:firstLine="420" w:firstLineChars="200"/>
        <w:rPr>
          <w:color w:val="auto"/>
          <w:highlight w:val="none"/>
        </w:rPr>
      </w:pPr>
      <w:r>
        <w:rPr>
          <w:color w:val="auto"/>
          <w:highlight w:val="none"/>
        </w:rPr>
        <w:t>3.3.1  在投标人须知前附表规定的投标有效期内，投标人不得要求撤销或修改其投标文件。</w:t>
      </w:r>
    </w:p>
    <w:p>
      <w:pPr>
        <w:pStyle w:val="74"/>
        <w:widowControl w:val="0"/>
        <w:spacing w:line="360" w:lineRule="auto"/>
        <w:ind w:firstLine="420" w:firstLineChars="200"/>
        <w:rPr>
          <w:color w:val="auto"/>
          <w:highlight w:val="none"/>
        </w:rPr>
      </w:pPr>
      <w:r>
        <w:rPr>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5"/>
        <w:ind w:firstLine="480" w:firstLineChars="200"/>
        <w:rPr>
          <w:rFonts w:ascii="Times New Roman" w:hAnsi="Times New Roman" w:eastAsia="黑体"/>
          <w:b w:val="0"/>
          <w:bCs w:val="0"/>
          <w:color w:val="auto"/>
          <w:sz w:val="24"/>
          <w:highlight w:val="none"/>
        </w:rPr>
      </w:pPr>
      <w:bookmarkStart w:id="126" w:name="_Toc300678021"/>
      <w:r>
        <w:rPr>
          <w:rFonts w:ascii="Times New Roman" w:hAnsi="Times New Roman" w:eastAsia="黑体"/>
          <w:b w:val="0"/>
          <w:bCs w:val="0"/>
          <w:color w:val="auto"/>
          <w:sz w:val="24"/>
          <w:highlight w:val="none"/>
        </w:rPr>
        <w:t>3.4 投标保证</w:t>
      </w:r>
      <w:bookmarkEnd w:id="126"/>
    </w:p>
    <w:p>
      <w:pPr>
        <w:spacing w:line="360" w:lineRule="auto"/>
        <w:ind w:firstLine="420" w:firstLineChars="200"/>
        <w:rPr>
          <w:color w:val="auto"/>
          <w:szCs w:val="21"/>
          <w:highlight w:val="none"/>
        </w:rPr>
      </w:pPr>
      <w:r>
        <w:rPr>
          <w:color w:val="auto"/>
          <w:highlight w:val="none"/>
        </w:rPr>
        <w:t xml:space="preserve">3.4.1 </w:t>
      </w:r>
      <w:r>
        <w:rPr>
          <w:rFonts w:hint="eastAsia"/>
          <w:color w:val="auto"/>
          <w:highlight w:val="none"/>
        </w:rPr>
        <w:t>投标人在递交投标文件的同时，</w:t>
      </w:r>
      <w:r>
        <w:rPr>
          <w:color w:val="auto"/>
          <w:highlight w:val="none"/>
        </w:rPr>
        <w:t>应当按照投标人须知前附表的规定递交投标担保</w:t>
      </w:r>
      <w:r>
        <w:rPr>
          <w:rFonts w:hint="eastAsia"/>
          <w:color w:val="auto"/>
          <w:highlight w:val="none"/>
        </w:rPr>
        <w:t>，并作为投标文件的组成部分</w:t>
      </w:r>
      <w:r>
        <w:rPr>
          <w:color w:val="auto"/>
          <w:highlight w:val="none"/>
        </w:rPr>
        <w:t>。</w:t>
      </w:r>
    </w:p>
    <w:p>
      <w:pPr>
        <w:pStyle w:val="74"/>
        <w:widowControl w:val="0"/>
        <w:spacing w:line="360" w:lineRule="auto"/>
        <w:ind w:firstLine="420" w:firstLineChars="200"/>
        <w:rPr>
          <w:color w:val="auto"/>
          <w:highlight w:val="none"/>
        </w:rPr>
      </w:pPr>
      <w:r>
        <w:rPr>
          <w:color w:val="auto"/>
          <w:highlight w:val="none"/>
        </w:rPr>
        <w:t>3.4.2  投标人不按本</w:t>
      </w:r>
      <w:r>
        <w:rPr>
          <w:rFonts w:hint="eastAsia"/>
          <w:color w:val="auto"/>
          <w:highlight w:val="none"/>
        </w:rPr>
        <w:t>须知</w:t>
      </w:r>
      <w:r>
        <w:rPr>
          <w:color w:val="auto"/>
          <w:highlight w:val="none"/>
        </w:rPr>
        <w:t>第3.4.1 项要求提交投标担保的，应当否决其投标。</w:t>
      </w:r>
    </w:p>
    <w:p>
      <w:pPr>
        <w:pStyle w:val="74"/>
        <w:widowControl w:val="0"/>
        <w:spacing w:line="360" w:lineRule="auto"/>
        <w:ind w:firstLine="420" w:firstLineChars="200"/>
        <w:rPr>
          <w:color w:val="auto"/>
          <w:highlight w:val="none"/>
        </w:rPr>
      </w:pPr>
      <w:r>
        <w:rPr>
          <w:color w:val="auto"/>
          <w:highlight w:val="none"/>
        </w:rPr>
        <w:t xml:space="preserve">3.4.3 </w:t>
      </w:r>
      <w:r>
        <w:rPr>
          <w:color w:val="auto"/>
          <w:szCs w:val="32"/>
          <w:highlight w:val="none"/>
          <w:shd w:val="clear" w:color="auto" w:fill="FFFFFF"/>
        </w:rPr>
        <w:t>未中标的投标人的投标担保</w:t>
      </w:r>
      <w:r>
        <w:rPr>
          <w:color w:val="auto"/>
          <w:highlight w:val="none"/>
        </w:rPr>
        <w:t>于中标通知书发出之日起5个工作日内退还。</w:t>
      </w:r>
    </w:p>
    <w:p>
      <w:pPr>
        <w:pStyle w:val="74"/>
        <w:widowControl w:val="0"/>
        <w:spacing w:line="360" w:lineRule="auto"/>
        <w:ind w:firstLine="420" w:firstLineChars="200"/>
        <w:rPr>
          <w:color w:val="auto"/>
          <w:highlight w:val="none"/>
        </w:rPr>
      </w:pPr>
      <w:r>
        <w:rPr>
          <w:color w:val="auto"/>
          <w:highlight w:val="none"/>
        </w:rPr>
        <w:t>3.4.4 中标人的投标担保在招标人与中标人签订合同后5 个工作日内退还。</w:t>
      </w:r>
    </w:p>
    <w:p>
      <w:pPr>
        <w:pStyle w:val="74"/>
        <w:widowControl w:val="0"/>
        <w:spacing w:line="360" w:lineRule="auto"/>
        <w:ind w:firstLine="420" w:firstLineChars="200"/>
        <w:rPr>
          <w:color w:val="auto"/>
          <w:szCs w:val="32"/>
          <w:highlight w:val="none"/>
          <w:shd w:val="clear" w:color="auto" w:fill="FFFFFF"/>
        </w:rPr>
      </w:pPr>
      <w:r>
        <w:rPr>
          <w:color w:val="auto"/>
          <w:highlight w:val="none"/>
        </w:rPr>
        <w:t>3.4.5</w:t>
      </w:r>
      <w:r>
        <w:rPr>
          <w:color w:val="auto"/>
          <w:szCs w:val="32"/>
          <w:highlight w:val="none"/>
          <w:shd w:val="clear" w:color="auto" w:fill="FFFFFF"/>
        </w:rPr>
        <w:t>在投标截止时间前撤回已提交的投标文件的投标人的投标担保，自收到投标人书面撤回通知之日起5个工作日内退还；</w:t>
      </w:r>
    </w:p>
    <w:p>
      <w:pPr>
        <w:spacing w:line="360" w:lineRule="auto"/>
        <w:ind w:firstLine="420" w:firstLineChars="200"/>
        <w:rPr>
          <w:color w:val="auto"/>
          <w:highlight w:val="none"/>
        </w:rPr>
      </w:pPr>
      <w:r>
        <w:rPr>
          <w:color w:val="auto"/>
          <w:szCs w:val="32"/>
          <w:highlight w:val="none"/>
          <w:shd w:val="clear" w:color="auto" w:fill="FFFFFF"/>
        </w:rPr>
        <w:t>3.4.6 不接受招标人延长投标有效期的投标人的投标担保，自收到投标人不予接受延长投标有效期的书面通知之日起5个工作日内退还。</w:t>
      </w:r>
      <w:r>
        <w:rPr>
          <w:color w:val="auto"/>
          <w:highlight w:val="none"/>
        </w:rPr>
        <w:t xml:space="preserve">   </w:t>
      </w:r>
    </w:p>
    <w:p>
      <w:pPr>
        <w:pStyle w:val="74"/>
        <w:widowControl w:val="0"/>
        <w:spacing w:line="360" w:lineRule="auto"/>
        <w:ind w:firstLine="420" w:firstLineChars="200"/>
        <w:rPr>
          <w:color w:val="auto"/>
          <w:highlight w:val="none"/>
        </w:rPr>
      </w:pPr>
      <w:r>
        <w:rPr>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pPr>
        <w:pStyle w:val="74"/>
        <w:widowControl w:val="0"/>
        <w:spacing w:line="360" w:lineRule="auto"/>
        <w:ind w:firstLine="420" w:firstLineChars="200"/>
        <w:rPr>
          <w:color w:val="auto"/>
          <w:highlight w:val="none"/>
        </w:rPr>
      </w:pPr>
      <w:r>
        <w:rPr>
          <w:color w:val="auto"/>
          <w:highlight w:val="none"/>
        </w:rPr>
        <w:t>（1）</w:t>
      </w:r>
      <w:r>
        <w:rPr>
          <w:rFonts w:hint="eastAsia" w:ascii="宋体" w:hAnsi="宋体"/>
          <w:color w:val="auto"/>
          <w:highlight w:val="none"/>
        </w:rPr>
        <w:t>投标人在规定的投标有效期内撤销或修改其投标文件；</w:t>
      </w:r>
    </w:p>
    <w:p>
      <w:pPr>
        <w:pStyle w:val="74"/>
        <w:widowControl w:val="0"/>
        <w:spacing w:line="360" w:lineRule="auto"/>
        <w:ind w:firstLine="420" w:firstLineChars="200"/>
        <w:rPr>
          <w:color w:val="auto"/>
          <w:highlight w:val="none"/>
          <w:u w:val="single"/>
        </w:rPr>
      </w:pPr>
      <w:r>
        <w:rPr>
          <w:color w:val="auto"/>
          <w:highlight w:val="none"/>
        </w:rPr>
        <w:t>（2）投标人被确定为中标人后，无正当理由不与招标人订立合同，或者在签订合同时向招标人提出附加条件，或者不按招标文件要求提交履约担保。</w:t>
      </w:r>
    </w:p>
    <w:p>
      <w:pPr>
        <w:pStyle w:val="5"/>
        <w:rPr>
          <w:rFonts w:ascii="Times New Roman" w:hAnsi="Times New Roman" w:eastAsia="黑体"/>
          <w:b w:val="0"/>
          <w:bCs w:val="0"/>
          <w:color w:val="auto"/>
          <w:sz w:val="24"/>
          <w:highlight w:val="none"/>
        </w:rPr>
      </w:pPr>
      <w:bookmarkStart w:id="127" w:name="_Toc300678022"/>
      <w:r>
        <w:rPr>
          <w:rFonts w:ascii="Times New Roman" w:hAnsi="Times New Roman" w:eastAsia="黑体"/>
          <w:b w:val="0"/>
          <w:bCs w:val="0"/>
          <w:color w:val="auto"/>
          <w:sz w:val="24"/>
          <w:highlight w:val="none"/>
        </w:rPr>
        <w:t>3.5资格审查资料</w:t>
      </w:r>
    </w:p>
    <w:bookmarkEnd w:id="127"/>
    <w:p>
      <w:pPr>
        <w:pStyle w:val="5"/>
        <w:ind w:firstLine="420" w:firstLineChars="200"/>
        <w:rPr>
          <w:rFonts w:ascii="Times New Roman" w:hAnsi="Times New Roman"/>
          <w:b w:val="0"/>
          <w:bCs w:val="0"/>
          <w:color w:val="auto"/>
          <w:highlight w:val="none"/>
        </w:rPr>
      </w:pPr>
      <w:bookmarkStart w:id="128" w:name="_Toc300678023"/>
      <w:r>
        <w:rPr>
          <w:rFonts w:ascii="Times New Roman" w:hAnsi="Times New Roman"/>
          <w:b w:val="0"/>
          <w:bCs w:val="0"/>
          <w:color w:val="auto"/>
          <w:szCs w:val="21"/>
          <w:highlight w:val="none"/>
        </w:rPr>
        <w:t>采用资格预审方式的，</w:t>
      </w:r>
      <w:bookmarkEnd w:id="128"/>
      <w:r>
        <w:rPr>
          <w:rFonts w:ascii="Times New Roman" w:hAnsi="Times New Roman" w:eastAsia="黑体"/>
          <w:b w:val="0"/>
          <w:bCs w:val="0"/>
          <w:color w:val="auto"/>
          <w:sz w:val="24"/>
          <w:highlight w:val="none"/>
        </w:rPr>
        <w:t xml:space="preserve"> </w:t>
      </w:r>
      <w:r>
        <w:rPr>
          <w:rFonts w:ascii="Times New Roman" w:hAnsi="Times New Roman"/>
          <w:b w:val="0"/>
          <w:bCs w:val="0"/>
          <w:color w:val="auto"/>
          <w:highlight w:val="none"/>
        </w:rPr>
        <w:t>投标人在编制投标文件时，应</w:t>
      </w:r>
      <w:r>
        <w:rPr>
          <w:rFonts w:hint="eastAsia" w:ascii="Times New Roman" w:hAnsi="Times New Roman"/>
          <w:b w:val="0"/>
          <w:bCs w:val="0"/>
          <w:color w:val="auto"/>
          <w:highlight w:val="none"/>
        </w:rPr>
        <w:t>按新情况</w:t>
      </w:r>
      <w:r>
        <w:rPr>
          <w:rFonts w:ascii="Times New Roman" w:hAnsi="Times New Roman"/>
          <w:b w:val="0"/>
          <w:bCs w:val="0"/>
          <w:color w:val="auto"/>
          <w:highlight w:val="none"/>
        </w:rPr>
        <w:t>更新或补充其在申请资格预审时提供的资料，以证实其</w:t>
      </w:r>
      <w:r>
        <w:rPr>
          <w:rFonts w:hint="eastAsia" w:ascii="Times New Roman" w:hAnsi="Times New Roman"/>
          <w:b w:val="0"/>
          <w:bCs w:val="0"/>
          <w:color w:val="auto"/>
          <w:highlight w:val="none"/>
        </w:rPr>
        <w:t>各项</w:t>
      </w:r>
      <w:r>
        <w:rPr>
          <w:rFonts w:ascii="Times New Roman" w:hAnsi="Times New Roman"/>
          <w:b w:val="0"/>
          <w:bCs w:val="0"/>
          <w:color w:val="auto"/>
          <w:highlight w:val="none"/>
        </w:rPr>
        <w:t>资格条件</w:t>
      </w:r>
      <w:r>
        <w:rPr>
          <w:rFonts w:hint="eastAsia" w:ascii="Times New Roman" w:hAnsi="Times New Roman"/>
          <w:b w:val="0"/>
          <w:bCs w:val="0"/>
          <w:color w:val="auto"/>
          <w:highlight w:val="none"/>
        </w:rPr>
        <w:t>仍能</w:t>
      </w:r>
      <w:r>
        <w:rPr>
          <w:rFonts w:ascii="Times New Roman" w:hAnsi="Times New Roman"/>
          <w:b w:val="0"/>
          <w:bCs w:val="0"/>
          <w:color w:val="auto"/>
          <w:highlight w:val="none"/>
        </w:rPr>
        <w:t>继续满足资格预审文件的要求，具备承担本招标项目的资质条件、能力和信誉。</w:t>
      </w:r>
    </w:p>
    <w:p>
      <w:pPr>
        <w:pStyle w:val="5"/>
        <w:ind w:firstLine="420" w:firstLineChars="200"/>
        <w:rPr>
          <w:rFonts w:ascii="Times New Roman" w:hAnsi="Times New Roman" w:eastAsia="黑体"/>
          <w:b w:val="0"/>
          <w:bCs w:val="0"/>
          <w:color w:val="auto"/>
          <w:sz w:val="24"/>
          <w:highlight w:val="none"/>
        </w:rPr>
      </w:pPr>
      <w:r>
        <w:rPr>
          <w:rFonts w:ascii="Times New Roman" w:hAnsi="Times New Roman"/>
          <w:b w:val="0"/>
          <w:bCs w:val="0"/>
          <w:color w:val="auto"/>
          <w:szCs w:val="21"/>
          <w:highlight w:val="none"/>
        </w:rPr>
        <w:t>采用资格后审方式的，</w:t>
      </w:r>
      <w:r>
        <w:rPr>
          <w:rFonts w:hint="eastAsia" w:ascii="Times New Roman" w:hAnsi="Times New Roman"/>
          <w:b w:val="0"/>
          <w:bCs w:val="0"/>
          <w:color w:val="auto"/>
          <w:szCs w:val="21"/>
          <w:highlight w:val="none"/>
        </w:rPr>
        <w:t>按照本须知第1</w:t>
      </w:r>
      <w:r>
        <w:rPr>
          <w:rFonts w:ascii="Times New Roman" w:hAnsi="Times New Roman"/>
          <w:b w:val="0"/>
          <w:bCs w:val="0"/>
          <w:color w:val="auto"/>
          <w:szCs w:val="21"/>
          <w:highlight w:val="none"/>
        </w:rPr>
        <w:t>.4.1</w:t>
      </w:r>
      <w:r>
        <w:rPr>
          <w:rFonts w:hint="eastAsia" w:ascii="Times New Roman" w:hAnsi="Times New Roman"/>
          <w:b w:val="0"/>
          <w:bCs w:val="0"/>
          <w:color w:val="auto"/>
          <w:szCs w:val="21"/>
          <w:highlight w:val="none"/>
        </w:rPr>
        <w:t>项的规定提交资格审查资料，</w:t>
      </w:r>
      <w:r>
        <w:rPr>
          <w:rFonts w:ascii="Times New Roman" w:hAnsi="Times New Roman"/>
          <w:b w:val="0"/>
          <w:bCs w:val="0"/>
          <w:color w:val="auto"/>
          <w:highlight w:val="none"/>
        </w:rPr>
        <w:t>具体要求详见第八章“投标文件</w:t>
      </w:r>
      <w:r>
        <w:rPr>
          <w:rFonts w:hint="eastAsia" w:ascii="Times New Roman" w:hAnsi="Times New Roman"/>
          <w:b w:val="0"/>
          <w:bCs w:val="0"/>
          <w:color w:val="auto"/>
          <w:highlight w:val="none"/>
        </w:rPr>
        <w:t>—投标函</w:t>
      </w:r>
      <w:r>
        <w:rPr>
          <w:rFonts w:ascii="Times New Roman" w:hAnsi="Times New Roman"/>
          <w:b w:val="0"/>
          <w:bCs w:val="0"/>
          <w:color w:val="auto"/>
          <w:highlight w:val="none"/>
        </w:rPr>
        <w:t>格式”。</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3.6 备选投标方案</w:t>
      </w:r>
    </w:p>
    <w:p>
      <w:pPr>
        <w:pStyle w:val="74"/>
        <w:widowControl w:val="0"/>
        <w:spacing w:line="360" w:lineRule="auto"/>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rPr>
          <w:rFonts w:ascii="Times New Roman" w:hAnsi="Times New Roman" w:eastAsia="黑体"/>
          <w:b w:val="0"/>
          <w:bCs w:val="0"/>
          <w:color w:val="auto"/>
          <w:sz w:val="24"/>
          <w:highlight w:val="none"/>
        </w:rPr>
      </w:pPr>
      <w:bookmarkStart w:id="129" w:name="_Toc300678025"/>
      <w:r>
        <w:rPr>
          <w:rFonts w:ascii="Times New Roman" w:hAnsi="Times New Roman" w:eastAsia="黑体"/>
          <w:b w:val="0"/>
          <w:bCs w:val="0"/>
          <w:color w:val="auto"/>
          <w:sz w:val="24"/>
          <w:highlight w:val="none"/>
        </w:rPr>
        <w:t>3.7 投标文件的编制</w:t>
      </w:r>
      <w:bookmarkEnd w:id="129"/>
    </w:p>
    <w:p>
      <w:pPr>
        <w:pStyle w:val="74"/>
        <w:widowControl w:val="0"/>
        <w:spacing w:line="360" w:lineRule="auto"/>
        <w:ind w:firstLine="420" w:firstLineChars="200"/>
        <w:rPr>
          <w:color w:val="auto"/>
          <w:highlight w:val="none"/>
        </w:rPr>
      </w:pPr>
      <w:r>
        <w:rPr>
          <w:color w:val="auto"/>
          <w:highlight w:val="none"/>
        </w:rPr>
        <w:t>3.7.1  投标文件应按第八章“投标文件格式”编写。可以增加附页，作为投标文件的组成部分。其中，投标函附录在满足招标文件实质性要求的基础上，可以提出比招标文件要求更有利于招标人的承诺。</w:t>
      </w:r>
    </w:p>
    <w:p>
      <w:pPr>
        <w:pStyle w:val="74"/>
        <w:widowControl w:val="0"/>
        <w:spacing w:line="360" w:lineRule="auto"/>
        <w:ind w:firstLine="420" w:firstLineChars="200"/>
        <w:rPr>
          <w:color w:val="auto"/>
          <w:highlight w:val="none"/>
        </w:rPr>
      </w:pPr>
      <w:r>
        <w:rPr>
          <w:color w:val="auto"/>
          <w:highlight w:val="none"/>
        </w:rPr>
        <w:t>3.7.2  投标文件应当对招标文件有关工期、投标有效期、质量要求、技术标准和要求、招标范围等内容作出实质性响应。</w:t>
      </w:r>
    </w:p>
    <w:p>
      <w:pPr>
        <w:pStyle w:val="74"/>
        <w:spacing w:line="360" w:lineRule="auto"/>
        <w:ind w:firstLine="420" w:firstLineChars="200"/>
        <w:rPr>
          <w:rFonts w:hint="eastAsia"/>
          <w:color w:val="auto"/>
          <w:highlight w:val="none"/>
        </w:rPr>
      </w:pPr>
      <w:r>
        <w:rPr>
          <w:color w:val="auto"/>
          <w:highlight w:val="none"/>
        </w:rPr>
        <w:t xml:space="preserve">3.7.3  </w:t>
      </w:r>
      <w:r>
        <w:rPr>
          <w:rFonts w:hint="eastAsia"/>
          <w:color w:val="auto"/>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pPr>
        <w:pStyle w:val="74"/>
        <w:widowControl w:val="0"/>
        <w:spacing w:line="360" w:lineRule="auto"/>
        <w:ind w:firstLine="420" w:firstLineChars="200"/>
        <w:rPr>
          <w:color w:val="auto"/>
          <w:highlight w:val="none"/>
        </w:rPr>
      </w:pPr>
      <w:r>
        <w:rPr>
          <w:rFonts w:hint="eastAsia"/>
          <w:color w:val="auto"/>
          <w:highlight w:val="none"/>
        </w:rPr>
        <w:t>3.7.4投标文件份数见投标人须知前附表。</w:t>
      </w:r>
    </w:p>
    <w:p>
      <w:pPr>
        <w:pStyle w:val="3"/>
        <w:spacing w:before="0" w:after="0" w:line="360" w:lineRule="auto"/>
        <w:rPr>
          <w:rFonts w:ascii="Times New Roman" w:hAnsi="Times New Roman" w:eastAsia="黑体"/>
          <w:b w:val="0"/>
          <w:bCs w:val="0"/>
          <w:color w:val="auto"/>
          <w:sz w:val="30"/>
          <w:highlight w:val="none"/>
        </w:rPr>
      </w:pPr>
      <w:bookmarkStart w:id="130" w:name="_Toc80006202"/>
      <w:bookmarkStart w:id="131" w:name="_Toc80006092"/>
      <w:bookmarkStart w:id="132" w:name="_Toc300678026"/>
      <w:bookmarkStart w:id="133" w:name="_Toc9178521"/>
      <w:r>
        <w:rPr>
          <w:rFonts w:ascii="Times New Roman" w:hAnsi="Times New Roman" w:eastAsia="黑体"/>
          <w:b w:val="0"/>
          <w:bCs w:val="0"/>
          <w:color w:val="auto"/>
          <w:sz w:val="30"/>
          <w:highlight w:val="none"/>
        </w:rPr>
        <w:t>4.投标</w:t>
      </w:r>
      <w:bookmarkEnd w:id="130"/>
      <w:bookmarkEnd w:id="131"/>
      <w:bookmarkEnd w:id="132"/>
      <w:bookmarkEnd w:id="133"/>
    </w:p>
    <w:p>
      <w:pPr>
        <w:pStyle w:val="5"/>
        <w:rPr>
          <w:rFonts w:ascii="Times New Roman" w:hAnsi="Times New Roman" w:eastAsia="黑体"/>
          <w:b w:val="0"/>
          <w:bCs w:val="0"/>
          <w:color w:val="auto"/>
          <w:sz w:val="24"/>
          <w:highlight w:val="none"/>
        </w:rPr>
      </w:pPr>
      <w:bookmarkStart w:id="134" w:name="_Toc300678027"/>
      <w:r>
        <w:rPr>
          <w:rFonts w:ascii="Times New Roman" w:hAnsi="Times New Roman" w:eastAsia="黑体"/>
          <w:b w:val="0"/>
          <w:bCs w:val="0"/>
          <w:color w:val="auto"/>
          <w:sz w:val="24"/>
          <w:highlight w:val="none"/>
        </w:rPr>
        <w:t>4.1 投标文件的密封和标记</w:t>
      </w:r>
      <w:bookmarkEnd w:id="134"/>
    </w:p>
    <w:p>
      <w:pPr>
        <w:pStyle w:val="74"/>
        <w:widowControl w:val="0"/>
        <w:spacing w:line="360" w:lineRule="auto"/>
        <w:ind w:firstLine="420" w:firstLineChars="200"/>
        <w:rPr>
          <w:color w:val="auto"/>
          <w:highlight w:val="none"/>
        </w:rPr>
      </w:pPr>
      <w:r>
        <w:rPr>
          <w:color w:val="auto"/>
          <w:highlight w:val="none"/>
        </w:rPr>
        <w:t>4.1.1投标人应当按照投标人须知前附表的规定加密投标文件。</w:t>
      </w:r>
    </w:p>
    <w:p>
      <w:pPr>
        <w:pStyle w:val="74"/>
        <w:widowControl w:val="0"/>
        <w:spacing w:line="360" w:lineRule="auto"/>
        <w:ind w:firstLine="420" w:firstLineChars="200"/>
        <w:rPr>
          <w:rFonts w:hint="eastAsia" w:ascii="宋体" w:hAnsi="宋体"/>
          <w:color w:val="auto"/>
          <w:highlight w:val="none"/>
        </w:rPr>
      </w:pPr>
      <w:r>
        <w:rPr>
          <w:color w:val="auto"/>
          <w:highlight w:val="none"/>
        </w:rPr>
        <w:t>4.1.2未按本</w:t>
      </w:r>
      <w:r>
        <w:rPr>
          <w:rFonts w:hint="eastAsia"/>
          <w:color w:val="auto"/>
          <w:highlight w:val="none"/>
        </w:rPr>
        <w:t>须知</w:t>
      </w:r>
      <w:r>
        <w:rPr>
          <w:color w:val="auto"/>
          <w:highlight w:val="none"/>
        </w:rPr>
        <w:t>第4.1.1 项要求</w:t>
      </w:r>
      <w:r>
        <w:rPr>
          <w:rFonts w:hint="eastAsia"/>
          <w:color w:val="auto"/>
          <w:highlight w:val="none"/>
        </w:rPr>
        <w:t>加密</w:t>
      </w:r>
      <w:r>
        <w:rPr>
          <w:color w:val="auto"/>
          <w:highlight w:val="none"/>
        </w:rPr>
        <w:t>的投标文件，</w:t>
      </w:r>
      <w:r>
        <w:rPr>
          <w:rFonts w:hint="eastAsia"/>
          <w:color w:val="auto"/>
          <w:highlight w:val="none"/>
        </w:rPr>
        <w:t>电子招标投标交易平台</w:t>
      </w:r>
      <w:r>
        <w:rPr>
          <w:color w:val="auto"/>
          <w:highlight w:val="none"/>
        </w:rPr>
        <w:t>予以拒收。</w:t>
      </w:r>
    </w:p>
    <w:p>
      <w:pPr>
        <w:pStyle w:val="5"/>
        <w:rPr>
          <w:rFonts w:ascii="Times New Roman" w:hAnsi="Times New Roman" w:eastAsia="黑体"/>
          <w:b w:val="0"/>
          <w:bCs w:val="0"/>
          <w:color w:val="auto"/>
          <w:sz w:val="24"/>
          <w:highlight w:val="none"/>
        </w:rPr>
      </w:pPr>
      <w:bookmarkStart w:id="135" w:name="_Toc300678028"/>
      <w:r>
        <w:rPr>
          <w:rFonts w:ascii="Times New Roman" w:hAnsi="Times New Roman" w:eastAsia="黑体"/>
          <w:b w:val="0"/>
          <w:bCs w:val="0"/>
          <w:color w:val="auto"/>
          <w:sz w:val="24"/>
          <w:highlight w:val="none"/>
        </w:rPr>
        <w:t>4.2 投标文件的递交</w:t>
      </w:r>
      <w:bookmarkEnd w:id="135"/>
    </w:p>
    <w:p>
      <w:pPr>
        <w:pStyle w:val="74"/>
        <w:widowControl w:val="0"/>
        <w:spacing w:line="360" w:lineRule="auto"/>
        <w:ind w:firstLine="420" w:firstLineChars="200"/>
        <w:rPr>
          <w:color w:val="auto"/>
          <w:highlight w:val="none"/>
        </w:rPr>
      </w:pPr>
      <w:r>
        <w:rPr>
          <w:color w:val="auto"/>
          <w:highlight w:val="none"/>
        </w:rPr>
        <w:t>4.2.1 投标人应当在投标人须知前附表规定的投标截止时间前递交投标文件。</w:t>
      </w:r>
    </w:p>
    <w:p>
      <w:pPr>
        <w:pStyle w:val="74"/>
        <w:widowControl w:val="0"/>
        <w:spacing w:line="360" w:lineRule="auto"/>
        <w:ind w:firstLine="420" w:firstLineChars="200"/>
        <w:rPr>
          <w:color w:val="auto"/>
          <w:highlight w:val="none"/>
        </w:rPr>
      </w:pPr>
      <w:r>
        <w:rPr>
          <w:color w:val="auto"/>
          <w:highlight w:val="none"/>
        </w:rPr>
        <w:t>4.2.2投标人通过</w:t>
      </w:r>
      <w:r>
        <w:rPr>
          <w:rFonts w:hint="eastAsia"/>
          <w:color w:val="auto"/>
          <w:highlight w:val="none"/>
        </w:rPr>
        <w:t>电子招标投标交易平台</w:t>
      </w:r>
      <w:r>
        <w:rPr>
          <w:color w:val="auto"/>
          <w:highlight w:val="none"/>
        </w:rPr>
        <w:t>递交电子投标文件。</w:t>
      </w:r>
    </w:p>
    <w:p>
      <w:pPr>
        <w:pStyle w:val="74"/>
        <w:widowControl w:val="0"/>
        <w:spacing w:line="360" w:lineRule="auto"/>
        <w:ind w:firstLine="420" w:firstLineChars="200"/>
        <w:rPr>
          <w:color w:val="auto"/>
          <w:highlight w:val="none"/>
        </w:rPr>
      </w:pPr>
      <w:r>
        <w:rPr>
          <w:color w:val="auto"/>
          <w:highlight w:val="none"/>
        </w:rPr>
        <w:t>4.2.3 除投标人须知前附表另有规定外，投标人所递交的投标文件不予退还。</w:t>
      </w:r>
    </w:p>
    <w:p>
      <w:pPr>
        <w:pStyle w:val="74"/>
        <w:widowControl w:val="0"/>
        <w:spacing w:line="360" w:lineRule="auto"/>
        <w:ind w:firstLine="420" w:firstLineChars="200"/>
        <w:rPr>
          <w:color w:val="auto"/>
          <w:highlight w:val="none"/>
        </w:rPr>
      </w:pPr>
      <w:r>
        <w:rPr>
          <w:color w:val="auto"/>
          <w:highlight w:val="none"/>
        </w:rPr>
        <w:t>4.2.4逾期</w:t>
      </w:r>
      <w:r>
        <w:rPr>
          <w:rFonts w:hint="eastAsia"/>
          <w:color w:val="auto"/>
          <w:highlight w:val="none"/>
        </w:rPr>
        <w:t>提交</w:t>
      </w:r>
      <w:r>
        <w:rPr>
          <w:color w:val="auto"/>
          <w:highlight w:val="none"/>
        </w:rPr>
        <w:t>的投标文件，</w:t>
      </w:r>
      <w:r>
        <w:rPr>
          <w:rFonts w:hint="eastAsia"/>
          <w:color w:val="auto"/>
          <w:highlight w:val="none"/>
        </w:rPr>
        <w:t>电子招标投标交易平台</w:t>
      </w:r>
      <w:r>
        <w:rPr>
          <w:color w:val="auto"/>
          <w:highlight w:val="none"/>
        </w:rPr>
        <w:t>将</w:t>
      </w:r>
      <w:r>
        <w:rPr>
          <w:rFonts w:hint="eastAsia"/>
          <w:color w:val="auto"/>
          <w:highlight w:val="none"/>
        </w:rPr>
        <w:t>予以拒收</w:t>
      </w:r>
      <w:r>
        <w:rPr>
          <w:color w:val="auto"/>
          <w:highlight w:val="none"/>
        </w:rPr>
        <w:t>。</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4.3 投标文件的修改与撤回</w:t>
      </w:r>
    </w:p>
    <w:p>
      <w:pPr>
        <w:pStyle w:val="74"/>
        <w:widowControl w:val="0"/>
        <w:spacing w:line="360" w:lineRule="auto"/>
        <w:ind w:firstLine="420" w:firstLineChars="200"/>
        <w:rPr>
          <w:color w:val="auto"/>
          <w:highlight w:val="none"/>
        </w:rPr>
      </w:pPr>
      <w:r>
        <w:rPr>
          <w:color w:val="auto"/>
          <w:highlight w:val="none"/>
        </w:rPr>
        <w:t>在投标人须知前附表规定的投标截止时间前，投标人可以修改或撤回已递交投标文件。</w:t>
      </w:r>
    </w:p>
    <w:p>
      <w:pPr>
        <w:pStyle w:val="3"/>
        <w:spacing w:before="0" w:after="0" w:line="360" w:lineRule="auto"/>
        <w:rPr>
          <w:rFonts w:ascii="Times New Roman" w:hAnsi="Times New Roman" w:eastAsia="黑体"/>
          <w:b w:val="0"/>
          <w:bCs w:val="0"/>
          <w:color w:val="auto"/>
          <w:sz w:val="30"/>
          <w:highlight w:val="none"/>
        </w:rPr>
      </w:pPr>
      <w:bookmarkStart w:id="136" w:name="_Toc300678029"/>
      <w:bookmarkStart w:id="137" w:name="_Toc80006093"/>
      <w:bookmarkStart w:id="138" w:name="_Toc80006203"/>
      <w:bookmarkStart w:id="139" w:name="_Toc9178522"/>
      <w:r>
        <w:rPr>
          <w:rFonts w:ascii="Times New Roman" w:hAnsi="Times New Roman" w:eastAsia="黑体"/>
          <w:b w:val="0"/>
          <w:bCs w:val="0"/>
          <w:color w:val="auto"/>
          <w:sz w:val="30"/>
          <w:highlight w:val="none"/>
        </w:rPr>
        <w:t>5.开标</w:t>
      </w:r>
      <w:bookmarkEnd w:id="136"/>
      <w:bookmarkEnd w:id="137"/>
      <w:bookmarkEnd w:id="138"/>
      <w:bookmarkEnd w:id="139"/>
    </w:p>
    <w:p>
      <w:pPr>
        <w:pStyle w:val="5"/>
        <w:rPr>
          <w:rFonts w:ascii="Times New Roman" w:hAnsi="Times New Roman" w:eastAsia="黑体"/>
          <w:b w:val="0"/>
          <w:bCs w:val="0"/>
          <w:color w:val="auto"/>
          <w:sz w:val="24"/>
          <w:highlight w:val="none"/>
        </w:rPr>
      </w:pPr>
      <w:bookmarkStart w:id="140" w:name="_Toc300678030"/>
      <w:r>
        <w:rPr>
          <w:rFonts w:ascii="Times New Roman" w:hAnsi="Times New Roman" w:eastAsia="黑体"/>
          <w:b w:val="0"/>
          <w:bCs w:val="0"/>
          <w:color w:val="auto"/>
          <w:sz w:val="24"/>
          <w:highlight w:val="none"/>
        </w:rPr>
        <w:t>5.1 开标时间和地点</w:t>
      </w:r>
      <w:bookmarkEnd w:id="140"/>
    </w:p>
    <w:p>
      <w:pPr>
        <w:pStyle w:val="74"/>
        <w:widowControl w:val="0"/>
        <w:spacing w:line="360" w:lineRule="auto"/>
        <w:ind w:firstLine="420" w:firstLineChars="200"/>
        <w:rPr>
          <w:strike/>
          <w:color w:val="auto"/>
          <w:highlight w:val="none"/>
        </w:rPr>
      </w:pPr>
      <w:r>
        <w:rPr>
          <w:color w:val="auto"/>
          <w:highlight w:val="none"/>
        </w:rPr>
        <w:t>招标人在投标人须知前附表规定的</w:t>
      </w:r>
      <w:r>
        <w:rPr>
          <w:rFonts w:hint="eastAsia"/>
          <w:color w:val="auto"/>
          <w:highlight w:val="none"/>
        </w:rPr>
        <w:t>投标截止时间（开标</w:t>
      </w:r>
      <w:r>
        <w:rPr>
          <w:color w:val="auto"/>
          <w:highlight w:val="none"/>
        </w:rPr>
        <w:t>时间</w:t>
      </w:r>
      <w:r>
        <w:rPr>
          <w:rFonts w:hint="eastAsia"/>
          <w:color w:val="auto"/>
          <w:highlight w:val="none"/>
        </w:rPr>
        <w:t>），通过电子招标投标交易平台公开开标，所有投标人的法定代表人或其委托代理人应当准时在线参加。</w:t>
      </w:r>
    </w:p>
    <w:p>
      <w:pPr>
        <w:pStyle w:val="5"/>
        <w:rPr>
          <w:rFonts w:ascii="Times New Roman" w:hAnsi="Times New Roman" w:eastAsia="黑体"/>
          <w:b w:val="0"/>
          <w:bCs w:val="0"/>
          <w:color w:val="auto"/>
          <w:sz w:val="24"/>
          <w:highlight w:val="none"/>
        </w:rPr>
      </w:pPr>
      <w:bookmarkStart w:id="141" w:name="_Toc300678031"/>
      <w:r>
        <w:rPr>
          <w:rFonts w:ascii="Times New Roman" w:hAnsi="Times New Roman" w:eastAsia="黑体"/>
          <w:b w:val="0"/>
          <w:bCs w:val="0"/>
          <w:color w:val="auto"/>
          <w:sz w:val="24"/>
          <w:highlight w:val="none"/>
        </w:rPr>
        <w:t>5.2 开标程序</w:t>
      </w:r>
      <w:bookmarkEnd w:id="141"/>
    </w:p>
    <w:p>
      <w:pPr>
        <w:pStyle w:val="74"/>
        <w:widowControl w:val="0"/>
        <w:spacing w:line="360" w:lineRule="auto"/>
        <w:ind w:firstLine="420" w:firstLineChars="200"/>
        <w:rPr>
          <w:color w:val="auto"/>
          <w:highlight w:val="none"/>
        </w:rPr>
      </w:pPr>
      <w:r>
        <w:rPr>
          <w:rFonts w:hint="eastAsia"/>
          <w:color w:val="auto"/>
          <w:highlight w:val="none"/>
        </w:rPr>
        <w:t>5</w:t>
      </w:r>
      <w:r>
        <w:rPr>
          <w:color w:val="auto"/>
          <w:highlight w:val="none"/>
        </w:rPr>
        <w:t>.2.1</w:t>
      </w:r>
      <w:r>
        <w:rPr>
          <w:rFonts w:hint="eastAsia"/>
          <w:color w:val="auto"/>
          <w:highlight w:val="none"/>
        </w:rPr>
        <w:t>招标</w:t>
      </w:r>
      <w:r>
        <w:rPr>
          <w:color w:val="auto"/>
          <w:highlight w:val="none"/>
        </w:rPr>
        <w:t>人按下列程序进行开标：</w:t>
      </w:r>
    </w:p>
    <w:p>
      <w:pPr>
        <w:pStyle w:val="74"/>
        <w:widowControl w:val="0"/>
        <w:spacing w:line="360" w:lineRule="auto"/>
        <w:ind w:firstLine="420" w:firstLineChars="200"/>
        <w:rPr>
          <w:color w:val="auto"/>
          <w:highlight w:val="none"/>
        </w:rPr>
      </w:pPr>
      <w:r>
        <w:rPr>
          <w:color w:val="auto"/>
          <w:highlight w:val="none"/>
        </w:rPr>
        <w:t>（l）宣布开标纪律；</w:t>
      </w:r>
    </w:p>
    <w:p>
      <w:pPr>
        <w:pStyle w:val="74"/>
        <w:widowControl w:val="0"/>
        <w:spacing w:line="360" w:lineRule="auto"/>
        <w:ind w:firstLine="420" w:firstLineChars="200"/>
        <w:rPr>
          <w:color w:val="auto"/>
          <w:highlight w:val="none"/>
        </w:rPr>
      </w:pPr>
      <w:r>
        <w:rPr>
          <w:color w:val="auto"/>
          <w:highlight w:val="none"/>
        </w:rPr>
        <w:t>（2）公布在投标截止时间前递交投标文件的投标人名称；</w:t>
      </w:r>
    </w:p>
    <w:p>
      <w:pPr>
        <w:pStyle w:val="74"/>
        <w:widowControl w:val="0"/>
        <w:spacing w:line="360" w:lineRule="auto"/>
        <w:ind w:firstLine="420" w:firstLineChars="200"/>
        <w:rPr>
          <w:color w:val="auto"/>
          <w:highlight w:val="none"/>
        </w:rPr>
      </w:pPr>
      <w:r>
        <w:rPr>
          <w:color w:val="auto"/>
          <w:highlight w:val="none"/>
        </w:rPr>
        <w:t>（3）宣布开标人、监督人等有关人员姓名；</w:t>
      </w:r>
    </w:p>
    <w:p>
      <w:pPr>
        <w:pStyle w:val="74"/>
        <w:spacing w:line="360" w:lineRule="auto"/>
        <w:ind w:firstLine="420" w:firstLineChars="200"/>
        <w:rPr>
          <w:color w:val="auto"/>
          <w:highlight w:val="none"/>
        </w:rPr>
      </w:pPr>
      <w:r>
        <w:rPr>
          <w:color w:val="auto"/>
          <w:highlight w:val="none"/>
        </w:rPr>
        <w:t>（4）由招标人在开标现场随</w:t>
      </w:r>
      <w:r>
        <w:rPr>
          <w:rFonts w:hint="eastAsia" w:ascii="Times New Roman" w:hAnsi="Times New Roman" w:eastAsia="宋体" w:cs="Times New Roman"/>
          <w:color w:val="auto"/>
          <w:highlight w:val="none"/>
        </w:rPr>
        <w:t>机抽取α</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β</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P值</w:t>
      </w:r>
      <w:r>
        <w:rPr>
          <w:rFonts w:hint="eastAsia" w:ascii="Times New Roman" w:hAnsi="Times New Roman" w:eastAsia="宋体" w:cs="Times New Roman"/>
          <w:color w:val="auto"/>
          <w:highlight w:val="none"/>
        </w:rPr>
        <w:t>并记</w:t>
      </w:r>
      <w:r>
        <w:rPr>
          <w:rFonts w:hint="eastAsia"/>
          <w:color w:val="auto"/>
          <w:highlight w:val="none"/>
        </w:rPr>
        <w:t>录在案</w:t>
      </w:r>
      <w:r>
        <w:rPr>
          <w:color w:val="auto"/>
          <w:highlight w:val="none"/>
        </w:rPr>
        <w:t>；</w:t>
      </w:r>
    </w:p>
    <w:p>
      <w:pPr>
        <w:pStyle w:val="74"/>
        <w:widowControl w:val="0"/>
        <w:spacing w:line="360" w:lineRule="auto"/>
        <w:ind w:firstLine="420" w:firstLineChars="200"/>
        <w:rPr>
          <w:color w:val="auto"/>
          <w:highlight w:val="none"/>
        </w:rPr>
      </w:pPr>
      <w:r>
        <w:rPr>
          <w:color w:val="auto"/>
          <w:highlight w:val="none"/>
        </w:rPr>
        <w:t>（5）投标人通过电子招标投标交易平台对已递交的电子投标文件进行解密，当众开标，公布投标人名称、标段名称、投标保证的递交情况、投标报价、质量目标、工期及其他内容，并记录在案；</w:t>
      </w:r>
    </w:p>
    <w:p>
      <w:pPr>
        <w:pStyle w:val="74"/>
        <w:widowControl w:val="0"/>
        <w:spacing w:line="360" w:lineRule="auto"/>
        <w:ind w:firstLine="420" w:firstLineChars="200"/>
        <w:rPr>
          <w:color w:val="auto"/>
          <w:highlight w:val="none"/>
        </w:rPr>
      </w:pPr>
      <w:r>
        <w:rPr>
          <w:color w:val="auto"/>
          <w:highlight w:val="none"/>
        </w:rPr>
        <w:t>（6）投标人</w:t>
      </w:r>
      <w:r>
        <w:rPr>
          <w:rFonts w:hint="eastAsia"/>
          <w:color w:val="auto"/>
          <w:highlight w:val="none"/>
        </w:rPr>
        <w:t>确认开标结果</w:t>
      </w:r>
      <w:r>
        <w:rPr>
          <w:color w:val="auto"/>
          <w:highlight w:val="none"/>
        </w:rPr>
        <w:t>；</w:t>
      </w:r>
    </w:p>
    <w:p>
      <w:pPr>
        <w:pStyle w:val="74"/>
        <w:widowControl w:val="0"/>
        <w:spacing w:line="360" w:lineRule="auto"/>
        <w:ind w:firstLine="420" w:firstLineChars="200"/>
        <w:rPr>
          <w:color w:val="auto"/>
          <w:highlight w:val="none"/>
        </w:rPr>
      </w:pPr>
      <w:r>
        <w:rPr>
          <w:color w:val="auto"/>
          <w:highlight w:val="none"/>
        </w:rPr>
        <w:t>（7）招标人在开标记录上确认；</w:t>
      </w:r>
    </w:p>
    <w:p>
      <w:pPr>
        <w:pStyle w:val="74"/>
        <w:widowControl w:val="0"/>
        <w:spacing w:line="360" w:lineRule="auto"/>
        <w:ind w:firstLine="420" w:firstLineChars="200"/>
        <w:rPr>
          <w:color w:val="auto"/>
          <w:highlight w:val="none"/>
        </w:rPr>
      </w:pPr>
      <w:r>
        <w:rPr>
          <w:color w:val="auto"/>
          <w:highlight w:val="none"/>
        </w:rPr>
        <w:t>（8）开标结束。</w:t>
      </w:r>
    </w:p>
    <w:p>
      <w:pPr>
        <w:pStyle w:val="3"/>
        <w:spacing w:before="0" w:after="0" w:line="360" w:lineRule="auto"/>
        <w:rPr>
          <w:rFonts w:ascii="Times New Roman" w:hAnsi="Times New Roman" w:eastAsia="黑体"/>
          <w:b w:val="0"/>
          <w:bCs w:val="0"/>
          <w:color w:val="auto"/>
          <w:sz w:val="30"/>
          <w:highlight w:val="none"/>
        </w:rPr>
      </w:pPr>
      <w:bookmarkStart w:id="142" w:name="_Toc9178523"/>
      <w:bookmarkStart w:id="143" w:name="_Toc80006094"/>
      <w:bookmarkStart w:id="144" w:name="_Toc80006204"/>
      <w:bookmarkStart w:id="145" w:name="_Toc300678032"/>
      <w:r>
        <w:rPr>
          <w:rFonts w:ascii="Times New Roman" w:hAnsi="Times New Roman" w:eastAsia="黑体"/>
          <w:b w:val="0"/>
          <w:bCs w:val="0"/>
          <w:color w:val="auto"/>
          <w:sz w:val="30"/>
          <w:highlight w:val="none"/>
        </w:rPr>
        <w:t>6.评标</w:t>
      </w:r>
      <w:bookmarkEnd w:id="142"/>
      <w:bookmarkEnd w:id="143"/>
      <w:bookmarkEnd w:id="144"/>
      <w:bookmarkEnd w:id="145"/>
    </w:p>
    <w:p>
      <w:pPr>
        <w:pStyle w:val="5"/>
        <w:rPr>
          <w:rFonts w:ascii="Times New Roman" w:hAnsi="Times New Roman" w:eastAsia="黑体"/>
          <w:b w:val="0"/>
          <w:bCs w:val="0"/>
          <w:color w:val="auto"/>
          <w:sz w:val="24"/>
          <w:highlight w:val="none"/>
        </w:rPr>
      </w:pPr>
      <w:bookmarkStart w:id="146" w:name="_Toc300678033"/>
      <w:r>
        <w:rPr>
          <w:rFonts w:ascii="Times New Roman" w:hAnsi="Times New Roman" w:eastAsia="黑体"/>
          <w:b w:val="0"/>
          <w:bCs w:val="0"/>
          <w:color w:val="auto"/>
          <w:sz w:val="24"/>
          <w:highlight w:val="none"/>
        </w:rPr>
        <w:t>6.1 评标委员会</w:t>
      </w:r>
      <w:bookmarkEnd w:id="146"/>
    </w:p>
    <w:p>
      <w:pPr>
        <w:pStyle w:val="74"/>
        <w:widowControl w:val="0"/>
        <w:spacing w:line="360" w:lineRule="auto"/>
        <w:ind w:firstLine="420" w:firstLineChars="200"/>
        <w:rPr>
          <w:color w:val="auto"/>
          <w:highlight w:val="none"/>
        </w:rPr>
      </w:pPr>
      <w:r>
        <w:rPr>
          <w:color w:val="auto"/>
          <w:highlight w:val="none"/>
        </w:rPr>
        <w:t>6.1.1  评标由招标人依法组建的评标委员会负责。评标委员会成员人数以及技术、经济等方面专家的确定方式见投标人须知前附表。</w:t>
      </w:r>
    </w:p>
    <w:p>
      <w:pPr>
        <w:pStyle w:val="74"/>
        <w:widowControl w:val="0"/>
        <w:spacing w:line="360" w:lineRule="auto"/>
        <w:ind w:firstLine="420" w:firstLineChars="200"/>
        <w:rPr>
          <w:color w:val="auto"/>
          <w:highlight w:val="none"/>
        </w:rPr>
      </w:pPr>
      <w:r>
        <w:rPr>
          <w:color w:val="auto"/>
          <w:highlight w:val="none"/>
        </w:rPr>
        <w:t>6.1.2  有下列情形之一的，应当回避：</w:t>
      </w:r>
    </w:p>
    <w:p>
      <w:pPr>
        <w:pStyle w:val="74"/>
        <w:widowControl w:val="0"/>
        <w:spacing w:line="360" w:lineRule="auto"/>
        <w:ind w:firstLine="420" w:firstLineChars="200"/>
        <w:rPr>
          <w:color w:val="auto"/>
          <w:highlight w:val="none"/>
        </w:rPr>
      </w:pPr>
      <w:r>
        <w:rPr>
          <w:color w:val="auto"/>
          <w:highlight w:val="none"/>
        </w:rPr>
        <w:t>（1）评标委员会成员是投标人或投标人的主要负责人或拟任项目经理的近亲属；</w:t>
      </w:r>
    </w:p>
    <w:p>
      <w:pPr>
        <w:pStyle w:val="74"/>
        <w:widowControl w:val="0"/>
        <w:spacing w:line="360" w:lineRule="auto"/>
        <w:ind w:firstLine="420" w:firstLineChars="200"/>
        <w:rPr>
          <w:color w:val="auto"/>
          <w:highlight w:val="none"/>
        </w:rPr>
      </w:pPr>
      <w:r>
        <w:rPr>
          <w:color w:val="auto"/>
          <w:highlight w:val="none"/>
        </w:rPr>
        <w:t>（2）评标委员会成员是本项目招标投标行政监督部门的人员；</w:t>
      </w:r>
    </w:p>
    <w:p>
      <w:pPr>
        <w:pStyle w:val="74"/>
        <w:widowControl w:val="0"/>
        <w:spacing w:line="360" w:lineRule="auto"/>
        <w:ind w:firstLine="420" w:firstLineChars="200"/>
        <w:rPr>
          <w:color w:val="auto"/>
          <w:highlight w:val="none"/>
        </w:rPr>
      </w:pPr>
      <w:r>
        <w:rPr>
          <w:color w:val="auto"/>
          <w:highlight w:val="none"/>
        </w:rPr>
        <w:t>（3）评标委员会成员是招标人或者其下属单位或者招标项目上级主管部门的人员，但招标人代表除外；</w:t>
      </w:r>
    </w:p>
    <w:p>
      <w:pPr>
        <w:pStyle w:val="74"/>
        <w:widowControl w:val="0"/>
        <w:spacing w:line="360" w:lineRule="auto"/>
        <w:ind w:firstLine="420" w:firstLineChars="200"/>
        <w:rPr>
          <w:color w:val="auto"/>
          <w:highlight w:val="none"/>
        </w:rPr>
      </w:pPr>
      <w:r>
        <w:rPr>
          <w:color w:val="auto"/>
          <w:highlight w:val="none"/>
        </w:rPr>
        <w:t>（4）评标委员会成员曾参与投标人的投标文件编制或者对投标文件的编制实施指导；</w:t>
      </w:r>
    </w:p>
    <w:p>
      <w:pPr>
        <w:pStyle w:val="74"/>
        <w:widowControl w:val="0"/>
        <w:spacing w:line="360" w:lineRule="auto"/>
        <w:ind w:firstLine="420" w:firstLineChars="200"/>
        <w:rPr>
          <w:color w:val="auto"/>
          <w:highlight w:val="none"/>
        </w:rPr>
      </w:pPr>
      <w:r>
        <w:rPr>
          <w:color w:val="auto"/>
          <w:highlight w:val="none"/>
        </w:rPr>
        <w:t>（5）评标委员会成员与投标人有经济利益关系，可能影响对投标公正评审的。</w:t>
      </w:r>
    </w:p>
    <w:p>
      <w:pPr>
        <w:pStyle w:val="74"/>
        <w:widowControl w:val="0"/>
        <w:spacing w:line="360" w:lineRule="auto"/>
        <w:ind w:firstLine="420" w:firstLineChars="200"/>
        <w:rPr>
          <w:color w:val="auto"/>
          <w:highlight w:val="none"/>
        </w:rPr>
      </w:pPr>
      <w:r>
        <w:rPr>
          <w:color w:val="auto"/>
          <w:highlight w:val="none"/>
        </w:rPr>
        <w:t>（6）评标委员会成员被主管部门禁止参加本地区依法必须招标项目评标或者取消担任评标委员会成员资格</w:t>
      </w:r>
      <w:r>
        <w:rPr>
          <w:rFonts w:hint="eastAsia"/>
          <w:color w:val="auto"/>
          <w:highlight w:val="none"/>
        </w:rPr>
        <w:t>。</w:t>
      </w:r>
    </w:p>
    <w:p>
      <w:pPr>
        <w:pStyle w:val="5"/>
        <w:rPr>
          <w:rFonts w:ascii="Times New Roman" w:hAnsi="Times New Roman" w:eastAsia="黑体"/>
          <w:b w:val="0"/>
          <w:bCs w:val="0"/>
          <w:color w:val="auto"/>
          <w:sz w:val="24"/>
          <w:highlight w:val="none"/>
        </w:rPr>
      </w:pPr>
      <w:bookmarkStart w:id="147" w:name="_Toc300678034"/>
      <w:r>
        <w:rPr>
          <w:rFonts w:ascii="Times New Roman" w:hAnsi="Times New Roman" w:eastAsia="黑体"/>
          <w:b w:val="0"/>
          <w:bCs w:val="0"/>
          <w:color w:val="auto"/>
          <w:sz w:val="24"/>
          <w:highlight w:val="none"/>
        </w:rPr>
        <w:t>6.2 评标原则</w:t>
      </w:r>
      <w:bookmarkEnd w:id="147"/>
    </w:p>
    <w:p>
      <w:pPr>
        <w:pStyle w:val="74"/>
        <w:widowControl w:val="0"/>
        <w:spacing w:line="360" w:lineRule="auto"/>
        <w:ind w:firstLine="420" w:firstLineChars="200"/>
        <w:rPr>
          <w:color w:val="auto"/>
          <w:highlight w:val="none"/>
        </w:rPr>
      </w:pPr>
      <w:r>
        <w:rPr>
          <w:color w:val="auto"/>
          <w:highlight w:val="none"/>
        </w:rPr>
        <w:t>评标活动遵循公平、公正、科学和择优的原则。</w:t>
      </w:r>
    </w:p>
    <w:p>
      <w:pPr>
        <w:pStyle w:val="5"/>
        <w:rPr>
          <w:rFonts w:ascii="Times New Roman" w:hAnsi="Times New Roman" w:eastAsia="黑体"/>
          <w:b w:val="0"/>
          <w:bCs w:val="0"/>
          <w:color w:val="auto"/>
          <w:sz w:val="24"/>
          <w:highlight w:val="none"/>
        </w:rPr>
      </w:pPr>
      <w:bookmarkStart w:id="148" w:name="_Toc300678035"/>
      <w:r>
        <w:rPr>
          <w:rFonts w:ascii="Times New Roman" w:hAnsi="Times New Roman" w:eastAsia="黑体"/>
          <w:b w:val="0"/>
          <w:bCs w:val="0"/>
          <w:color w:val="auto"/>
          <w:sz w:val="24"/>
          <w:highlight w:val="none"/>
        </w:rPr>
        <w:t>6.3 评标</w:t>
      </w:r>
      <w:bookmarkEnd w:id="148"/>
    </w:p>
    <w:p>
      <w:pPr>
        <w:pStyle w:val="74"/>
        <w:widowControl w:val="0"/>
        <w:spacing w:line="360" w:lineRule="auto"/>
        <w:ind w:firstLine="420" w:firstLineChars="200"/>
        <w:rPr>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程序对投标文件进行评审。</w:t>
      </w:r>
      <w:r>
        <w:rPr>
          <w:rFonts w:hint="eastAsia" w:ascii="宋体" w:hAnsi="宋体"/>
          <w:color w:val="auto"/>
          <w:highlight w:val="none"/>
        </w:rPr>
        <w:t>第三章“评标办法”没有规定的方法、评审因素和标准，不作为评标依据。</w:t>
      </w:r>
    </w:p>
    <w:p>
      <w:pPr>
        <w:pStyle w:val="3"/>
        <w:spacing w:before="0" w:after="0" w:line="360" w:lineRule="auto"/>
        <w:rPr>
          <w:rFonts w:ascii="Times New Roman" w:hAnsi="Times New Roman" w:eastAsia="黑体"/>
          <w:b w:val="0"/>
          <w:bCs w:val="0"/>
          <w:color w:val="auto"/>
          <w:sz w:val="30"/>
          <w:highlight w:val="none"/>
        </w:rPr>
      </w:pPr>
      <w:bookmarkStart w:id="149" w:name="_Toc80006095"/>
      <w:bookmarkStart w:id="150" w:name="_Toc9178524"/>
      <w:bookmarkStart w:id="151" w:name="_Toc80006205"/>
      <w:bookmarkStart w:id="152" w:name="_Toc300678036"/>
      <w:r>
        <w:rPr>
          <w:rFonts w:ascii="Times New Roman" w:hAnsi="Times New Roman" w:eastAsia="黑体"/>
          <w:b w:val="0"/>
          <w:bCs w:val="0"/>
          <w:color w:val="auto"/>
          <w:sz w:val="30"/>
          <w:highlight w:val="none"/>
        </w:rPr>
        <w:t>7.合同授予</w:t>
      </w:r>
      <w:bookmarkEnd w:id="149"/>
      <w:bookmarkEnd w:id="150"/>
      <w:bookmarkEnd w:id="151"/>
      <w:bookmarkEnd w:id="152"/>
    </w:p>
    <w:p>
      <w:pPr>
        <w:pStyle w:val="5"/>
        <w:rPr>
          <w:rFonts w:ascii="Times New Roman" w:hAnsi="Times New Roman" w:eastAsia="黑体"/>
          <w:b w:val="0"/>
          <w:bCs w:val="0"/>
          <w:color w:val="auto"/>
          <w:sz w:val="24"/>
          <w:highlight w:val="none"/>
        </w:rPr>
      </w:pPr>
      <w:bookmarkStart w:id="153" w:name="_Toc300678037"/>
      <w:r>
        <w:rPr>
          <w:rFonts w:ascii="Times New Roman" w:hAnsi="Times New Roman" w:eastAsia="黑体"/>
          <w:b w:val="0"/>
          <w:bCs w:val="0"/>
          <w:color w:val="auto"/>
          <w:sz w:val="24"/>
          <w:highlight w:val="none"/>
        </w:rPr>
        <w:t>7.1 定标方式</w:t>
      </w:r>
      <w:bookmarkEnd w:id="153"/>
    </w:p>
    <w:p>
      <w:pPr>
        <w:spacing w:line="360" w:lineRule="auto"/>
        <w:ind w:firstLine="420" w:firstLineChars="200"/>
        <w:rPr>
          <w:color w:val="auto"/>
          <w:highlight w:val="none"/>
        </w:rPr>
      </w:pPr>
      <w:r>
        <w:rPr>
          <w:color w:val="auto"/>
          <w:highlight w:val="none"/>
        </w:rPr>
        <w:t>招标人依据评标委员会推荐的中标候选人确定中标人。评标委员会推荐中标候选人的数量以及招标人确定中标人的方式见投标人须知前附表。</w:t>
      </w:r>
    </w:p>
    <w:p>
      <w:pPr>
        <w:spacing w:line="360" w:lineRule="auto"/>
        <w:ind w:firstLine="420" w:firstLineChars="200"/>
        <w:rPr>
          <w:color w:val="auto"/>
          <w:highlight w:val="none"/>
        </w:rPr>
      </w:pPr>
    </w:p>
    <w:p>
      <w:pPr>
        <w:pStyle w:val="5"/>
        <w:rPr>
          <w:rFonts w:ascii="Times New Roman" w:hAnsi="Times New Roman" w:eastAsia="黑体"/>
          <w:b w:val="0"/>
          <w:bCs w:val="0"/>
          <w:color w:val="auto"/>
          <w:sz w:val="24"/>
          <w:highlight w:val="none"/>
        </w:rPr>
      </w:pPr>
      <w:bookmarkStart w:id="154" w:name="_Toc300678038"/>
      <w:r>
        <w:rPr>
          <w:rFonts w:ascii="Times New Roman" w:hAnsi="Times New Roman" w:eastAsia="黑体"/>
          <w:b w:val="0"/>
          <w:bCs w:val="0"/>
          <w:color w:val="auto"/>
          <w:sz w:val="24"/>
          <w:highlight w:val="none"/>
        </w:rPr>
        <w:t>7.2 中标通知</w:t>
      </w:r>
      <w:bookmarkEnd w:id="154"/>
    </w:p>
    <w:p>
      <w:pPr>
        <w:pStyle w:val="74"/>
        <w:widowControl w:val="0"/>
        <w:spacing w:line="360" w:lineRule="auto"/>
        <w:ind w:firstLine="420" w:firstLineChars="200"/>
        <w:rPr>
          <w:color w:val="auto"/>
          <w:highlight w:val="none"/>
        </w:rPr>
      </w:pPr>
      <w:r>
        <w:rPr>
          <w:color w:val="auto"/>
          <w:highlight w:val="none"/>
        </w:rPr>
        <w:t>在规定的投标有效期内，招标人以书面形式向中标人发出中标通知书，同时将中标结果通知未中标的投标人。</w:t>
      </w:r>
    </w:p>
    <w:p>
      <w:pPr>
        <w:pStyle w:val="5"/>
        <w:rPr>
          <w:rFonts w:hint="eastAsia" w:ascii="Times New Roman" w:hAnsi="Times New Roman" w:eastAsia="黑体"/>
          <w:b w:val="0"/>
          <w:bCs w:val="0"/>
          <w:color w:val="auto"/>
          <w:sz w:val="24"/>
          <w:highlight w:val="none"/>
        </w:rPr>
      </w:pPr>
      <w:bookmarkStart w:id="155" w:name="_Toc300678039"/>
      <w:r>
        <w:rPr>
          <w:rFonts w:ascii="Times New Roman" w:hAnsi="Times New Roman" w:eastAsia="黑体"/>
          <w:b w:val="0"/>
          <w:bCs w:val="0"/>
          <w:color w:val="auto"/>
          <w:sz w:val="24"/>
          <w:highlight w:val="none"/>
        </w:rPr>
        <w:t>7.3 履约担保</w:t>
      </w:r>
      <w:bookmarkEnd w:id="155"/>
      <w:r>
        <w:rPr>
          <w:rFonts w:hint="eastAsia" w:ascii="Times New Roman" w:hAnsi="Times New Roman" w:eastAsia="黑体"/>
          <w:b w:val="0"/>
          <w:bCs w:val="0"/>
          <w:color w:val="auto"/>
          <w:sz w:val="24"/>
          <w:highlight w:val="none"/>
        </w:rPr>
        <w:t>及工程款支付担保</w:t>
      </w:r>
    </w:p>
    <w:p>
      <w:pPr>
        <w:pStyle w:val="74"/>
        <w:widowControl w:val="0"/>
        <w:spacing w:line="360" w:lineRule="auto"/>
        <w:ind w:firstLine="420" w:firstLineChars="200"/>
        <w:rPr>
          <w:color w:val="auto"/>
          <w:highlight w:val="none"/>
        </w:rPr>
      </w:pPr>
      <w:r>
        <w:rPr>
          <w:color w:val="auto"/>
          <w:highlight w:val="none"/>
        </w:rPr>
        <w:t>□7.3.1  在签订合同前，中标人应按投标人须知前附表规定的金额、担保形式和招标文件第四章“合同条款及格式”规定的履约担保格式向招标人提交履约担保。联合体中标的，履约担保由牵头人递交。</w:t>
      </w:r>
    </w:p>
    <w:p>
      <w:pPr>
        <w:pStyle w:val="74"/>
        <w:widowControl w:val="0"/>
        <w:spacing w:line="360" w:lineRule="auto"/>
        <w:ind w:firstLine="420" w:firstLineChars="200"/>
        <w:rPr>
          <w:color w:val="auto"/>
          <w:highlight w:val="none"/>
        </w:rPr>
      </w:pPr>
      <w:r>
        <w:rPr>
          <w:color w:val="auto"/>
          <w:highlight w:val="none"/>
        </w:rPr>
        <w:t>□7.3.1 采用经评审的最低投标价法中标的， 在签订合同前，中标人应按投标人须知前附表规定的金额、担保形式和招标文件第四章规定的履约担保格式向招标人提交履约担保。联合体中标的，履约担保由牵头人递交。</w:t>
      </w:r>
    </w:p>
    <w:p>
      <w:pPr>
        <w:pStyle w:val="74"/>
        <w:widowControl w:val="0"/>
        <w:spacing w:line="360" w:lineRule="auto"/>
        <w:ind w:firstLine="420" w:firstLineChars="200"/>
        <w:rPr>
          <w:rFonts w:hint="eastAsia"/>
          <w:color w:val="auto"/>
          <w:highlight w:val="none"/>
        </w:rPr>
      </w:pPr>
      <w:r>
        <w:rPr>
          <w:color w:val="auto"/>
          <w:highlight w:val="none"/>
        </w:rPr>
        <w:t>7.3.2  中标人不能按本</w:t>
      </w:r>
      <w:r>
        <w:rPr>
          <w:rFonts w:hint="eastAsia"/>
          <w:color w:val="auto"/>
          <w:highlight w:val="none"/>
        </w:rPr>
        <w:t>须知</w:t>
      </w:r>
      <w:r>
        <w:rPr>
          <w:color w:val="auto"/>
          <w:highlight w:val="none"/>
        </w:rPr>
        <w:t>第7.3.1 项要求提交履约担保的，视为放弃中标。给招标人造成的损失超过投标保证数额的，中标人应当对超过部分予以赔偿。</w:t>
      </w:r>
    </w:p>
    <w:p>
      <w:pPr>
        <w:pStyle w:val="74"/>
        <w:widowControl w:val="0"/>
        <w:spacing w:line="360" w:lineRule="auto"/>
        <w:ind w:firstLine="420" w:firstLineChars="200"/>
        <w:rPr>
          <w:color w:val="auto"/>
          <w:highlight w:val="none"/>
        </w:rPr>
      </w:pPr>
      <w:r>
        <w:rPr>
          <w:rFonts w:hint="eastAsia"/>
          <w:color w:val="auto"/>
          <w:highlight w:val="none"/>
        </w:rPr>
        <w:t>7.3.3 招标人应当向中标人提供工程款支付担保。</w:t>
      </w:r>
    </w:p>
    <w:p>
      <w:pPr>
        <w:pStyle w:val="5"/>
        <w:rPr>
          <w:rFonts w:ascii="Times New Roman" w:hAnsi="Times New Roman" w:eastAsia="黑体"/>
          <w:b w:val="0"/>
          <w:bCs w:val="0"/>
          <w:color w:val="auto"/>
          <w:sz w:val="24"/>
          <w:highlight w:val="none"/>
        </w:rPr>
      </w:pPr>
      <w:bookmarkStart w:id="156" w:name="_Toc300678040"/>
      <w:r>
        <w:rPr>
          <w:rFonts w:ascii="Times New Roman" w:hAnsi="Times New Roman" w:eastAsia="黑体"/>
          <w:b w:val="0"/>
          <w:bCs w:val="0"/>
          <w:color w:val="auto"/>
          <w:sz w:val="24"/>
          <w:highlight w:val="none"/>
        </w:rPr>
        <w:t>7.4 签订合同</w:t>
      </w:r>
      <w:bookmarkEnd w:id="156"/>
    </w:p>
    <w:p>
      <w:pPr>
        <w:pStyle w:val="74"/>
        <w:widowControl w:val="0"/>
        <w:spacing w:line="360" w:lineRule="auto"/>
        <w:ind w:firstLine="420" w:firstLineChars="200"/>
        <w:rPr>
          <w:color w:val="auto"/>
          <w:highlight w:val="none"/>
        </w:rPr>
      </w:pPr>
      <w:r>
        <w:rPr>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pPr>
        <w:pStyle w:val="74"/>
        <w:widowControl w:val="0"/>
        <w:spacing w:line="360" w:lineRule="auto"/>
        <w:ind w:firstLine="420" w:firstLineChars="200"/>
        <w:rPr>
          <w:color w:val="auto"/>
          <w:highlight w:val="none"/>
        </w:rPr>
      </w:pPr>
      <w:r>
        <w:rPr>
          <w:color w:val="auto"/>
          <w:highlight w:val="none"/>
        </w:rPr>
        <w:t>7.4.2  发出中标通知书后，招标人无正当理由拒签合同的，招标人向中标人退还投标保证；给中标人造成损失的，还应当赔偿损失。</w:t>
      </w:r>
    </w:p>
    <w:p>
      <w:pPr>
        <w:pStyle w:val="3"/>
        <w:spacing w:before="0" w:after="0" w:line="360" w:lineRule="auto"/>
        <w:rPr>
          <w:rFonts w:ascii="Times New Roman" w:hAnsi="Times New Roman" w:eastAsia="黑体"/>
          <w:b w:val="0"/>
          <w:bCs w:val="0"/>
          <w:color w:val="auto"/>
          <w:sz w:val="30"/>
          <w:highlight w:val="none"/>
        </w:rPr>
      </w:pPr>
      <w:bookmarkStart w:id="157" w:name="_Toc80006206"/>
      <w:bookmarkStart w:id="158" w:name="_Toc300678041"/>
      <w:bookmarkStart w:id="159" w:name="_Toc9178525"/>
      <w:bookmarkStart w:id="160" w:name="_Toc80006096"/>
      <w:r>
        <w:rPr>
          <w:rFonts w:ascii="Times New Roman" w:hAnsi="Times New Roman" w:eastAsia="黑体"/>
          <w:b w:val="0"/>
          <w:bCs w:val="0"/>
          <w:color w:val="auto"/>
          <w:sz w:val="30"/>
          <w:highlight w:val="none"/>
        </w:rPr>
        <w:t>8.重新招标和不再招标</w:t>
      </w:r>
      <w:bookmarkEnd w:id="157"/>
      <w:bookmarkEnd w:id="158"/>
      <w:bookmarkEnd w:id="159"/>
      <w:bookmarkEnd w:id="160"/>
    </w:p>
    <w:p>
      <w:pPr>
        <w:pStyle w:val="5"/>
        <w:rPr>
          <w:rFonts w:ascii="Times New Roman" w:hAnsi="Times New Roman" w:eastAsia="黑体"/>
          <w:b w:val="0"/>
          <w:bCs w:val="0"/>
          <w:color w:val="auto"/>
          <w:sz w:val="24"/>
          <w:highlight w:val="none"/>
        </w:rPr>
      </w:pPr>
      <w:bookmarkStart w:id="161" w:name="_Toc300678042"/>
      <w:r>
        <w:rPr>
          <w:rFonts w:ascii="Times New Roman" w:hAnsi="Times New Roman" w:eastAsia="黑体"/>
          <w:b w:val="0"/>
          <w:bCs w:val="0"/>
          <w:color w:val="auto"/>
          <w:sz w:val="24"/>
          <w:highlight w:val="none"/>
        </w:rPr>
        <w:t>8.1 重新招标</w:t>
      </w:r>
      <w:bookmarkEnd w:id="161"/>
    </w:p>
    <w:p>
      <w:pPr>
        <w:pStyle w:val="74"/>
        <w:widowControl w:val="0"/>
        <w:spacing w:line="360" w:lineRule="auto"/>
        <w:ind w:firstLine="420" w:firstLineChars="200"/>
        <w:rPr>
          <w:color w:val="auto"/>
          <w:highlight w:val="none"/>
        </w:rPr>
      </w:pPr>
      <w:r>
        <w:rPr>
          <w:color w:val="auto"/>
          <w:highlight w:val="none"/>
        </w:rPr>
        <w:t>有下列情形之一的，招标人将重新招标：</w:t>
      </w:r>
    </w:p>
    <w:p>
      <w:pPr>
        <w:pStyle w:val="74"/>
        <w:widowControl w:val="0"/>
        <w:spacing w:line="360" w:lineRule="auto"/>
        <w:ind w:firstLine="420" w:firstLineChars="200"/>
        <w:rPr>
          <w:color w:val="auto"/>
          <w:highlight w:val="none"/>
        </w:rPr>
      </w:pPr>
      <w:r>
        <w:rPr>
          <w:color w:val="auto"/>
          <w:highlight w:val="none"/>
        </w:rPr>
        <w:t>（l）</w:t>
      </w:r>
      <w:r>
        <w:rPr>
          <w:rFonts w:hint="eastAsia"/>
          <w:color w:val="auto"/>
          <w:highlight w:val="none"/>
        </w:rPr>
        <w:t>获取资格预审文件或者招标文件的潜在投标人少于3个的</w:t>
      </w:r>
      <w:r>
        <w:rPr>
          <w:color w:val="auto"/>
          <w:highlight w:val="none"/>
        </w:rPr>
        <w:t>；</w:t>
      </w:r>
    </w:p>
    <w:p>
      <w:pPr>
        <w:pStyle w:val="74"/>
        <w:widowControl w:val="0"/>
        <w:spacing w:line="360" w:lineRule="auto"/>
        <w:ind w:firstLine="420" w:firstLineChars="200"/>
        <w:rPr>
          <w:color w:val="auto"/>
          <w:highlight w:val="none"/>
        </w:rPr>
      </w:pPr>
      <w:r>
        <w:rPr>
          <w:color w:val="auto"/>
          <w:highlight w:val="none"/>
        </w:rPr>
        <w:t>（2）</w:t>
      </w:r>
      <w:r>
        <w:rPr>
          <w:rFonts w:hint="eastAsia"/>
          <w:color w:val="auto"/>
          <w:highlight w:val="none"/>
        </w:rPr>
        <w:t>在投标截止时间之前提交投标文件的投标人少于3个的；</w:t>
      </w:r>
    </w:p>
    <w:p>
      <w:pPr>
        <w:pStyle w:val="74"/>
        <w:widowControl w:val="0"/>
        <w:spacing w:line="360" w:lineRule="auto"/>
        <w:ind w:firstLine="420" w:firstLineChars="200"/>
        <w:rPr>
          <w:color w:val="auto"/>
          <w:highlight w:val="none"/>
        </w:rPr>
      </w:pPr>
      <w:r>
        <w:rPr>
          <w:rFonts w:hint="eastAsia"/>
          <w:color w:val="auto"/>
          <w:highlight w:val="none"/>
        </w:rPr>
        <w:t>（3）通过资格预审的申请人少于3个的；</w:t>
      </w:r>
    </w:p>
    <w:p>
      <w:pPr>
        <w:pStyle w:val="74"/>
        <w:widowControl w:val="0"/>
        <w:spacing w:line="360" w:lineRule="auto"/>
        <w:ind w:firstLine="420" w:firstLineChars="200"/>
        <w:rPr>
          <w:color w:val="auto"/>
          <w:highlight w:val="none"/>
        </w:rPr>
      </w:pPr>
      <w:r>
        <w:rPr>
          <w:rFonts w:hint="eastAsia"/>
          <w:color w:val="auto"/>
          <w:highlight w:val="none"/>
        </w:rPr>
        <w:t>（4）经评标委员会评审，所有投标文件均被否决的；</w:t>
      </w:r>
    </w:p>
    <w:p>
      <w:pPr>
        <w:pStyle w:val="74"/>
        <w:widowControl w:val="0"/>
        <w:spacing w:line="360" w:lineRule="auto"/>
        <w:ind w:firstLine="420" w:firstLineChars="200"/>
        <w:rPr>
          <w:color w:val="auto"/>
          <w:highlight w:val="none"/>
        </w:rPr>
      </w:pPr>
      <w:r>
        <w:rPr>
          <w:rFonts w:hint="eastAsia"/>
          <w:color w:val="auto"/>
          <w:highlight w:val="none"/>
        </w:rPr>
        <w:t>（5）有效投标人不足3个，评标委员会认为投标明显缺乏竞争，否决本次招标的；</w:t>
      </w:r>
    </w:p>
    <w:p>
      <w:pPr>
        <w:pStyle w:val="74"/>
        <w:widowControl w:val="0"/>
        <w:spacing w:line="360" w:lineRule="auto"/>
        <w:ind w:firstLine="420" w:firstLineChars="200"/>
        <w:rPr>
          <w:rFonts w:hint="eastAsia"/>
          <w:color w:val="auto"/>
          <w:highlight w:val="none"/>
        </w:rPr>
      </w:pPr>
      <w:r>
        <w:rPr>
          <w:rFonts w:hint="eastAsia"/>
          <w:color w:val="auto"/>
          <w:highlight w:val="none"/>
        </w:rPr>
        <w:t>（6）所有中标候选人依法均不能确定为中标人的。</w:t>
      </w:r>
    </w:p>
    <w:p>
      <w:pPr>
        <w:pStyle w:val="5"/>
        <w:rPr>
          <w:rFonts w:ascii="Times New Roman" w:hAnsi="Times New Roman" w:eastAsia="黑体"/>
          <w:b w:val="0"/>
          <w:bCs w:val="0"/>
          <w:color w:val="auto"/>
          <w:sz w:val="24"/>
          <w:highlight w:val="none"/>
        </w:rPr>
      </w:pPr>
      <w:bookmarkStart w:id="162" w:name="_Toc300678043"/>
      <w:r>
        <w:rPr>
          <w:rFonts w:ascii="Times New Roman" w:hAnsi="Times New Roman" w:eastAsia="黑体"/>
          <w:b w:val="0"/>
          <w:bCs w:val="0"/>
          <w:color w:val="auto"/>
          <w:sz w:val="24"/>
          <w:highlight w:val="none"/>
        </w:rPr>
        <w:t>8.2 不再招标</w:t>
      </w:r>
      <w:bookmarkEnd w:id="162"/>
    </w:p>
    <w:p>
      <w:pPr>
        <w:pStyle w:val="74"/>
        <w:widowControl w:val="0"/>
        <w:spacing w:line="360" w:lineRule="auto"/>
        <w:ind w:firstLine="420" w:firstLineChars="200"/>
        <w:rPr>
          <w:color w:val="auto"/>
          <w:highlight w:val="none"/>
        </w:rPr>
      </w:pPr>
      <w:r>
        <w:rPr>
          <w:color w:val="auto"/>
          <w:highlight w:val="none"/>
        </w:rPr>
        <w:t>重新招标后投标人仍少于3 个或者所有投标被否决的，属于必须审批或核准的工程建设项目，经原审批或核准部门批准后不再进行招标。</w:t>
      </w:r>
    </w:p>
    <w:p>
      <w:pPr>
        <w:pStyle w:val="3"/>
        <w:spacing w:before="0" w:after="0" w:line="360" w:lineRule="auto"/>
        <w:rPr>
          <w:rFonts w:ascii="Times New Roman" w:hAnsi="Times New Roman" w:eastAsia="黑体"/>
          <w:b w:val="0"/>
          <w:bCs w:val="0"/>
          <w:color w:val="auto"/>
          <w:sz w:val="30"/>
          <w:highlight w:val="none"/>
        </w:rPr>
      </w:pPr>
      <w:bookmarkStart w:id="163" w:name="_Toc80006097"/>
      <w:bookmarkStart w:id="164" w:name="_Toc9178526"/>
      <w:bookmarkStart w:id="165" w:name="_Toc80006207"/>
      <w:bookmarkStart w:id="166" w:name="_Toc300678044"/>
      <w:r>
        <w:rPr>
          <w:rFonts w:ascii="Times New Roman" w:hAnsi="Times New Roman" w:eastAsia="黑体"/>
          <w:b w:val="0"/>
          <w:bCs w:val="0"/>
          <w:color w:val="auto"/>
          <w:sz w:val="30"/>
          <w:highlight w:val="none"/>
        </w:rPr>
        <w:t>9.纪律和监督</w:t>
      </w:r>
      <w:bookmarkEnd w:id="163"/>
      <w:bookmarkEnd w:id="164"/>
      <w:bookmarkEnd w:id="165"/>
      <w:bookmarkEnd w:id="166"/>
    </w:p>
    <w:p>
      <w:pPr>
        <w:pStyle w:val="5"/>
        <w:rPr>
          <w:rFonts w:ascii="Times New Roman" w:hAnsi="Times New Roman" w:eastAsia="黑体"/>
          <w:b w:val="0"/>
          <w:bCs w:val="0"/>
          <w:color w:val="auto"/>
          <w:sz w:val="24"/>
          <w:highlight w:val="none"/>
        </w:rPr>
      </w:pPr>
      <w:bookmarkStart w:id="167" w:name="_Toc300678046"/>
      <w:r>
        <w:rPr>
          <w:rFonts w:ascii="Times New Roman" w:hAnsi="Times New Roman" w:eastAsia="黑体"/>
          <w:b w:val="0"/>
          <w:bCs w:val="0"/>
          <w:color w:val="auto"/>
          <w:sz w:val="24"/>
          <w:highlight w:val="none"/>
        </w:rPr>
        <w:t>9.1对投标人的纪律要求</w:t>
      </w:r>
      <w:bookmarkEnd w:id="167"/>
    </w:p>
    <w:p>
      <w:pPr>
        <w:pStyle w:val="74"/>
        <w:widowControl w:val="0"/>
        <w:spacing w:line="360" w:lineRule="auto"/>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ascii="Times New Roman" w:hAnsi="Times New Roman" w:eastAsia="黑体"/>
          <w:b w:val="0"/>
          <w:bCs w:val="0"/>
          <w:color w:val="auto"/>
          <w:sz w:val="24"/>
          <w:highlight w:val="none"/>
        </w:rPr>
      </w:pPr>
      <w:bookmarkStart w:id="168" w:name="_Toc300678047"/>
      <w:r>
        <w:rPr>
          <w:rFonts w:ascii="Times New Roman" w:hAnsi="Times New Roman" w:eastAsia="黑体"/>
          <w:b w:val="0"/>
          <w:bCs w:val="0"/>
          <w:color w:val="auto"/>
          <w:sz w:val="24"/>
          <w:highlight w:val="none"/>
        </w:rPr>
        <w:t>9.2对评标委员会成员的纪律要求</w:t>
      </w:r>
      <w:bookmarkEnd w:id="168"/>
    </w:p>
    <w:p>
      <w:pPr>
        <w:pStyle w:val="74"/>
        <w:widowControl w:val="0"/>
        <w:spacing w:line="360" w:lineRule="auto"/>
        <w:ind w:firstLine="420" w:firstLineChars="200"/>
        <w:rPr>
          <w:color w:val="auto"/>
          <w:highlight w:val="none"/>
        </w:rPr>
      </w:pPr>
      <w:r>
        <w:rPr>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5"/>
        <w:rPr>
          <w:rFonts w:ascii="Times New Roman" w:hAnsi="Times New Roman" w:eastAsia="黑体"/>
          <w:b w:val="0"/>
          <w:bCs w:val="0"/>
          <w:color w:val="auto"/>
          <w:sz w:val="24"/>
          <w:highlight w:val="none"/>
        </w:rPr>
      </w:pPr>
      <w:bookmarkStart w:id="169" w:name="_Toc300678048"/>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 xml:space="preserve"> 对与评标活动有关的工作人员的纪律要求</w:t>
      </w:r>
      <w:bookmarkEnd w:id="169"/>
    </w:p>
    <w:p>
      <w:pPr>
        <w:pStyle w:val="74"/>
        <w:widowControl w:val="0"/>
        <w:spacing w:line="360" w:lineRule="auto"/>
        <w:ind w:firstLine="420" w:firstLineChars="20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rPr>
          <w:rFonts w:hint="eastAsia" w:ascii="Calibri" w:hAnsi="Calibri"/>
          <w:b w:val="0"/>
          <w:color w:val="auto"/>
          <w:kern w:val="0"/>
          <w:szCs w:val="21"/>
          <w:highlight w:val="none"/>
        </w:rPr>
      </w:pPr>
      <w:bookmarkStart w:id="170" w:name="_Toc300678049"/>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4</w:t>
      </w:r>
      <w:r>
        <w:rPr>
          <w:rFonts w:ascii="Times New Roman" w:hAnsi="Times New Roman" w:eastAsia="黑体"/>
          <w:b w:val="0"/>
          <w:bCs w:val="0"/>
          <w:color w:val="auto"/>
          <w:sz w:val="24"/>
          <w:highlight w:val="none"/>
        </w:rPr>
        <w:t xml:space="preserve"> </w:t>
      </w:r>
      <w:r>
        <w:rPr>
          <w:rFonts w:hint="eastAsia" w:ascii="Calibri" w:hAnsi="Calibri"/>
          <w:b w:val="0"/>
          <w:color w:val="auto"/>
          <w:kern w:val="0"/>
          <w:szCs w:val="21"/>
          <w:highlight w:val="none"/>
        </w:rPr>
        <w:t>异议和投诉</w:t>
      </w:r>
      <w:bookmarkEnd w:id="170"/>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9.4.1投标人或者其他利害关系人就下列事项投诉的，应当按照相关规定向招标人提出异议：</w:t>
      </w:r>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(1)认为招标文件不符合相关法律法规规范性文件规定，应当在投标截止时间10日前向招标人提出异议；</w:t>
      </w:r>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(2)认为开标活动不符合相关法律法规规范性文件规定的，应当在开标现场提出异议；</w:t>
      </w:r>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(3)对评标结果有异议的，在中标候选人公示期以书面形式向招标人提出；</w:t>
      </w:r>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投标人或利害关系人不满意招标人的答复或者认为招标人处理不当的，可以向本项目的招标投标行政监督部门投诉。</w:t>
      </w:r>
      <w:bookmarkStart w:id="171" w:name="_Toc300678050"/>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9.4.2投标人或者其他利害关系人认为本次招标活动违反法律法规规范性文件规定的，可以在知道或者应当知道之日起10日内向本项目的招标投标行政监督部门投诉。</w:t>
      </w:r>
    </w:p>
    <w:p>
      <w:pPr>
        <w:pStyle w:val="74"/>
        <w:widowControl w:val="0"/>
        <w:adjustRightInd w:val="0"/>
        <w:snapToGrid w:val="0"/>
        <w:spacing w:line="360" w:lineRule="auto"/>
        <w:ind w:firstLine="420" w:firstLineChars="200"/>
        <w:jc w:val="left"/>
        <w:rPr>
          <w:rFonts w:hint="eastAsia"/>
          <w:bCs/>
          <w:color w:val="auto"/>
          <w:kern w:val="0"/>
          <w:highlight w:val="none"/>
          <w:shd w:val="clear" w:color="auto" w:fill="FFFFFF"/>
        </w:rPr>
      </w:pPr>
      <w:r>
        <w:rPr>
          <w:rFonts w:hint="eastAsia"/>
          <w:bCs/>
          <w:color w:val="auto"/>
          <w:kern w:val="0"/>
          <w:highlight w:val="none"/>
          <w:shd w:val="clear" w:color="auto" w:fill="FFFFFF"/>
        </w:rPr>
        <w:t xml:space="preserve">9.4.3有关信用评价信息弄虚作假的异议，按《湖南省房屋建筑和市政基础设施工程施工及监理招标投标信用评价管理暂行办法》处理。经核实后影响到中标结果的，依法取消其中标资格。 </w:t>
      </w:r>
    </w:p>
    <w:p>
      <w:pPr>
        <w:pStyle w:val="3"/>
        <w:spacing w:before="0" w:after="0" w:line="360" w:lineRule="auto"/>
        <w:rPr>
          <w:rFonts w:ascii="Times New Roman" w:hAnsi="Times New Roman" w:eastAsia="黑体"/>
          <w:b w:val="0"/>
          <w:bCs w:val="0"/>
          <w:color w:val="auto"/>
          <w:sz w:val="30"/>
          <w:highlight w:val="none"/>
        </w:rPr>
      </w:pPr>
      <w:bookmarkStart w:id="172" w:name="_Toc80006098"/>
      <w:bookmarkStart w:id="173" w:name="_Toc9178527"/>
      <w:bookmarkStart w:id="174" w:name="_Toc80006208"/>
      <w:r>
        <w:rPr>
          <w:rFonts w:ascii="Times New Roman" w:hAnsi="Times New Roman" w:eastAsia="黑体"/>
          <w:b w:val="0"/>
          <w:bCs w:val="0"/>
          <w:color w:val="auto"/>
          <w:sz w:val="30"/>
          <w:highlight w:val="none"/>
        </w:rPr>
        <w:t>10.需要补充的其他内容</w:t>
      </w:r>
      <w:bookmarkEnd w:id="171"/>
      <w:bookmarkEnd w:id="172"/>
      <w:bookmarkEnd w:id="173"/>
      <w:bookmarkEnd w:id="174"/>
    </w:p>
    <w:p>
      <w:pPr>
        <w:pStyle w:val="74"/>
        <w:widowControl w:val="0"/>
        <w:spacing w:line="360" w:lineRule="auto"/>
        <w:ind w:firstLine="420" w:firstLineChars="200"/>
        <w:rPr>
          <w:color w:val="auto"/>
          <w:highlight w:val="none"/>
        </w:rPr>
      </w:pPr>
      <w:r>
        <w:rPr>
          <w:color w:val="auto"/>
          <w:highlight w:val="none"/>
        </w:rPr>
        <w:t>需要补充的其他内容：见投标人须知前附表。</w:t>
      </w:r>
    </w:p>
    <w:p>
      <w:pPr>
        <w:spacing w:line="360" w:lineRule="auto"/>
        <w:ind w:firstLine="420" w:firstLineChars="200"/>
        <w:rPr>
          <w:color w:val="auto"/>
          <w:highlight w:val="none"/>
        </w:rPr>
      </w:pPr>
    </w:p>
    <w:p>
      <w:pPr>
        <w:spacing w:line="400" w:lineRule="exact"/>
        <w:rPr>
          <w:color w:val="auto"/>
          <w:sz w:val="24"/>
          <w:highlight w:val="none"/>
        </w:rPr>
      </w:pPr>
      <w:bookmarkStart w:id="175" w:name="_Toc300678051"/>
    </w:p>
    <w:p>
      <w:pPr>
        <w:spacing w:line="400" w:lineRule="exact"/>
        <w:rPr>
          <w:rStyle w:val="52"/>
          <w:rFonts w:ascii="Times New Roman" w:hAnsi="Times New Roman" w:eastAsia="黑体"/>
          <w:b w:val="0"/>
          <w:color w:val="auto"/>
          <w:sz w:val="24"/>
          <w:highlight w:val="none"/>
        </w:rPr>
        <w:sectPr>
          <w:pgSz w:w="11907" w:h="16840"/>
          <w:pgMar w:top="1418" w:right="1418" w:bottom="1418" w:left="1418" w:header="851" w:footer="850" w:gutter="0"/>
          <w:cols w:space="720" w:num="1"/>
          <w:docGrid w:linePitch="312" w:charSpace="0"/>
        </w:sectPr>
      </w:pPr>
    </w:p>
    <w:bookmarkEnd w:id="175"/>
    <w:p>
      <w:pPr>
        <w:snapToGrid w:val="0"/>
        <w:spacing w:line="360" w:lineRule="auto"/>
        <w:jc w:val="left"/>
        <w:rPr>
          <w:rStyle w:val="52"/>
          <w:rFonts w:ascii="Times New Roman" w:hAnsi="Times New Roman" w:eastAsia="黑体"/>
          <w:b w:val="0"/>
          <w:color w:val="auto"/>
          <w:sz w:val="24"/>
          <w:highlight w:val="none"/>
        </w:rPr>
      </w:pPr>
      <w:bookmarkStart w:id="176" w:name="_Toc300678057"/>
      <w:r>
        <w:rPr>
          <w:rStyle w:val="52"/>
          <w:rFonts w:ascii="Times New Roman" w:hAnsi="Times New Roman" w:eastAsia="黑体"/>
          <w:b w:val="0"/>
          <w:color w:val="auto"/>
          <w:sz w:val="24"/>
          <w:highlight w:val="none"/>
        </w:rPr>
        <w:t>附件2-1：电子投标文件编制及报送要求</w:t>
      </w:r>
      <w:bookmarkEnd w:id="176"/>
    </w:p>
    <w:p>
      <w:pPr>
        <w:spacing w:before="472" w:beforeLines="150" w:after="472" w:afterLines="150" w:line="420" w:lineRule="exact"/>
        <w:jc w:val="center"/>
        <w:rPr>
          <w:rFonts w:eastAsia="黑体"/>
          <w:color w:val="auto"/>
          <w:sz w:val="28"/>
          <w:szCs w:val="28"/>
          <w:highlight w:val="none"/>
        </w:rPr>
      </w:pPr>
      <w:r>
        <w:rPr>
          <w:rFonts w:eastAsia="黑体"/>
          <w:color w:val="auto"/>
          <w:sz w:val="28"/>
          <w:szCs w:val="28"/>
          <w:highlight w:val="none"/>
        </w:rPr>
        <w:t>电子投标文件编制及报送要求</w:t>
      </w:r>
    </w:p>
    <w:p>
      <w:pPr>
        <w:adjustRightInd w:val="0"/>
        <w:snapToGrid w:val="0"/>
        <w:spacing w:line="360" w:lineRule="auto"/>
        <w:ind w:firstLine="420" w:firstLineChars="200"/>
        <w:rPr>
          <w:color w:val="auto"/>
          <w:szCs w:val="21"/>
          <w:highlight w:val="none"/>
        </w:rPr>
      </w:pPr>
      <w:r>
        <w:rPr>
          <w:rFonts w:hint="eastAsia"/>
          <w:color w:val="auto"/>
          <w:szCs w:val="21"/>
          <w:highlight w:val="none"/>
        </w:rPr>
        <w:t>说明</w:t>
      </w:r>
      <w:r>
        <w:rPr>
          <w:color w:val="auto"/>
          <w:szCs w:val="21"/>
          <w:highlight w:val="none"/>
        </w:rPr>
        <w:t>：采用计算机辅助评标，包括采用电子化招标投标的，本附表应当作为“投标人须知”的附件，由招标人根据各地和招标项目的具体情况给予规定。</w:t>
      </w:r>
    </w:p>
    <w:p>
      <w:pPr>
        <w:spacing w:line="312" w:lineRule="auto"/>
        <w:rPr>
          <w:rFonts w:ascii="Times New Roman" w:hAnsi="Times New Roman" w:eastAsia="黑体"/>
          <w:b w:val="0"/>
          <w:bCs w:val="0"/>
          <w:color w:val="auto"/>
          <w:sz w:val="24"/>
          <w:highlight w:val="none"/>
        </w:rPr>
      </w:pPr>
      <w:bookmarkStart w:id="177" w:name="_Toc300678058"/>
    </w:p>
    <w:p>
      <w:pPr>
        <w:spacing w:line="312" w:lineRule="auto"/>
        <w:rPr>
          <w:rFonts w:ascii="Times New Roman" w:hAnsi="Times New Roman" w:eastAsia="黑体"/>
          <w:b w:val="0"/>
          <w:bCs w:val="0"/>
          <w:color w:val="auto"/>
          <w:sz w:val="24"/>
          <w:highlight w:val="none"/>
        </w:rPr>
      </w:pPr>
    </w:p>
    <w:p>
      <w:pPr>
        <w:spacing w:line="312" w:lineRule="auto"/>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附件2-2：否决投标</w:t>
      </w:r>
      <w:r>
        <w:rPr>
          <w:rFonts w:hint="eastAsia" w:ascii="Times New Roman" w:hAnsi="Times New Roman" w:eastAsia="黑体"/>
          <w:b w:val="0"/>
          <w:bCs w:val="0"/>
          <w:color w:val="auto"/>
          <w:sz w:val="24"/>
          <w:highlight w:val="none"/>
        </w:rPr>
        <w:t>的</w:t>
      </w:r>
      <w:r>
        <w:rPr>
          <w:rFonts w:ascii="Times New Roman" w:hAnsi="Times New Roman" w:eastAsia="黑体"/>
          <w:b w:val="0"/>
          <w:bCs w:val="0"/>
          <w:color w:val="auto"/>
          <w:sz w:val="24"/>
          <w:highlight w:val="none"/>
        </w:rPr>
        <w:t>情形</w:t>
      </w:r>
    </w:p>
    <w:p>
      <w:pPr>
        <w:pStyle w:val="5"/>
        <w:ind w:firstLine="3609" w:firstLineChars="1289"/>
        <w:rPr>
          <w:rFonts w:ascii="Times New Roman" w:hAnsi="Times New Roman" w:eastAsia="黑体"/>
          <w:b w:val="0"/>
          <w:bCs w:val="0"/>
          <w:color w:val="auto"/>
          <w:sz w:val="24"/>
          <w:highlight w:val="none"/>
        </w:rPr>
      </w:pPr>
      <w:r>
        <w:rPr>
          <w:rFonts w:ascii="Times New Roman" w:hAnsi="Times New Roman" w:eastAsia="黑体"/>
          <w:b w:val="0"/>
          <w:color w:val="auto"/>
          <w:sz w:val="28"/>
          <w:highlight w:val="none"/>
        </w:rPr>
        <w:t>否决投标</w:t>
      </w:r>
      <w:r>
        <w:rPr>
          <w:rFonts w:hint="eastAsia" w:ascii="Times New Roman" w:hAnsi="Times New Roman" w:eastAsia="黑体"/>
          <w:b w:val="0"/>
          <w:color w:val="auto"/>
          <w:sz w:val="28"/>
          <w:highlight w:val="none"/>
        </w:rPr>
        <w:t>的</w:t>
      </w:r>
      <w:r>
        <w:rPr>
          <w:rFonts w:ascii="Times New Roman" w:hAnsi="Times New Roman" w:eastAsia="黑体"/>
          <w:b w:val="0"/>
          <w:color w:val="auto"/>
          <w:sz w:val="28"/>
          <w:highlight w:val="none"/>
        </w:rPr>
        <w:t>情形</w:t>
      </w:r>
    </w:p>
    <w:p>
      <w:pPr>
        <w:adjustRightInd w:val="0"/>
        <w:snapToGrid w:val="0"/>
        <w:spacing w:line="360" w:lineRule="auto"/>
        <w:ind w:firstLine="420" w:firstLineChars="200"/>
        <w:rPr>
          <w:color w:val="auto"/>
          <w:szCs w:val="21"/>
          <w:highlight w:val="none"/>
        </w:rPr>
      </w:pPr>
      <w:r>
        <w:rPr>
          <w:color w:val="auto"/>
          <w:szCs w:val="21"/>
          <w:highlight w:val="none"/>
        </w:rPr>
        <w:t>本附件所集中列示的否决投标情形，是“评标办法”的组成部分，是对“投标人须知”和评标办法规定的否决投标情形的总结和补充，如果出现相互矛盾的情况，以本附件所集中列示</w:t>
      </w:r>
      <w:r>
        <w:rPr>
          <w:rFonts w:hint="eastAsia"/>
          <w:color w:val="auto"/>
          <w:szCs w:val="21"/>
          <w:highlight w:val="none"/>
        </w:rPr>
        <w:t>的</w:t>
      </w:r>
      <w:r>
        <w:rPr>
          <w:color w:val="auto"/>
          <w:szCs w:val="21"/>
          <w:highlight w:val="none"/>
        </w:rPr>
        <w:t>为准。</w:t>
      </w:r>
      <w:r>
        <w:rPr>
          <w:rFonts w:hint="eastAsia"/>
          <w:color w:val="auto"/>
          <w:szCs w:val="21"/>
          <w:highlight w:val="none"/>
          <w:lang w:val="en-US" w:eastAsia="zh-CN"/>
        </w:rPr>
        <w:t>未列入本附件所列情形的，不得作为否决投标的依据。</w:t>
      </w:r>
    </w:p>
    <w:p>
      <w:pPr>
        <w:pStyle w:val="134"/>
        <w:adjustRightInd w:val="0"/>
        <w:snapToGrid w:val="0"/>
        <w:spacing w:line="360" w:lineRule="auto"/>
        <w:ind w:firstLineChars="0"/>
        <w:rPr>
          <w:rFonts w:ascii="Times New Roman" w:hAnsi="Times New Roman"/>
          <w:color w:val="auto"/>
          <w:szCs w:val="21"/>
          <w:highlight w:val="none"/>
        </w:rPr>
      </w:pPr>
      <w:r>
        <w:rPr>
          <w:rFonts w:ascii="Times New Roman" w:hAnsi="Times New Roman"/>
          <w:color w:val="auto"/>
          <w:szCs w:val="21"/>
          <w:highlight w:val="none"/>
        </w:rPr>
        <w:t>投标人或其投标文件有下列情形之一的，其投标应当予以否决：</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 有本章“投标人须知”第1.4.3项规定的任何一种情形的；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 投标人以他人名义投标、串通投标、以行贿手段谋取中标的；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3</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投标人资格条件不符合国家有关规定或者招标文件要求的，或者拒不按照要求对投标文件</w:t>
      </w:r>
      <w:r>
        <w:rPr>
          <w:rFonts w:ascii="Times New Roman" w:hAnsi="Times New Roman" w:eastAsia="宋体" w:cs="Times New Roman"/>
          <w:color w:val="auto"/>
          <w:szCs w:val="21"/>
          <w:highlight w:val="none"/>
        </w:rPr>
        <w:t>进行澄清、说明或补正</w:t>
      </w:r>
      <w:r>
        <w:rPr>
          <w:rFonts w:hint="eastAsia" w:cs="Times New Roman"/>
          <w:color w:val="auto"/>
          <w:szCs w:val="21"/>
          <w:highlight w:val="none"/>
          <w:lang w:val="en-US" w:eastAsia="zh-CN"/>
        </w:rPr>
        <w:t>的</w:t>
      </w:r>
      <w:r>
        <w:rPr>
          <w:rFonts w:ascii="Times New Roman" w:hAnsi="Times New Roman" w:eastAsia="宋体" w:cs="Times New Roman"/>
          <w:color w:val="auto"/>
          <w:szCs w:val="21"/>
          <w:highlight w:val="none"/>
        </w:rPr>
        <w:t>，或者其说明补正无法证明其为合格投标人的；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1.4</w:t>
      </w:r>
      <w:r>
        <w:rPr>
          <w:rFonts w:ascii="Times New Roman" w:hAnsi="Times New Roman" w:eastAsia="宋体" w:cs="Times New Roman"/>
          <w:color w:val="auto"/>
          <w:szCs w:val="21"/>
          <w:highlight w:val="none"/>
        </w:rPr>
        <w:t>在形式评审、资格评审、响应性评审中，评标委员会认定投标文件不符合评标办法前附表规定</w:t>
      </w:r>
      <w:r>
        <w:rPr>
          <w:rFonts w:hint="eastAsia" w:ascii="Times New Roman" w:hAnsi="Times New Roman" w:eastAsia="宋体" w:cs="Times New Roman"/>
          <w:color w:val="auto"/>
          <w:szCs w:val="21"/>
          <w:highlight w:val="none"/>
        </w:rPr>
        <w:t>的任何一项</w:t>
      </w:r>
      <w:r>
        <w:rPr>
          <w:rFonts w:ascii="Times New Roman" w:hAnsi="Times New Roman" w:eastAsia="宋体" w:cs="Times New Roman"/>
          <w:color w:val="auto"/>
          <w:szCs w:val="21"/>
          <w:highlight w:val="none"/>
        </w:rPr>
        <w:t>评审标准的</w:t>
      </w:r>
      <w:r>
        <w:rPr>
          <w:rFonts w:hint="eastAsia" w:ascii="Times New Roman" w:hAnsi="Times New Roman" w:eastAsia="宋体" w:cs="Times New Roman"/>
          <w:color w:val="auto"/>
          <w:szCs w:val="21"/>
          <w:highlight w:val="none"/>
          <w:lang w:eastAsia="zh-CN"/>
        </w:rPr>
        <w:t>；</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1.5 已进行资格预审的，当投标人资格申请文件的内容发生重大变化时，其在投标文件中更新的资料，未能通过资格评审的；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6</w:t>
      </w:r>
      <w:r>
        <w:rPr>
          <w:rFonts w:ascii="Times New Roman" w:hAnsi="Times New Roman" w:eastAsia="宋体" w:cs="Times New Roman"/>
          <w:color w:val="auto"/>
          <w:szCs w:val="21"/>
          <w:highlight w:val="none"/>
        </w:rPr>
        <w:t>评标委员会认定投标人以低于成本报价竞标的；</w:t>
      </w:r>
    </w:p>
    <w:p>
      <w:pPr>
        <w:adjustRightInd w:val="0"/>
        <w:snapToGrid w:val="0"/>
        <w:spacing w:line="360" w:lineRule="auto"/>
        <w:ind w:firstLine="420" w:firstLineChars="200"/>
        <w:rPr>
          <w:rFonts w:hint="eastAsia"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 xml:space="preserve">1.7 </w:t>
      </w:r>
      <w:r>
        <w:rPr>
          <w:rFonts w:hint="eastAsia"/>
          <w:bCs/>
          <w:color w:val="auto"/>
          <w:highlight w:val="none"/>
          <w:lang w:val="en-US" w:eastAsia="zh-CN"/>
        </w:rPr>
        <w:t>施工组织设计采用合格性评审，</w:t>
      </w:r>
      <w:r>
        <w:rPr>
          <w:rFonts w:hint="eastAsia" w:ascii="Times New Roman" w:hAnsi="Times New Roman" w:eastAsia="宋体" w:cs="Times New Roman"/>
          <w:bCs/>
          <w:color w:val="auto"/>
          <w:highlight w:val="none"/>
          <w:lang w:val="en-US" w:eastAsia="zh-CN"/>
        </w:rPr>
        <w:t>被评标委员会认定为不合格的；</w:t>
      </w:r>
    </w:p>
    <w:p>
      <w:pPr>
        <w:adjustRightInd w:val="0"/>
        <w:snapToGrid w:val="0"/>
        <w:spacing w:line="360" w:lineRule="auto"/>
        <w:ind w:firstLine="420" w:firstLineChars="200"/>
        <w:rPr>
          <w:color w:val="auto"/>
          <w:szCs w:val="21"/>
          <w:highlight w:val="none"/>
        </w:rPr>
      </w:pPr>
      <w:r>
        <w:rPr>
          <w:color w:val="auto"/>
          <w:highlight w:val="none"/>
        </w:rPr>
        <w:t>1.</w:t>
      </w:r>
      <w:r>
        <w:rPr>
          <w:rFonts w:hint="eastAsia"/>
          <w:color w:val="auto"/>
          <w:highlight w:val="none"/>
          <w:lang w:val="en-US" w:eastAsia="zh-CN"/>
        </w:rPr>
        <w:t>8</w:t>
      </w:r>
      <w:r>
        <w:rPr>
          <w:color w:val="auto"/>
          <w:highlight w:val="none"/>
        </w:rPr>
        <w:t>投标报价有错误的，评标委员会按评标办法</w:t>
      </w:r>
      <w:r>
        <w:rPr>
          <w:rFonts w:hint="eastAsia"/>
          <w:color w:val="auto"/>
          <w:highlight w:val="none"/>
        </w:rPr>
        <w:t>“</w:t>
      </w:r>
      <w:r>
        <w:rPr>
          <w:color w:val="auto"/>
          <w:highlight w:val="none"/>
        </w:rPr>
        <w:t>附件3</w:t>
      </w:r>
      <w:r>
        <w:rPr>
          <w:color w:val="auto"/>
          <w:sz w:val="18"/>
          <w:szCs w:val="21"/>
          <w:highlight w:val="none"/>
        </w:rPr>
        <w:t>-</w:t>
      </w:r>
      <w:r>
        <w:rPr>
          <w:color w:val="auto"/>
          <w:highlight w:val="none"/>
        </w:rPr>
        <w:t>1评标详细程序</w:t>
      </w:r>
      <w:r>
        <w:rPr>
          <w:rFonts w:hint="eastAsia"/>
          <w:color w:val="auto"/>
          <w:highlight w:val="none"/>
        </w:rPr>
        <w:t>”</w:t>
      </w:r>
      <w:r>
        <w:rPr>
          <w:color w:val="auto"/>
          <w:highlight w:val="none"/>
        </w:rPr>
        <w:t>的有关规定对投标报价进行修正，</w:t>
      </w:r>
      <w:r>
        <w:rPr>
          <w:bCs/>
          <w:color w:val="auto"/>
          <w:highlight w:val="none"/>
        </w:rPr>
        <w:t>并要求投标人</w:t>
      </w:r>
      <w:r>
        <w:rPr>
          <w:rFonts w:hint="eastAsia"/>
          <w:bCs/>
          <w:color w:val="auto"/>
          <w:highlight w:val="none"/>
        </w:rPr>
        <w:t>作出</w:t>
      </w:r>
      <w:r>
        <w:rPr>
          <w:bCs/>
          <w:color w:val="auto"/>
          <w:highlight w:val="none"/>
        </w:rPr>
        <w:t>澄清</w:t>
      </w:r>
      <w:r>
        <w:rPr>
          <w:rFonts w:hint="eastAsia"/>
          <w:bCs/>
          <w:color w:val="auto"/>
          <w:highlight w:val="none"/>
        </w:rPr>
        <w:t>说明和</w:t>
      </w:r>
      <w:r>
        <w:rPr>
          <w:bCs/>
          <w:color w:val="auto"/>
          <w:highlight w:val="none"/>
        </w:rPr>
        <w:t>确认</w:t>
      </w:r>
      <w:r>
        <w:rPr>
          <w:rFonts w:hint="eastAsia"/>
          <w:bCs/>
          <w:color w:val="auto"/>
          <w:highlight w:val="none"/>
        </w:rPr>
        <w:t>，</w:t>
      </w:r>
      <w:r>
        <w:rPr>
          <w:bCs/>
          <w:color w:val="auto"/>
          <w:highlight w:val="none"/>
        </w:rPr>
        <w:t>投标人拒不</w:t>
      </w:r>
      <w:r>
        <w:rPr>
          <w:rFonts w:hint="eastAsia"/>
          <w:bCs/>
          <w:color w:val="auto"/>
          <w:highlight w:val="none"/>
        </w:rPr>
        <w:t>作出</w:t>
      </w:r>
      <w:r>
        <w:rPr>
          <w:bCs/>
          <w:color w:val="auto"/>
          <w:highlight w:val="none"/>
        </w:rPr>
        <w:t>澄清</w:t>
      </w:r>
      <w:r>
        <w:rPr>
          <w:rFonts w:hint="eastAsia"/>
          <w:bCs/>
          <w:color w:val="auto"/>
          <w:highlight w:val="none"/>
        </w:rPr>
        <w:t>说明和</w:t>
      </w:r>
      <w:r>
        <w:rPr>
          <w:bCs/>
          <w:color w:val="auto"/>
          <w:highlight w:val="none"/>
        </w:rPr>
        <w:t>确认的</w:t>
      </w:r>
      <w:r>
        <w:rPr>
          <w:color w:val="auto"/>
          <w:highlight w:val="none"/>
        </w:rPr>
        <w:t>；</w:t>
      </w:r>
    </w:p>
    <w:p>
      <w:pPr>
        <w:adjustRightInd w:val="0"/>
        <w:snapToGrid w:val="0"/>
        <w:spacing w:line="360" w:lineRule="auto"/>
        <w:ind w:firstLine="420" w:firstLineChars="200"/>
        <w:rPr>
          <w:rFonts w:hint="eastAsia"/>
          <w:bCs/>
          <w:color w:val="auto"/>
          <w:highlight w:val="none"/>
        </w:rPr>
      </w:pPr>
      <w:r>
        <w:rPr>
          <w:color w:val="auto"/>
          <w:highlight w:val="none"/>
        </w:rPr>
        <w:t>1.</w:t>
      </w:r>
      <w:r>
        <w:rPr>
          <w:rFonts w:hint="eastAsia"/>
          <w:color w:val="auto"/>
          <w:highlight w:val="none"/>
          <w:lang w:val="en-US" w:eastAsia="zh-CN"/>
        </w:rPr>
        <w:t>9</w:t>
      </w:r>
      <w:r>
        <w:rPr>
          <w:color w:val="auto"/>
          <w:highlight w:val="none"/>
        </w:rPr>
        <w:t xml:space="preserve"> </w:t>
      </w:r>
      <w:r>
        <w:rPr>
          <w:rFonts w:hint="eastAsia"/>
          <w:bCs/>
          <w:color w:val="auto"/>
          <w:highlight w:val="none"/>
        </w:rPr>
        <w:t>投标文件存在弄虚作假或者隐瞒事实，或者未按照招标文件要求如实提供有关情况和文件。被列为中标候选人的，应当取消其中标候选人资格。</w:t>
      </w:r>
    </w:p>
    <w:p>
      <w:pPr>
        <w:adjustRightInd w:val="0"/>
        <w:snapToGrid w:val="0"/>
        <w:spacing w:line="360" w:lineRule="auto"/>
        <w:ind w:firstLine="420" w:firstLineChars="200"/>
        <w:rPr>
          <w:rFonts w:hint="eastAsia"/>
          <w:bCs/>
          <w:color w:val="auto"/>
          <w:highlight w:val="none"/>
        </w:rPr>
      </w:pPr>
    </w:p>
    <w:p>
      <w:pPr>
        <w:spacing w:line="360" w:lineRule="auto"/>
        <w:ind w:firstLine="420" w:firstLineChars="200"/>
        <w:rPr>
          <w:bCs/>
          <w:color w:val="auto"/>
          <w:highlight w:val="none"/>
        </w:rPr>
      </w:pPr>
      <w:r>
        <w:rPr>
          <w:bCs/>
          <w:color w:val="auto"/>
          <w:highlight w:val="none"/>
        </w:rPr>
        <w:t xml:space="preserve"> ……</w:t>
      </w:r>
    </w:p>
    <w:p>
      <w:pPr>
        <w:adjustRightInd w:val="0"/>
        <w:snapToGrid w:val="0"/>
        <w:spacing w:line="440" w:lineRule="exact"/>
        <w:ind w:left="-441" w:leftChars="-210" w:right="-798" w:rightChars="-380" w:firstLine="441" w:firstLineChars="210"/>
        <w:jc w:val="left"/>
        <w:rPr>
          <w:rFonts w:eastAsia="黑体"/>
          <w:bCs/>
          <w:color w:val="auto"/>
          <w:sz w:val="24"/>
          <w:highlight w:val="none"/>
        </w:rPr>
      </w:pPr>
      <w:r>
        <w:rPr>
          <w:rFonts w:eastAsia="楷体_GB2312"/>
          <w:color w:val="auto"/>
          <w:szCs w:val="21"/>
          <w:highlight w:val="none"/>
        </w:rPr>
        <w:br w:type="page"/>
      </w:r>
      <w:bookmarkStart w:id="178" w:name="_Toc300678073"/>
      <w:r>
        <w:rPr>
          <w:rFonts w:eastAsia="黑体"/>
          <w:bCs/>
          <w:color w:val="auto"/>
          <w:sz w:val="24"/>
          <w:highlight w:val="none"/>
        </w:rPr>
        <w:t>附件2-3：投标报价成本评审办法</w:t>
      </w:r>
      <w:bookmarkEnd w:id="178"/>
    </w:p>
    <w:p>
      <w:pPr>
        <w:spacing w:before="315" w:beforeLines="100" w:after="157" w:afterLines="50" w:line="430" w:lineRule="exact"/>
        <w:jc w:val="center"/>
        <w:rPr>
          <w:rFonts w:eastAsia="黑体"/>
          <w:color w:val="auto"/>
          <w:sz w:val="28"/>
          <w:szCs w:val="28"/>
          <w:highlight w:val="none"/>
        </w:rPr>
      </w:pPr>
      <w:r>
        <w:rPr>
          <w:rFonts w:eastAsia="黑体"/>
          <w:color w:val="auto"/>
          <w:sz w:val="28"/>
          <w:szCs w:val="28"/>
          <w:highlight w:val="none"/>
        </w:rPr>
        <w:t>投标报价成本评审办法</w:t>
      </w:r>
    </w:p>
    <w:p>
      <w:pPr>
        <w:spacing w:line="380" w:lineRule="exact"/>
        <w:ind w:firstLine="420" w:firstLineChars="200"/>
        <w:rPr>
          <w:color w:val="auto"/>
          <w:highlight w:val="none"/>
        </w:rPr>
      </w:pPr>
      <w:r>
        <w:rPr>
          <w:color w:val="auto"/>
          <w:highlight w:val="none"/>
        </w:rPr>
        <w:t>本附件是“评标办法”的组成部分，评标委员会对投标人投标报价成本评审比较时，适用本办法。</w:t>
      </w:r>
    </w:p>
    <w:p>
      <w:pPr>
        <w:tabs>
          <w:tab w:val="left" w:pos="312"/>
        </w:tabs>
        <w:spacing w:line="380" w:lineRule="exact"/>
        <w:ind w:firstLine="420" w:firstLineChars="200"/>
        <w:rPr>
          <w:bCs/>
          <w:color w:val="auto"/>
          <w:highlight w:val="none"/>
        </w:rPr>
      </w:pPr>
      <w:r>
        <w:rPr>
          <w:bCs/>
          <w:color w:val="auto"/>
          <w:highlight w:val="none"/>
        </w:rPr>
        <w:t>1.启动成本评审工作的前提条件</w:t>
      </w:r>
    </w:p>
    <w:p>
      <w:pPr>
        <w:spacing w:line="380" w:lineRule="exact"/>
        <w:ind w:firstLine="420" w:firstLineChars="200"/>
        <w:rPr>
          <w:color w:val="auto"/>
          <w:highlight w:val="none"/>
        </w:rPr>
      </w:pPr>
      <w:r>
        <w:rPr>
          <w:color w:val="auto"/>
          <w:highlight w:val="none"/>
        </w:rPr>
        <w:t>在满足下列</w:t>
      </w:r>
      <w:r>
        <w:rPr>
          <w:rFonts w:hint="eastAsia"/>
          <w:color w:val="auto"/>
          <w:highlight w:val="none"/>
          <w:lang w:val="en-US" w:eastAsia="zh-CN"/>
        </w:rPr>
        <w:t>三</w:t>
      </w:r>
      <w:r>
        <w:rPr>
          <w:color w:val="auto"/>
          <w:highlight w:val="none"/>
        </w:rPr>
        <w:t>项条件的前提下，评标委员会应当启动成本评审，以判断投标人的投标报价是否低于其成本：</w:t>
      </w:r>
    </w:p>
    <w:p>
      <w:pPr>
        <w:spacing w:line="380" w:lineRule="exact"/>
        <w:ind w:firstLine="420" w:firstLineChars="200"/>
        <w:rPr>
          <w:color w:val="auto"/>
          <w:highlight w:val="none"/>
        </w:rPr>
      </w:pPr>
      <w:r>
        <w:rPr>
          <w:color w:val="auto"/>
          <w:highlight w:val="none"/>
        </w:rPr>
        <w:t>1.1 投标人的投标文件已经通过“</w:t>
      </w:r>
      <w:r>
        <w:rPr>
          <w:rFonts w:hint="eastAsia"/>
          <w:color w:val="auto"/>
          <w:highlight w:val="none"/>
          <w:lang w:val="en-US" w:eastAsia="zh-CN"/>
        </w:rPr>
        <w:t>形式、资格、响应性评审</w:t>
      </w:r>
      <w:r>
        <w:rPr>
          <w:color w:val="auto"/>
          <w:highlight w:val="none"/>
        </w:rPr>
        <w:t>”</w:t>
      </w:r>
      <w:r>
        <w:rPr>
          <w:rFonts w:hint="eastAsia"/>
          <w:color w:val="auto"/>
          <w:highlight w:val="none"/>
          <w:lang w:eastAsia="zh-CN"/>
        </w:rPr>
        <w:t>；</w:t>
      </w:r>
    </w:p>
    <w:p>
      <w:pPr>
        <w:spacing w:line="380" w:lineRule="exact"/>
        <w:ind w:firstLine="420" w:firstLineChars="200"/>
        <w:rPr>
          <w:rFonts w:hint="default" w:eastAsia="宋体"/>
          <w:color w:val="auto"/>
          <w:highlight w:val="none"/>
          <w:lang w:val="en-US" w:eastAsia="zh-CN"/>
        </w:rPr>
      </w:pPr>
      <w:r>
        <w:rPr>
          <w:rFonts w:hint="eastAsia"/>
          <w:color w:val="auto"/>
          <w:highlight w:val="none"/>
          <w:lang w:val="en-US" w:eastAsia="zh-CN"/>
        </w:rPr>
        <w:t xml:space="preserve">1.2 </w:t>
      </w:r>
      <w:r>
        <w:rPr>
          <w:color w:val="auto"/>
          <w:highlight w:val="none"/>
        </w:rPr>
        <w:t>投标人的施工组织设计</w:t>
      </w:r>
      <w:r>
        <w:rPr>
          <w:rFonts w:hint="eastAsia"/>
          <w:color w:val="auto"/>
          <w:highlight w:val="none"/>
          <w:lang w:val="en-US" w:eastAsia="zh-CN"/>
        </w:rPr>
        <w:t>通过合格制</w:t>
      </w:r>
      <w:r>
        <w:rPr>
          <w:color w:val="auto"/>
          <w:highlight w:val="none"/>
        </w:rPr>
        <w:t>评审</w:t>
      </w:r>
      <w:r>
        <w:rPr>
          <w:rFonts w:hint="eastAsia"/>
          <w:color w:val="auto"/>
          <w:highlight w:val="none"/>
          <w:lang w:val="en-US" w:eastAsia="zh-CN"/>
        </w:rPr>
        <w:t>的（如有）；</w:t>
      </w:r>
    </w:p>
    <w:p>
      <w:pPr>
        <w:spacing w:line="380" w:lineRule="exact"/>
        <w:ind w:firstLine="420" w:firstLineChars="200"/>
        <w:rPr>
          <w:rFonts w:hint="eastAsia" w:eastAsia="宋体"/>
          <w:color w:val="auto"/>
          <w:szCs w:val="21"/>
          <w:highlight w:val="none"/>
          <w:lang w:eastAsia="zh-CN"/>
        </w:rPr>
      </w:pPr>
      <w:r>
        <w:rPr>
          <w:color w:val="auto"/>
          <w:highlight w:val="none"/>
        </w:rPr>
        <w:t>1.</w:t>
      </w:r>
      <w:r>
        <w:rPr>
          <w:rFonts w:hint="eastAsia"/>
          <w:color w:val="auto"/>
          <w:highlight w:val="none"/>
          <w:lang w:val="en-US" w:eastAsia="zh-CN"/>
        </w:rPr>
        <w:t>3</w:t>
      </w:r>
      <w:r>
        <w:rPr>
          <w:color w:val="auto"/>
          <w:highlight w:val="none"/>
        </w:rPr>
        <w:t xml:space="preserve"> 投标人的投标报价低于</w:t>
      </w:r>
      <w:r>
        <w:rPr>
          <w:rFonts w:hint="eastAsia"/>
          <w:color w:val="auto"/>
          <w:highlight w:val="none"/>
          <w:lang w:val="en-US" w:eastAsia="zh-CN"/>
        </w:rPr>
        <w:t>报价评审警戒线的，报价评审警戒线为</w:t>
      </w:r>
      <w:r>
        <w:rPr>
          <w:rFonts w:hint="eastAsia"/>
          <w:color w:val="auto"/>
          <w:highlight w:val="none"/>
        </w:rPr>
        <w:t>进入报价评审的合格投标人投标报价算术平均值的95%</w:t>
      </w:r>
      <w:r>
        <w:rPr>
          <w:rFonts w:hint="eastAsia"/>
          <w:color w:val="auto"/>
          <w:kern w:val="0"/>
          <w:highlight w:val="none"/>
          <w:lang w:eastAsia="zh-CN"/>
        </w:rPr>
        <w:t>。</w:t>
      </w:r>
    </w:p>
    <w:p>
      <w:pPr>
        <w:spacing w:line="380" w:lineRule="exact"/>
        <w:ind w:firstLine="420" w:firstLineChars="200"/>
        <w:rPr>
          <w:bCs/>
          <w:color w:val="auto"/>
          <w:highlight w:val="none"/>
        </w:rPr>
      </w:pPr>
      <w:r>
        <w:rPr>
          <w:bCs/>
          <w:color w:val="auto"/>
          <w:highlight w:val="none"/>
        </w:rPr>
        <w:t>2.评审组织工作</w:t>
      </w:r>
    </w:p>
    <w:p>
      <w:pPr>
        <w:spacing w:line="380" w:lineRule="exact"/>
        <w:rPr>
          <w:bCs/>
          <w:color w:val="auto"/>
          <w:highlight w:val="none"/>
        </w:rPr>
      </w:pPr>
      <w:r>
        <w:rPr>
          <w:bCs/>
          <w:color w:val="auto"/>
          <w:highlight w:val="none"/>
        </w:rPr>
        <w:t xml:space="preserve"> </w:t>
      </w:r>
      <w:r>
        <w:rPr>
          <w:rFonts w:hint="eastAsia"/>
          <w:bCs/>
          <w:color w:val="auto"/>
          <w:highlight w:val="none"/>
        </w:rPr>
        <w:t xml:space="preserve">  </w:t>
      </w:r>
      <w:r>
        <w:rPr>
          <w:bCs/>
          <w:color w:val="auto"/>
          <w:highlight w:val="none"/>
        </w:rPr>
        <w:t xml:space="preserve"> 由评标委员会经济类专家组织实施</w:t>
      </w:r>
    </w:p>
    <w:p>
      <w:pPr>
        <w:spacing w:line="380" w:lineRule="exact"/>
        <w:ind w:firstLine="420" w:firstLineChars="200"/>
        <w:rPr>
          <w:bCs/>
          <w:color w:val="auto"/>
          <w:highlight w:val="none"/>
        </w:rPr>
      </w:pPr>
      <w:r>
        <w:rPr>
          <w:bCs/>
          <w:color w:val="auto"/>
          <w:highlight w:val="none"/>
        </w:rPr>
        <w:t>3.评审</w:t>
      </w:r>
      <w:r>
        <w:rPr>
          <w:rFonts w:hint="eastAsia"/>
          <w:bCs/>
          <w:color w:val="auto"/>
          <w:highlight w:val="none"/>
        </w:rPr>
        <w:t>方法及</w:t>
      </w:r>
      <w:r>
        <w:rPr>
          <w:bCs/>
          <w:color w:val="auto"/>
          <w:highlight w:val="none"/>
        </w:rPr>
        <w:t>标准</w:t>
      </w:r>
    </w:p>
    <w:p>
      <w:pPr>
        <w:adjustRightInd w:val="0"/>
        <w:snapToGrid w:val="0"/>
        <w:spacing w:line="380" w:lineRule="exact"/>
        <w:ind w:firstLine="420" w:firstLineChars="200"/>
        <w:rPr>
          <w:color w:val="auto"/>
          <w:kern w:val="0"/>
          <w:highlight w:val="none"/>
        </w:rPr>
      </w:pPr>
      <w:r>
        <w:rPr>
          <w:rFonts w:hint="eastAsia" w:ascii="宋体" w:hAnsi="宋体"/>
          <w:color w:val="auto"/>
          <w:kern w:val="0"/>
          <w:highlight w:val="none"/>
        </w:rPr>
        <w:t>对低于报价评审警戒线的投标报价按照招标文件规定的</w:t>
      </w:r>
      <w:r>
        <w:rPr>
          <w:rFonts w:hint="eastAsia"/>
          <w:color w:val="auto"/>
          <w:kern w:val="0"/>
          <w:highlight w:val="none"/>
        </w:rPr>
        <w:t>重点评审的工程量清单综合单价（含能计量的措施项目）和材料、设备单价（以下简称“重点评审单价”）的评审标准进行评审。</w:t>
      </w:r>
    </w:p>
    <w:p>
      <w:pPr>
        <w:adjustRightInd w:val="0"/>
        <w:snapToGrid w:val="0"/>
        <w:spacing w:line="380" w:lineRule="exact"/>
        <w:ind w:firstLine="420" w:firstLineChars="200"/>
        <w:rPr>
          <w:color w:val="auto"/>
          <w:kern w:val="0"/>
          <w:highlight w:val="none"/>
        </w:rPr>
      </w:pPr>
      <w:r>
        <w:rPr>
          <w:color w:val="auto"/>
          <w:kern w:val="0"/>
          <w:highlight w:val="none"/>
        </w:rPr>
        <w:t>重点评审单价评审标准如下：</w:t>
      </w:r>
    </w:p>
    <w:p>
      <w:pPr>
        <w:adjustRightInd w:val="0"/>
        <w:snapToGrid w:val="0"/>
        <w:spacing w:line="380" w:lineRule="exact"/>
        <w:ind w:firstLine="420" w:firstLineChars="200"/>
        <w:rPr>
          <w:color w:val="auto"/>
          <w:kern w:val="0"/>
          <w:highlight w:val="none"/>
        </w:rPr>
      </w:pPr>
      <w:r>
        <w:rPr>
          <w:color w:val="auto"/>
          <w:kern w:val="0"/>
          <w:highlight w:val="none"/>
        </w:rPr>
        <w:t>（一）房屋建筑总承包工程为最高投标限价的</w:t>
      </w:r>
      <w:r>
        <w:rPr>
          <w:color w:val="auto"/>
          <w:kern w:val="0"/>
          <w:highlight w:val="none"/>
          <w:u w:val="single"/>
        </w:rPr>
        <w:t xml:space="preserve">    </w:t>
      </w:r>
      <w:r>
        <w:rPr>
          <w:color w:val="auto"/>
          <w:kern w:val="0"/>
          <w:highlight w:val="none"/>
        </w:rPr>
        <w:t>（90%以上92%以下，具体取值由招标人明确，下同）；</w:t>
      </w:r>
    </w:p>
    <w:p>
      <w:pPr>
        <w:adjustRightInd w:val="0"/>
        <w:snapToGrid w:val="0"/>
        <w:spacing w:line="380" w:lineRule="exact"/>
        <w:ind w:firstLine="630" w:firstLineChars="300"/>
        <w:rPr>
          <w:color w:val="auto"/>
          <w:kern w:val="0"/>
          <w:highlight w:val="none"/>
        </w:rPr>
      </w:pPr>
      <w:r>
        <w:rPr>
          <w:color w:val="auto"/>
          <w:kern w:val="0"/>
          <w:highlight w:val="none"/>
        </w:rPr>
        <w:t>含有装配式建筑的，房屋建筑总承包工程为最高投标限价的</w:t>
      </w:r>
      <w:r>
        <w:rPr>
          <w:color w:val="auto"/>
          <w:kern w:val="0"/>
          <w:highlight w:val="none"/>
          <w:u w:val="single"/>
        </w:rPr>
        <w:t xml:space="preserve">     （</w:t>
      </w:r>
      <w:r>
        <w:rPr>
          <w:color w:val="auto"/>
          <w:kern w:val="0"/>
          <w:highlight w:val="none"/>
        </w:rPr>
        <w:t>92%以上94%以下）；</w:t>
      </w:r>
    </w:p>
    <w:p>
      <w:pPr>
        <w:adjustRightInd w:val="0"/>
        <w:snapToGrid w:val="0"/>
        <w:spacing w:line="380" w:lineRule="exact"/>
        <w:ind w:firstLine="420" w:firstLineChars="200"/>
        <w:rPr>
          <w:color w:val="auto"/>
          <w:kern w:val="0"/>
          <w:highlight w:val="none"/>
        </w:rPr>
      </w:pPr>
      <w:r>
        <w:rPr>
          <w:color w:val="auto"/>
          <w:kern w:val="0"/>
          <w:highlight w:val="none"/>
        </w:rPr>
        <w:t>（二）市政基础设施总承包工程（轨道交通工程除外）为最高投标限价的</w:t>
      </w:r>
      <w:r>
        <w:rPr>
          <w:color w:val="auto"/>
          <w:kern w:val="0"/>
          <w:highlight w:val="none"/>
          <w:u w:val="single"/>
        </w:rPr>
        <w:t xml:space="preserve">   </w:t>
      </w:r>
      <w:r>
        <w:rPr>
          <w:color w:val="auto"/>
          <w:kern w:val="0"/>
          <w:highlight w:val="none"/>
        </w:rPr>
        <w:t>（85%以上87%以下）；</w:t>
      </w:r>
    </w:p>
    <w:p>
      <w:pPr>
        <w:adjustRightInd w:val="0"/>
        <w:snapToGrid w:val="0"/>
        <w:spacing w:line="380" w:lineRule="exact"/>
        <w:ind w:firstLine="420" w:firstLineChars="200"/>
        <w:rPr>
          <w:color w:val="auto"/>
          <w:kern w:val="0"/>
          <w:highlight w:val="none"/>
        </w:rPr>
      </w:pPr>
      <w:r>
        <w:rPr>
          <w:color w:val="auto"/>
          <w:kern w:val="0"/>
          <w:highlight w:val="none"/>
        </w:rPr>
        <w:t>（三）轨道交通工程为最高投标限价的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color w:val="auto"/>
          <w:kern w:val="0"/>
          <w:highlight w:val="none"/>
        </w:rPr>
        <w:t>（88%以上90%以下）；</w:t>
      </w:r>
    </w:p>
    <w:p>
      <w:pPr>
        <w:adjustRightInd w:val="0"/>
        <w:snapToGrid w:val="0"/>
        <w:spacing w:line="380" w:lineRule="exact"/>
        <w:ind w:firstLine="420" w:firstLineChars="200"/>
        <w:rPr>
          <w:color w:val="auto"/>
          <w:kern w:val="0"/>
          <w:highlight w:val="none"/>
        </w:rPr>
      </w:pPr>
      <w:r>
        <w:rPr>
          <w:color w:val="auto"/>
          <w:kern w:val="0"/>
          <w:highlight w:val="none"/>
        </w:rPr>
        <w:t>（四）单独招标的装饰装修工程为最高投标限价的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rPr>
        <w:t>（92%以上94%以下）；</w:t>
      </w:r>
    </w:p>
    <w:p>
      <w:pPr>
        <w:adjustRightInd w:val="0"/>
        <w:snapToGrid w:val="0"/>
        <w:spacing w:line="380" w:lineRule="exact"/>
        <w:ind w:firstLine="420" w:firstLineChars="200"/>
        <w:rPr>
          <w:color w:val="auto"/>
          <w:kern w:val="0"/>
          <w:highlight w:val="none"/>
        </w:rPr>
      </w:pPr>
      <w:r>
        <w:rPr>
          <w:color w:val="auto"/>
          <w:kern w:val="0"/>
          <w:highlight w:val="none"/>
        </w:rPr>
        <w:t>（五）单独招标的园林景观绿化工程、仿古建筑工程为最高投标限价的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rPr>
        <w:t>（88%以上90%以下）；</w:t>
      </w:r>
    </w:p>
    <w:p>
      <w:pPr>
        <w:adjustRightInd w:val="0"/>
        <w:snapToGrid w:val="0"/>
        <w:spacing w:line="380" w:lineRule="exact"/>
        <w:ind w:firstLine="420" w:firstLineChars="200"/>
        <w:rPr>
          <w:rFonts w:hint="eastAsia" w:eastAsia="宋体"/>
          <w:color w:val="auto"/>
          <w:kern w:val="0"/>
          <w:highlight w:val="none"/>
          <w:lang w:eastAsia="zh-CN"/>
        </w:rPr>
      </w:pPr>
      <w:r>
        <w:rPr>
          <w:color w:val="auto"/>
          <w:kern w:val="0"/>
          <w:highlight w:val="none"/>
        </w:rPr>
        <w:t>（六）单独招标的安装工程为最高投标限价的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color w:val="auto"/>
          <w:kern w:val="0"/>
          <w:highlight w:val="none"/>
        </w:rPr>
        <w:t>（90%以上92%以下）</w:t>
      </w:r>
      <w:r>
        <w:rPr>
          <w:rFonts w:hint="eastAsia"/>
          <w:color w:val="auto"/>
          <w:kern w:val="0"/>
          <w:highlight w:val="none"/>
          <w:lang w:eastAsia="zh-CN"/>
        </w:rPr>
        <w:t>；</w:t>
      </w:r>
    </w:p>
    <w:p>
      <w:pPr>
        <w:adjustRightInd w:val="0"/>
        <w:snapToGrid w:val="0"/>
        <w:spacing w:line="380" w:lineRule="exact"/>
        <w:ind w:firstLine="420" w:firstLineChars="200"/>
        <w:rPr>
          <w:color w:val="auto"/>
          <w:kern w:val="0"/>
          <w:highlight w:val="none"/>
        </w:rPr>
      </w:pPr>
      <w:r>
        <w:rPr>
          <w:color w:val="auto"/>
          <w:kern w:val="0"/>
          <w:highlight w:val="none"/>
        </w:rPr>
        <w:t>（</w:t>
      </w:r>
      <w:r>
        <w:rPr>
          <w:rFonts w:hint="eastAsia"/>
          <w:color w:val="auto"/>
          <w:kern w:val="0"/>
          <w:highlight w:val="none"/>
          <w:lang w:val="en-US" w:eastAsia="zh-CN"/>
        </w:rPr>
        <w:t>七</w:t>
      </w:r>
      <w:r>
        <w:rPr>
          <w:color w:val="auto"/>
          <w:kern w:val="0"/>
          <w:highlight w:val="none"/>
        </w:rPr>
        <w:t>）</w:t>
      </w:r>
      <w:r>
        <w:rPr>
          <w:rFonts w:hint="eastAsia"/>
          <w:color w:val="auto"/>
          <w:kern w:val="0"/>
          <w:highlight w:val="none"/>
          <w:lang w:val="en-US" w:eastAsia="zh-CN"/>
        </w:rPr>
        <w:t>其他工程（未包含在上述工程中的其他工程）为最高投标限价的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color w:val="auto"/>
          <w:kern w:val="0"/>
          <w:highlight w:val="none"/>
        </w:rPr>
        <w:t>（招标人</w:t>
      </w:r>
      <w:r>
        <w:rPr>
          <w:rFonts w:hint="eastAsia"/>
          <w:color w:val="auto"/>
          <w:kern w:val="0"/>
          <w:highlight w:val="none"/>
          <w:lang w:val="en-US" w:eastAsia="zh-CN"/>
        </w:rPr>
        <w:t>根据项目具体情况</w:t>
      </w:r>
      <w:r>
        <w:rPr>
          <w:color w:val="auto"/>
          <w:kern w:val="0"/>
          <w:highlight w:val="none"/>
        </w:rPr>
        <w:t>明确）。</w:t>
      </w:r>
    </w:p>
    <w:p>
      <w:pPr>
        <w:spacing w:line="380" w:lineRule="exact"/>
        <w:ind w:firstLine="420" w:firstLineChars="200"/>
        <w:rPr>
          <w:bCs/>
          <w:color w:val="auto"/>
          <w:highlight w:val="none"/>
        </w:rPr>
      </w:pPr>
      <w:r>
        <w:rPr>
          <w:bCs/>
          <w:color w:val="auto"/>
          <w:highlight w:val="none"/>
        </w:rPr>
        <w:t>4.低于投标成本报价竞争行为的确认</w:t>
      </w:r>
    </w:p>
    <w:p>
      <w:pPr>
        <w:adjustRightInd w:val="0"/>
        <w:snapToGrid w:val="0"/>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（一）重点评审单价中，任意一项低于评审标准（不含本数）的，应当认定该投标人以低于成本报价竞争，否决其投标。</w:t>
      </w:r>
    </w:p>
    <w:p>
      <w:pPr>
        <w:ind w:firstLine="420" w:firstLineChars="200"/>
        <w:rPr>
          <w:color w:val="auto"/>
          <w:szCs w:val="32"/>
          <w:highlight w:val="none"/>
        </w:rPr>
      </w:pPr>
      <w:r>
        <w:rPr>
          <w:rFonts w:hAnsi="仿宋_GB2312"/>
          <w:color w:val="auto"/>
          <w:szCs w:val="32"/>
          <w:highlight w:val="none"/>
        </w:rPr>
        <w:t>（二）有下列情形之一的，应当判定为以低于成本报价竞争</w:t>
      </w:r>
      <w:r>
        <w:rPr>
          <w:rFonts w:hint="eastAsia" w:hAnsi="仿宋_GB2312"/>
          <w:color w:val="auto"/>
          <w:szCs w:val="32"/>
          <w:highlight w:val="none"/>
        </w:rPr>
        <w:t>，否决其投标。</w:t>
      </w:r>
    </w:p>
    <w:p>
      <w:pPr>
        <w:ind w:firstLine="420" w:firstLineChars="200"/>
        <w:rPr>
          <w:rFonts w:hint="eastAsia" w:eastAsia="宋体"/>
          <w:color w:val="auto"/>
          <w:szCs w:val="32"/>
          <w:highlight w:val="none"/>
          <w:lang w:val="en-US" w:eastAsia="zh-CN"/>
        </w:rPr>
      </w:pPr>
      <w:r>
        <w:rPr>
          <w:rFonts w:hint="eastAsia" w:hAnsi="仿宋_GB2312"/>
          <w:color w:val="auto"/>
          <w:szCs w:val="32"/>
          <w:highlight w:val="none"/>
          <w:lang w:val="en-US" w:eastAsia="zh-CN"/>
        </w:rPr>
        <w:t>①</w:t>
      </w:r>
      <w:r>
        <w:rPr>
          <w:rFonts w:hAnsi="仿宋_GB2312"/>
          <w:color w:val="auto"/>
          <w:szCs w:val="32"/>
          <w:highlight w:val="none"/>
        </w:rPr>
        <w:t>经评审论证，认定该投标人的报价低于成本的；</w:t>
      </w:r>
    </w:p>
    <w:p>
      <w:pPr>
        <w:adjustRightInd w:val="0"/>
        <w:snapToGrid w:val="0"/>
        <w:spacing w:line="380" w:lineRule="exact"/>
        <w:ind w:firstLine="420" w:firstLineChars="200"/>
        <w:rPr>
          <w:rFonts w:hint="eastAsia" w:ascii="宋体" w:hAnsi="宋体"/>
          <w:color w:val="auto"/>
          <w:kern w:val="0"/>
          <w:szCs w:val="21"/>
          <w:highlight w:val="none"/>
        </w:rPr>
      </w:pPr>
      <w:r>
        <w:rPr>
          <w:rFonts w:hint="eastAsia" w:hAnsi="仿宋_GB2312"/>
          <w:color w:val="auto"/>
          <w:szCs w:val="32"/>
          <w:highlight w:val="none"/>
          <w:lang w:val="en-US" w:eastAsia="zh-CN"/>
        </w:rPr>
        <w:t>②</w:t>
      </w:r>
      <w:r>
        <w:rPr>
          <w:rFonts w:hAnsi="仿宋_GB2312"/>
          <w:color w:val="auto"/>
          <w:szCs w:val="32"/>
          <w:highlight w:val="none"/>
        </w:rPr>
        <w:t>投标报价明显低于其他投标报价，有可能低于成本的，应当要求投标人</w:t>
      </w:r>
      <w:r>
        <w:rPr>
          <w:rFonts w:hint="eastAsia"/>
          <w:color w:val="auto"/>
          <w:highlight w:val="none"/>
        </w:rPr>
        <w:t>通过电子交易平台作出</w:t>
      </w:r>
      <w:r>
        <w:rPr>
          <w:rFonts w:hAnsi="仿宋_GB2312"/>
          <w:color w:val="auto"/>
          <w:szCs w:val="32"/>
          <w:highlight w:val="none"/>
        </w:rPr>
        <w:t>说明并提供相关材料。投标人不能合理说明或者不能提供相关证明材料的</w:t>
      </w:r>
      <w:r>
        <w:rPr>
          <w:rFonts w:hint="eastAsia" w:hAnsi="仿宋_GB2312"/>
          <w:color w:val="auto"/>
          <w:szCs w:val="32"/>
          <w:highlight w:val="none"/>
        </w:rPr>
        <w:t>，应当</w:t>
      </w:r>
      <w:r>
        <w:rPr>
          <w:rFonts w:hAnsi="仿宋_GB2312"/>
          <w:color w:val="auto"/>
          <w:szCs w:val="32"/>
          <w:highlight w:val="none"/>
        </w:rPr>
        <w:t>认定该投标人的报价低于成本</w:t>
      </w:r>
      <w:r>
        <w:rPr>
          <w:rFonts w:hint="eastAsia" w:hAnsi="仿宋_GB2312"/>
          <w:color w:val="auto"/>
          <w:szCs w:val="32"/>
          <w:highlight w:val="none"/>
        </w:rPr>
        <w:t>。</w:t>
      </w:r>
    </w:p>
    <w:p>
      <w:pPr>
        <w:spacing w:line="380" w:lineRule="exact"/>
        <w:rPr>
          <w:bCs/>
          <w:color w:val="auto"/>
          <w:highlight w:val="none"/>
        </w:rPr>
      </w:pPr>
      <w:r>
        <w:rPr>
          <w:rFonts w:hint="eastAsia"/>
          <w:bCs/>
          <w:color w:val="auto"/>
          <w:highlight w:val="none"/>
        </w:rPr>
        <w:t xml:space="preserve">   </w:t>
      </w:r>
      <w:r>
        <w:rPr>
          <w:bCs/>
          <w:color w:val="auto"/>
          <w:highlight w:val="none"/>
        </w:rPr>
        <w:t>评标委员会将认定投标人以低于成本报价竞争等情况作出详细说明并记录在案。</w:t>
      </w:r>
      <w:bookmarkEnd w:id="177"/>
      <w:bookmarkStart w:id="179" w:name="_Toc300678059"/>
    </w:p>
    <w:p>
      <w:pPr>
        <w:widowControl/>
        <w:jc w:val="left"/>
        <w:rPr>
          <w:rFonts w:hint="eastAsia" w:ascii="宋体" w:hAnsi="宋体" w:cs="宋体"/>
          <w:color w:val="auto"/>
          <w:szCs w:val="21"/>
          <w:highlight w:val="none"/>
        </w:rPr>
      </w:pPr>
      <w:r>
        <w:rPr>
          <w:rFonts w:hint="eastAsia" w:eastAsia="黑体"/>
          <w:color w:val="auto"/>
          <w:sz w:val="30"/>
          <w:szCs w:val="30"/>
          <w:highlight w:val="none"/>
        </w:rPr>
        <w:t xml:space="preserve"> </w:t>
      </w:r>
      <w:r>
        <w:rPr>
          <w:rFonts w:hint="eastAsia" w:eastAsia="黑体"/>
          <w:color w:val="auto"/>
          <w:szCs w:val="21"/>
          <w:highlight w:val="none"/>
        </w:rPr>
        <w:t xml:space="preserve"> </w:t>
      </w:r>
      <w:r>
        <w:rPr>
          <w:rFonts w:hint="eastAsia" w:ascii="宋体" w:hAnsi="宋体" w:cs="宋体"/>
          <w:color w:val="auto"/>
          <w:szCs w:val="21"/>
          <w:highlight w:val="none"/>
        </w:rPr>
        <w:t xml:space="preserve"> 5.本方法所称的“以下”、“以上”均含本数。</w:t>
      </w:r>
    </w:p>
    <w:p>
      <w:pPr>
        <w:widowControl/>
        <w:jc w:val="left"/>
        <w:rPr>
          <w:rStyle w:val="52"/>
          <w:rFonts w:ascii="Times New Roman" w:hAnsi="Times New Roman" w:eastAsia="黑体"/>
          <w:b w:val="0"/>
          <w:color w:val="auto"/>
          <w:sz w:val="24"/>
          <w:highlight w:val="none"/>
        </w:rPr>
      </w:pPr>
    </w:p>
    <w:p>
      <w:pPr>
        <w:widowControl/>
        <w:jc w:val="left"/>
        <w:rPr>
          <w:rStyle w:val="52"/>
          <w:rFonts w:ascii="Times New Roman" w:hAnsi="Times New Roman" w:eastAsia="黑体"/>
          <w:b w:val="0"/>
          <w:color w:val="auto"/>
          <w:sz w:val="24"/>
          <w:highlight w:val="none"/>
        </w:rPr>
      </w:pPr>
    </w:p>
    <w:p>
      <w:pPr>
        <w:widowControl/>
        <w:jc w:val="left"/>
        <w:rPr>
          <w:rStyle w:val="52"/>
          <w:rFonts w:ascii="Times New Roman" w:hAnsi="Times New Roman" w:eastAsia="黑体"/>
          <w:b w:val="0"/>
          <w:color w:val="auto"/>
          <w:sz w:val="24"/>
          <w:highlight w:val="none"/>
        </w:rPr>
      </w:pPr>
      <w:r>
        <w:rPr>
          <w:rStyle w:val="52"/>
          <w:rFonts w:ascii="Times New Roman" w:hAnsi="Times New Roman" w:eastAsia="黑体"/>
          <w:b w:val="0"/>
          <w:color w:val="auto"/>
          <w:sz w:val="24"/>
          <w:highlight w:val="none"/>
        </w:rPr>
        <w:t>附件2-</w:t>
      </w:r>
      <w:r>
        <w:rPr>
          <w:rStyle w:val="52"/>
          <w:rFonts w:hint="eastAsia" w:eastAsia="黑体"/>
          <w:b w:val="0"/>
          <w:color w:val="auto"/>
          <w:sz w:val="24"/>
          <w:highlight w:val="none"/>
        </w:rPr>
        <w:t>4</w:t>
      </w:r>
      <w:r>
        <w:rPr>
          <w:rStyle w:val="52"/>
          <w:rFonts w:ascii="Times New Roman" w:hAnsi="Times New Roman" w:eastAsia="黑体"/>
          <w:b w:val="0"/>
          <w:color w:val="auto"/>
          <w:sz w:val="24"/>
          <w:highlight w:val="none"/>
        </w:rPr>
        <w:t>：</w:t>
      </w:r>
      <w:r>
        <w:rPr>
          <w:rStyle w:val="52"/>
          <w:rFonts w:hint="eastAsia" w:eastAsia="黑体"/>
          <w:b w:val="0"/>
          <w:color w:val="auto"/>
          <w:sz w:val="24"/>
          <w:highlight w:val="none"/>
        </w:rPr>
        <w:t>计算机辅助评标办法</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Style w:val="52"/>
          <w:rFonts w:eastAsia="黑体"/>
          <w:b w:val="0"/>
          <w:color w:val="auto"/>
          <w:sz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w:t>
      </w:r>
      <w:r>
        <w:rPr>
          <w:rStyle w:val="52"/>
          <w:rFonts w:hint="eastAsia" w:eastAsia="黑体"/>
          <w:b w:val="0"/>
          <w:color w:val="auto"/>
          <w:sz w:val="28"/>
          <w:highlight w:val="none"/>
        </w:rPr>
        <w:t>计算机辅助评标办法</w:t>
      </w:r>
    </w:p>
    <w:p>
      <w:pPr>
        <w:snapToGrid w:val="0"/>
        <w:spacing w:line="360" w:lineRule="auto"/>
        <w:jc w:val="left"/>
        <w:rPr>
          <w:rStyle w:val="52"/>
          <w:rFonts w:eastAsia="黑体"/>
          <w:b w:val="0"/>
          <w:color w:val="auto"/>
          <w:sz w:val="28"/>
          <w:highlight w:val="none"/>
        </w:rPr>
      </w:pPr>
    </w:p>
    <w:p>
      <w:pPr>
        <w:snapToGrid w:val="0"/>
        <w:spacing w:line="360" w:lineRule="auto"/>
        <w:jc w:val="left"/>
        <w:rPr>
          <w:rStyle w:val="52"/>
          <w:rFonts w:eastAsia="黑体"/>
          <w:b w:val="0"/>
          <w:color w:val="auto"/>
          <w:sz w:val="28"/>
          <w:highlight w:val="none"/>
        </w:rPr>
      </w:pPr>
      <w:r>
        <w:rPr>
          <w:rStyle w:val="52"/>
          <w:rFonts w:hint="eastAsia" w:eastAsia="黑体"/>
          <w:b w:val="0"/>
          <w:color w:val="auto"/>
          <w:sz w:val="28"/>
          <w:highlight w:val="none"/>
        </w:rPr>
        <w:t xml:space="preserve"> </w:t>
      </w:r>
      <w:r>
        <w:rPr>
          <w:rStyle w:val="52"/>
          <w:rFonts w:hint="eastAsia" w:eastAsia="黑体"/>
          <w:b w:val="0"/>
          <w:bCs w:val="0"/>
          <w:color w:val="auto"/>
          <w:sz w:val="28"/>
          <w:highlight w:val="none"/>
        </w:rPr>
        <w:t xml:space="preserve"> </w:t>
      </w:r>
      <w:r>
        <w:rPr>
          <w:rStyle w:val="52"/>
          <w:rFonts w:hint="eastAsia" w:ascii="宋体" w:hAnsi="宋体" w:cs="宋体"/>
          <w:b w:val="0"/>
          <w:bCs w:val="0"/>
          <w:color w:val="auto"/>
          <w:szCs w:val="21"/>
          <w:highlight w:val="none"/>
        </w:rPr>
        <w:t>说明：</w:t>
      </w:r>
      <w:r>
        <w:rPr>
          <w:rStyle w:val="52"/>
          <w:rFonts w:hint="eastAsia" w:ascii="宋体" w:hAnsi="宋体" w:cs="宋体"/>
          <w:b w:val="0"/>
          <w:color w:val="auto"/>
          <w:szCs w:val="21"/>
          <w:highlight w:val="none"/>
        </w:rPr>
        <w:t>本附件的具体内容根据招标项目的具体情况自行编写</w:t>
      </w:r>
    </w:p>
    <w:p>
      <w:pPr>
        <w:widowControl/>
        <w:jc w:val="left"/>
        <w:rPr>
          <w:rFonts w:eastAsia="黑体"/>
          <w:color w:val="auto"/>
          <w:sz w:val="30"/>
          <w:szCs w:val="30"/>
          <w:highlight w:val="none"/>
        </w:rPr>
      </w:pPr>
    </w:p>
    <w:p>
      <w:pPr>
        <w:snapToGrid w:val="0"/>
        <w:spacing w:line="360" w:lineRule="auto"/>
        <w:jc w:val="left"/>
        <w:rPr>
          <w:rStyle w:val="52"/>
          <w:rFonts w:eastAsia="黑体"/>
          <w:b w:val="0"/>
          <w:color w:val="auto"/>
          <w:sz w:val="24"/>
          <w:highlight w:val="none"/>
        </w:rPr>
      </w:pPr>
      <w:r>
        <w:rPr>
          <w:rStyle w:val="52"/>
          <w:rFonts w:eastAsia="黑体"/>
          <w:b w:val="0"/>
          <w:color w:val="auto"/>
          <w:sz w:val="24"/>
          <w:highlight w:val="none"/>
        </w:rPr>
        <w:t>附件2-5：</w:t>
      </w:r>
      <w:r>
        <w:rPr>
          <w:rStyle w:val="52"/>
          <w:rFonts w:hint="eastAsia" w:eastAsia="黑体"/>
          <w:b w:val="0"/>
          <w:color w:val="auto"/>
          <w:sz w:val="24"/>
          <w:highlight w:val="none"/>
        </w:rPr>
        <w:t>评定分离工作方案</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Fonts w:eastAsia="黑体"/>
          <w:color w:val="auto"/>
          <w:sz w:val="28"/>
          <w:szCs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□评定分离工作方案</w:t>
      </w:r>
    </w:p>
    <w:p>
      <w:pPr>
        <w:snapToGrid w:val="0"/>
        <w:spacing w:line="360" w:lineRule="auto"/>
        <w:jc w:val="center"/>
        <w:rPr>
          <w:rStyle w:val="52"/>
          <w:rFonts w:eastAsia="黑体"/>
          <w:b w:val="0"/>
          <w:color w:val="auto"/>
          <w:sz w:val="28"/>
          <w:highlight w:val="none"/>
        </w:rPr>
      </w:pPr>
      <w:r>
        <w:rPr>
          <w:rFonts w:hint="eastAsia" w:eastAsia="黑体"/>
          <w:color w:val="auto"/>
          <w:sz w:val="28"/>
          <w:szCs w:val="28"/>
          <w:highlight w:val="none"/>
        </w:rPr>
        <w:t>（适用采用评定分离方式确定中标人的项目）</w:t>
      </w:r>
    </w:p>
    <w:p>
      <w:pPr>
        <w:snapToGrid w:val="0"/>
        <w:spacing w:line="360" w:lineRule="auto"/>
        <w:jc w:val="left"/>
        <w:rPr>
          <w:rStyle w:val="52"/>
          <w:rFonts w:eastAsia="黑体"/>
          <w:b w:val="0"/>
          <w:color w:val="auto"/>
          <w:sz w:val="28"/>
          <w:highlight w:val="none"/>
        </w:rPr>
      </w:pPr>
    </w:p>
    <w:p>
      <w:pPr>
        <w:snapToGrid w:val="0"/>
        <w:spacing w:line="360" w:lineRule="auto"/>
        <w:jc w:val="left"/>
        <w:rPr>
          <w:rStyle w:val="52"/>
          <w:rFonts w:eastAsia="黑体"/>
          <w:b w:val="0"/>
          <w:color w:val="auto"/>
          <w:sz w:val="28"/>
          <w:highlight w:val="none"/>
        </w:rPr>
      </w:pPr>
      <w:r>
        <w:rPr>
          <w:rStyle w:val="52"/>
          <w:rFonts w:hint="eastAsia" w:eastAsia="黑体"/>
          <w:b w:val="0"/>
          <w:color w:val="auto"/>
          <w:sz w:val="28"/>
          <w:highlight w:val="none"/>
        </w:rPr>
        <w:t xml:space="preserve"> </w:t>
      </w:r>
      <w:r>
        <w:rPr>
          <w:rStyle w:val="52"/>
          <w:rFonts w:hint="eastAsia" w:eastAsia="黑体"/>
          <w:b w:val="0"/>
          <w:bCs w:val="0"/>
          <w:color w:val="auto"/>
          <w:sz w:val="28"/>
          <w:highlight w:val="none"/>
        </w:rPr>
        <w:t xml:space="preserve"> </w:t>
      </w:r>
      <w:r>
        <w:rPr>
          <w:rStyle w:val="52"/>
          <w:rFonts w:hint="eastAsia" w:ascii="宋体" w:hAnsi="宋体" w:cs="宋体"/>
          <w:b w:val="0"/>
          <w:bCs w:val="0"/>
          <w:color w:val="auto"/>
          <w:szCs w:val="21"/>
          <w:highlight w:val="none"/>
        </w:rPr>
        <w:t>说明：</w:t>
      </w:r>
      <w:r>
        <w:rPr>
          <w:rStyle w:val="52"/>
          <w:rFonts w:hint="eastAsia" w:ascii="宋体" w:hAnsi="宋体" w:cs="宋体"/>
          <w:b w:val="0"/>
          <w:color w:val="auto"/>
          <w:szCs w:val="21"/>
          <w:highlight w:val="none"/>
        </w:rPr>
        <w:t>本附件的具体内容由招标人根据招标项目的具体情况及第三章评标办法规定的“评定分离”工作规则自行编写。</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sectPr>
          <w:footerReference r:id="rId6" w:type="first"/>
          <w:pgSz w:w="11906" w:h="16838"/>
          <w:pgMar w:top="1417" w:right="1440" w:bottom="1417" w:left="1440" w:header="850" w:footer="850" w:gutter="0"/>
          <w:cols w:space="720" w:num="1"/>
          <w:titlePg/>
          <w:docGrid w:type="lines" w:linePitch="315" w:charSpace="0"/>
        </w:sectPr>
      </w:pPr>
    </w:p>
    <w:p>
      <w:pPr>
        <w:pStyle w:val="2"/>
        <w:spacing w:before="0" w:after="0"/>
        <w:jc w:val="center"/>
        <w:rPr>
          <w:rFonts w:ascii="Times New Roman" w:hAnsi="Times New Roman" w:eastAsia="黑体"/>
          <w:b w:val="0"/>
          <w:bCs w:val="0"/>
          <w:color w:val="auto"/>
          <w:highlight w:val="none"/>
        </w:rPr>
      </w:pPr>
      <w:bookmarkStart w:id="180" w:name="_Toc80006209"/>
      <w:bookmarkStart w:id="181" w:name="_Toc80006099"/>
      <w:r>
        <w:rPr>
          <w:rFonts w:ascii="Times New Roman" w:hAnsi="Times New Roman" w:eastAsia="黑体"/>
          <w:b w:val="0"/>
          <w:bCs w:val="0"/>
          <w:color w:val="auto"/>
          <w:highlight w:val="none"/>
        </w:rPr>
        <w:t>第三章  评标办法（经评审的最低投标价法）</w:t>
      </w:r>
      <w:bookmarkEnd w:id="180"/>
      <w:bookmarkEnd w:id="181"/>
    </w:p>
    <w:p>
      <w:pPr>
        <w:spacing w:line="312" w:lineRule="auto"/>
        <w:jc w:val="center"/>
        <w:rPr>
          <w:rFonts w:eastAsia="黑体"/>
          <w:bCs/>
          <w:color w:val="auto"/>
          <w:sz w:val="30"/>
          <w:highlight w:val="none"/>
        </w:rPr>
      </w:pPr>
      <w:r>
        <w:rPr>
          <w:rFonts w:eastAsia="黑体"/>
          <w:bCs/>
          <w:color w:val="auto"/>
          <w:sz w:val="30"/>
          <w:highlight w:val="none"/>
        </w:rPr>
        <w:t>评标办法前附表</w:t>
      </w:r>
      <w:bookmarkEnd w:id="179"/>
    </w:p>
    <w:tbl>
      <w:tblPr>
        <w:tblStyle w:val="39"/>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612"/>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8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4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投标文件</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法定代表人身份证明</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提交盖投标人单位章的法定代表人身份证明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授权委托书（如有）</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提交法定代表人签字或盖章的授权委托书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default" w:ascii="宋体" w:hAnsi="宋体" w:cs="宋体"/>
                <w:color w:val="auto"/>
                <w:szCs w:val="21"/>
                <w:highlight w:val="none"/>
              </w:rPr>
              <w:t>共同投标协议</w:t>
            </w:r>
            <w:r>
              <w:rPr>
                <w:rFonts w:hint="eastAsia" w:ascii="宋体" w:hAnsi="宋体" w:cs="宋体"/>
                <w:color w:val="auto"/>
                <w:szCs w:val="21"/>
                <w:highlight w:val="none"/>
                <w:lang w:val="en-US" w:eastAsia="zh-CN"/>
              </w:rPr>
              <w:t>（如有）</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default" w:ascii="宋体" w:hAnsi="宋体" w:cs="宋体"/>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投标文件</w:t>
            </w:r>
            <w:r>
              <w:rPr>
                <w:rFonts w:hint="default" w:ascii="Calibri" w:hAnsi="Calibri" w:cs="Calibri"/>
                <w:color w:val="auto"/>
                <w:szCs w:val="21"/>
                <w:highlight w:val="none"/>
              </w:rPr>
              <w:t>签字盖章</w:t>
            </w:r>
          </w:p>
        </w:tc>
        <w:tc>
          <w:tcPr>
            <w:tcW w:w="5807" w:type="dxa"/>
            <w:noWrap w:val="0"/>
            <w:vAlign w:val="center"/>
          </w:tcPr>
          <w:p>
            <w:pPr>
              <w:keepNext w:val="0"/>
              <w:keepLines w:val="0"/>
              <w:suppressLineNumbers w:val="0"/>
              <w:snapToGrid w:val="0"/>
              <w:spacing w:before="0" w:beforeAutospacing="0" w:after="0" w:afterAutospacing="0"/>
              <w:ind w:left="0" w:right="0"/>
              <w:rPr>
                <w:rFonts w:hint="default" w:ascii="Calibri" w:hAnsi="Calibri" w:eastAsia="宋体" w:cs="Calibri"/>
                <w:bCs/>
                <w:color w:val="auto"/>
                <w:highlight w:val="none"/>
                <w:lang w:val="en-US" w:eastAsia="zh-CN"/>
              </w:rPr>
            </w:pPr>
            <w:r>
              <w:rPr>
                <w:rFonts w:hint="eastAsia" w:ascii="Calibri" w:hAnsi="Calibri" w:cs="Calibri"/>
                <w:bCs/>
                <w:color w:val="auto"/>
                <w:highlight w:val="none"/>
                <w:lang w:val="en-US" w:eastAsia="zh-CN"/>
              </w:rPr>
              <w:t>投标文件中的投标函和共同投标协议（如有）</w:t>
            </w:r>
            <w:r>
              <w:rPr>
                <w:rFonts w:hint="default" w:ascii="Calibri" w:hAnsi="Calibri" w:cs="Calibri"/>
                <w:color w:val="auto"/>
                <w:szCs w:val="21"/>
                <w:highlight w:val="none"/>
              </w:rPr>
              <w:t>签字盖章</w:t>
            </w:r>
            <w:r>
              <w:rPr>
                <w:rFonts w:hint="eastAsia" w:ascii="Calibri" w:hAnsi="Calibri" w:cs="Calibri"/>
                <w:color w:val="auto"/>
                <w:szCs w:val="21"/>
                <w:highlight w:val="none"/>
                <w:lang w:val="en-US" w:eastAsia="zh-CN"/>
              </w:rPr>
              <w:t>应符合以下情形之一：</w:t>
            </w:r>
          </w:p>
          <w:p>
            <w:pPr>
              <w:keepNext w:val="0"/>
              <w:keepLines w:val="0"/>
              <w:numPr>
                <w:ilvl w:val="0"/>
                <w:numId w:val="0"/>
              </w:numPr>
              <w:suppressLineNumbers w:val="0"/>
              <w:snapToGrid w:val="0"/>
              <w:spacing w:before="0" w:beforeAutospacing="0" w:after="0" w:afterAutospacing="0"/>
              <w:ind w:left="0" w:right="0"/>
              <w:rPr>
                <w:rFonts w:hint="eastAsia" w:ascii="Calibri" w:hAnsi="Calibri" w:cs="Calibri"/>
                <w:color w:val="auto"/>
                <w:szCs w:val="21"/>
                <w:highlight w:val="none"/>
                <w:lang w:val="en-US" w:eastAsia="zh-CN"/>
              </w:rPr>
            </w:pPr>
            <w:r>
              <w:rPr>
                <w:rFonts w:hint="eastAsia" w:ascii="Calibri" w:hAnsi="Calibri" w:cs="Calibri"/>
                <w:color w:val="auto"/>
                <w:kern w:val="2"/>
                <w:sz w:val="21"/>
                <w:szCs w:val="21"/>
                <w:highlight w:val="none"/>
                <w:lang w:val="en-US" w:eastAsia="zh-CN" w:bidi="ar-SA"/>
              </w:rPr>
              <w:t>（1）</w:t>
            </w:r>
            <w:r>
              <w:rPr>
                <w:rFonts w:hint="eastAsia" w:ascii="Calibri" w:hAnsi="Calibri" w:cs="Calibri"/>
                <w:color w:val="auto"/>
                <w:szCs w:val="21"/>
                <w:highlight w:val="none"/>
                <w:lang w:val="en-US" w:eastAsia="zh-CN"/>
              </w:rPr>
              <w:t>盖投标人单位章</w:t>
            </w:r>
          </w:p>
          <w:p>
            <w:pPr>
              <w:keepNext w:val="0"/>
              <w:keepLines w:val="0"/>
              <w:numPr>
                <w:ilvl w:val="0"/>
                <w:numId w:val="0"/>
              </w:numPr>
              <w:suppressLineNumbers w:val="0"/>
              <w:snapToGrid w:val="0"/>
              <w:spacing w:before="0" w:beforeAutospacing="0" w:after="0" w:afterAutospacing="0"/>
              <w:ind w:left="0" w:right="0"/>
              <w:rPr>
                <w:rFonts w:hint="default" w:ascii="Calibri" w:hAnsi="Calibri" w:cs="Calibri"/>
                <w:color w:val="auto"/>
                <w:szCs w:val="21"/>
                <w:highlight w:val="none"/>
                <w:lang w:val="en-US" w:eastAsia="zh-CN"/>
              </w:rPr>
            </w:pPr>
            <w:r>
              <w:rPr>
                <w:rFonts w:hint="default" w:ascii="Calibri" w:hAnsi="Calibri" w:cs="Calibri"/>
                <w:color w:val="auto"/>
                <w:szCs w:val="21"/>
                <w:highlight w:val="none"/>
                <w:lang w:val="en-US" w:eastAsia="zh-CN"/>
              </w:rPr>
              <w:t>（2）法定代表人或其委托代理人签字或盖章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2.1.2 </w:t>
            </w:r>
          </w:p>
        </w:tc>
        <w:tc>
          <w:tcPr>
            <w:tcW w:w="84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资质等级</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安全生产许可证</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拟任项目经理资格</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firstLine="1260" w:firstLineChars="600"/>
              <w:rPr>
                <w:rFonts w:hint="eastAsia" w:ascii="宋体" w:hAnsi="宋体" w:cs="宋体"/>
                <w:color w:val="auto"/>
                <w:szCs w:val="21"/>
                <w:highlight w:val="none"/>
              </w:rPr>
            </w:pPr>
            <w:r>
              <w:rPr>
                <w:rFonts w:hint="eastAsia" w:ascii="宋体" w:hAnsi="宋体" w:cs="宋体"/>
                <w:color w:val="auto"/>
                <w:szCs w:val="21"/>
                <w:highlight w:val="none"/>
              </w:rPr>
              <w:t>……</w:t>
            </w:r>
          </w:p>
        </w:tc>
        <w:tc>
          <w:tcPr>
            <w:tcW w:w="58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419"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已进行资格预审的，评标委员会一般不再对投标人资格进行评审。投标人资格预审申请文件的内容发生了重大变化的，由评标委员会依据资格预审文件中规定的标准和方法，对照投标人资格预审申请文件中的资料以及开标前更新的资料，对其更新的资料进行评审，其变化后的资格条件不得低于原有资格条件要求。</w:t>
            </w:r>
          </w:p>
          <w:p>
            <w:pPr>
              <w:keepNext w:val="0"/>
              <w:keepLines w:val="0"/>
              <w:suppressLineNumbers w:val="0"/>
              <w:spacing w:before="0" w:beforeAutospacing="0" w:after="0" w:afterAutospacing="0"/>
              <w:ind w:left="0" w:right="0"/>
              <w:rPr>
                <w:rFonts w:hint="eastAsia" w:ascii="宋体" w:hAnsi="宋体" w:cs="宋体"/>
                <w:strike/>
                <w:color w:val="auto"/>
                <w:szCs w:val="21"/>
                <w:highlight w:val="none"/>
              </w:rPr>
            </w:pPr>
            <w:r>
              <w:rPr>
                <w:rFonts w:hint="eastAsia" w:ascii="宋体" w:hAnsi="宋体" w:cs="宋体"/>
                <w:color w:val="auto"/>
                <w:szCs w:val="21"/>
                <w:highlight w:val="none"/>
              </w:rPr>
              <w:t>2.未进行资格预审的，由评标委员会根据评审标准，对投标人资格进行评审。</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color w:val="auto"/>
                <w:szCs w:val="21"/>
                <w:highlight w:val="none"/>
              </w:rPr>
              <w:t xml:space="preserve"> </w:t>
            </w:r>
          </w:p>
        </w:tc>
      </w:tr>
    </w:tbl>
    <w:p>
      <w:pPr>
        <w:widowControl/>
        <w:jc w:val="left"/>
        <w:rPr>
          <w:color w:val="auto"/>
          <w:highlight w:val="none"/>
        </w:rPr>
        <w:sectPr>
          <w:footerReference r:id="rId8" w:type="first"/>
          <w:footerReference r:id="rId7" w:type="default"/>
          <w:pgSz w:w="11906" w:h="16838"/>
          <w:pgMar w:top="1417" w:right="1553" w:bottom="1417" w:left="1531" w:header="850" w:footer="850" w:gutter="0"/>
          <w:pgNumType w:fmt="decimal"/>
          <w:cols w:space="720" w:num="1"/>
          <w:titlePg/>
          <w:docGrid w:type="lines" w:linePitch="315" w:charSpace="0"/>
        </w:sectPr>
      </w:pPr>
    </w:p>
    <w:p>
      <w:pPr>
        <w:widowControl/>
        <w:jc w:val="left"/>
        <w:rPr>
          <w:color w:val="auto"/>
          <w:highlight w:val="none"/>
        </w:rPr>
      </w:pPr>
      <w:r>
        <w:rPr>
          <w:color w:val="auto"/>
          <w:highlight w:val="none"/>
        </w:rPr>
        <w:t>承前页</w:t>
      </w:r>
    </w:p>
    <w:tbl>
      <w:tblPr>
        <w:tblStyle w:val="3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52"/>
        <w:gridCol w:w="4879"/>
        <w:gridCol w:w="1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2.2条款号</w:t>
            </w: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609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8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8646"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094" w:type="dxa"/>
            <w:gridSpan w:val="3"/>
            <w:noWrap w:val="0"/>
            <w:vAlign w:val="center"/>
          </w:tcPr>
          <w:p>
            <w:pPr>
              <w:keepNext w:val="0"/>
              <w:keepLines w:val="0"/>
              <w:suppressLineNumbers w:val="0"/>
              <w:adjustRightInd/>
              <w:snapToGrid/>
              <w:spacing w:before="0" w:beforeAutospacing="0" w:after="0" w:afterAutospacing="0" w:line="240" w:lineRule="auto"/>
              <w:ind w:left="0" w:right="0" w:firstLine="0" w:firstLineChars="0"/>
              <w:rPr>
                <w:rFonts w:hint="eastAsia" w:ascii="Calibri" w:hAnsi="Calibri" w:cs="Calibri"/>
                <w:color w:val="auto"/>
                <w:szCs w:val="21"/>
                <w:highlight w:val="none"/>
                <w:lang w:eastAsia="zh-CN"/>
              </w:rPr>
            </w:pPr>
            <w:r>
              <w:rPr>
                <w:rFonts w:hint="default"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bCs w:val="0"/>
                <w:color w:val="auto"/>
                <w:highlight w:val="none"/>
                <w:lang w:eastAsia="zh-CN"/>
              </w:rPr>
            </w:pPr>
            <w:r>
              <w:rPr>
                <w:rFonts w:hint="eastAsia" w:ascii="Times New Roman" w:hAnsi="Times New Roman" w:eastAsia="宋体" w:cs="Times New Roman"/>
                <w:bCs w:val="0"/>
                <w:color w:val="auto"/>
                <w:highlight w:val="none"/>
              </w:rPr>
              <w:t>投标报价中的绿色施工安全防护措施项目费按照省住房城乡建设主管部门的规定计算</w:t>
            </w:r>
            <w:r>
              <w:rPr>
                <w:rFonts w:hint="eastAsia" w:ascii="Times New Roman" w:hAnsi="Times New Roman" w:eastAsia="宋体" w:cs="Times New Roman"/>
                <w:bCs w:val="0"/>
                <w:color w:val="auto"/>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bCs w:val="0"/>
                <w:color w:val="auto"/>
                <w:highlight w:val="none"/>
                <w:lang w:eastAsia="zh-CN"/>
              </w:rPr>
            </w:pPr>
            <w:r>
              <w:rPr>
                <w:rFonts w:hint="eastAsia" w:ascii="Times New Roman" w:hAnsi="Times New Roman" w:eastAsia="宋体" w:cs="Times New Roman"/>
                <w:bCs w:val="0"/>
                <w:color w:val="auto"/>
                <w:highlight w:val="none"/>
              </w:rPr>
              <w:t>投标报价中的安全责任险按照省住房城乡建设主管部门的规定计算</w:t>
            </w:r>
            <w:r>
              <w:rPr>
                <w:rFonts w:hint="eastAsia" w:ascii="Times New Roman" w:hAnsi="Times New Roman" w:eastAsia="宋体" w:cs="Times New Roman"/>
                <w:bCs w:val="0"/>
                <w:color w:val="auto"/>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Cs w:val="0"/>
                <w:color w:val="auto"/>
                <w:highlight w:val="none"/>
              </w:rPr>
              <w:t>投标报价中的环境保护税按照省住房城乡建设主管部门的规定计算</w:t>
            </w:r>
            <w:r>
              <w:rPr>
                <w:rFonts w:hint="eastAsia" w:ascii="Times New Roman" w:hAnsi="Times New Roman" w:eastAsia="宋体" w:cs="Times New Roman"/>
                <w:bCs w:val="0"/>
                <w:color w:val="auto"/>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Cs w:val="0"/>
                <w:color w:val="auto"/>
                <w:highlight w:val="none"/>
              </w:rPr>
              <w:t>投标报价中的增值税按照政府有关主管部门的规定计算费用</w:t>
            </w:r>
            <w:r>
              <w:rPr>
                <w:rFonts w:hint="eastAsia" w:ascii="Times New Roman" w:hAnsi="Times New Roman" w:eastAsia="宋体" w:cs="Times New Roman"/>
                <w:bCs w:val="0"/>
                <w:color w:val="auto"/>
                <w:highlight w:val="none"/>
                <w:lang w:eastAsia="zh-CN"/>
              </w:rPr>
              <w:t>；</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Times New Roman" w:hAnsi="Times New Roman" w:eastAsia="宋体" w:cs="Times New Roman"/>
                <w:bCs w:val="0"/>
                <w:color w:val="auto"/>
                <w:highlight w:val="none"/>
              </w:rPr>
              <w:t>投标报价中的暂估价或暂列金额与招标人公布的暂估价或暂列金额保持一致的。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w:t>
            </w:r>
            <w:r>
              <w:rPr>
                <w:rFonts w:hint="eastAsia" w:ascii="宋体" w:hAnsi="宋体" w:cs="宋体"/>
                <w:color w:val="auto"/>
                <w:kern w:val="0"/>
                <w:szCs w:val="21"/>
                <w:highlight w:val="none"/>
                <w:lang w:val="en-US" w:eastAsia="zh-CN"/>
              </w:rPr>
              <w:t>和</w:t>
            </w:r>
            <w:r>
              <w:rPr>
                <w:rFonts w:hint="eastAsia" w:ascii="宋体" w:hAnsi="宋体" w:cs="宋体"/>
                <w:color w:val="auto"/>
                <w:kern w:val="0"/>
                <w:szCs w:val="21"/>
                <w:highlight w:val="none"/>
              </w:rPr>
              <w:t>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Calibri" w:hAnsi="Calibri" w:cs="Calibri"/>
                <w:color w:val="auto"/>
                <w:szCs w:val="21"/>
                <w:highlight w:val="none"/>
              </w:rPr>
              <w:t>省外入湘企业基本信息登记</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Times New Roman" w:hAnsi="Times New Roman" w:eastAsia="宋体" w:cs="Times New Roman"/>
                <w:bCs/>
                <w:color w:val="auto"/>
                <w:szCs w:val="21"/>
                <w:highlight w:val="none"/>
              </w:rPr>
              <w:t>拟任</w:t>
            </w:r>
            <w:r>
              <w:rPr>
                <w:rFonts w:hint="eastAsia" w:ascii="Times New Roman" w:hAnsi="Times New Roman" w:eastAsia="宋体" w:cs="Times New Roman"/>
                <w:bCs/>
                <w:color w:val="auto"/>
                <w:szCs w:val="21"/>
                <w:highlight w:val="none"/>
                <w:lang w:val="en-US" w:eastAsia="zh-CN"/>
              </w:rPr>
              <w:t>项目经理</w:t>
            </w:r>
            <w:r>
              <w:rPr>
                <w:rFonts w:hint="eastAsia" w:ascii="Times New Roman" w:hAnsi="Times New Roman" w:eastAsia="宋体" w:cs="Times New Roman"/>
                <w:bCs/>
                <w:color w:val="auto"/>
                <w:szCs w:val="21"/>
                <w:highlight w:val="none"/>
              </w:rPr>
              <w:t>在建情况</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投标保证</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firstLine="1260" w:firstLineChars="600"/>
              <w:rPr>
                <w:rFonts w:hint="eastAsia" w:ascii="宋体" w:hAnsi="宋体" w:cs="宋体"/>
                <w:color w:val="auto"/>
                <w:szCs w:val="21"/>
                <w:highlight w:val="none"/>
              </w:rPr>
            </w:pPr>
            <w:r>
              <w:rPr>
                <w:rFonts w:hint="eastAsia" w:ascii="宋体" w:hAnsi="宋体" w:cs="宋体"/>
                <w:color w:val="auto"/>
                <w:szCs w:val="21"/>
                <w:highlight w:val="none"/>
              </w:rPr>
              <w:t>……</w:t>
            </w:r>
          </w:p>
        </w:tc>
        <w:tc>
          <w:tcPr>
            <w:tcW w:w="609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552" w:type="dxa"/>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609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8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权值构成</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（总权值1）</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业绩及信用评价权重（取值范围：0.</w:t>
            </w:r>
            <w:r>
              <w:rPr>
                <w:rFonts w:hint="eastAsia" w:ascii="Calibri" w:hAnsi="Calibri" w:cs="Calibri"/>
                <w:color w:val="auto"/>
                <w:highlight w:val="none"/>
                <w:lang w:val="en-US" w:eastAsia="zh-CN"/>
              </w:rPr>
              <w:t>1</w:t>
            </w:r>
            <w:r>
              <w:rPr>
                <w:rFonts w:hint="eastAsia" w:ascii="Calibri" w:hAnsi="Calibri" w:cs="Calibri"/>
                <w:color w:val="auto"/>
                <w:highlight w:val="none"/>
              </w:rPr>
              <w:t>5-0.</w:t>
            </w:r>
            <w:r>
              <w:rPr>
                <w:rFonts w:hint="eastAsia" w:ascii="Calibri" w:hAnsi="Calibri" w:cs="Calibri"/>
                <w:color w:val="auto"/>
                <w:highlight w:val="none"/>
                <w:lang w:val="en-US" w:eastAsia="zh-CN"/>
              </w:rPr>
              <w:t>3</w:t>
            </w:r>
            <w:r>
              <w:rPr>
                <w:rFonts w:hint="eastAsia" w:ascii="Calibri" w:hAnsi="Calibri" w:cs="Calibri"/>
                <w:color w:val="auto"/>
                <w:highlight w:val="none"/>
              </w:rPr>
              <w:t>0）：</w:t>
            </w:r>
            <w:r>
              <w:rPr>
                <w:rFonts w:hint="eastAsia" w:ascii="仿宋" w:hAnsi="仿宋" w:eastAsia="仿宋" w:cs="仿宋"/>
                <w:b w:val="0"/>
                <w:bCs w:val="0"/>
                <w:sz w:val="32"/>
                <w:szCs w:val="32"/>
                <w:u w:val="single"/>
                <w:lang w:val="en-US" w:eastAsia="zh-CN"/>
              </w:rPr>
              <w:t xml:space="preserve">        </w:t>
            </w:r>
          </w:p>
          <w:p>
            <w:pPr>
              <w:keepNext w:val="0"/>
              <w:keepLines w:val="0"/>
              <w:suppressLineNumbers w:val="0"/>
              <w:spacing w:before="0" w:beforeAutospacing="0" w:after="0" w:afterAutospacing="0"/>
              <w:ind w:left="0" w:right="0"/>
              <w:rPr>
                <w:rFonts w:hint="default" w:ascii="Calibri" w:hAnsi="Calibri" w:eastAsia="宋体" w:cs="Calibri"/>
                <w:color w:val="auto"/>
                <w:highlight w:val="none"/>
                <w:lang w:val="en-US" w:eastAsia="zh-CN"/>
              </w:rPr>
            </w:pPr>
            <w:r>
              <w:rPr>
                <w:rFonts w:hint="eastAsia" w:ascii="Calibri" w:hAnsi="Calibri" w:cs="Calibri"/>
                <w:color w:val="auto"/>
                <w:highlight w:val="none"/>
              </w:rPr>
              <w:t>投标报价权重（取值范围：0.</w:t>
            </w:r>
            <w:r>
              <w:rPr>
                <w:rFonts w:hint="eastAsia" w:ascii="Calibri" w:hAnsi="Calibri" w:cs="Calibri"/>
                <w:color w:val="auto"/>
                <w:highlight w:val="none"/>
                <w:lang w:val="en-US" w:eastAsia="zh-CN"/>
              </w:rPr>
              <w:t>7</w:t>
            </w:r>
            <w:r>
              <w:rPr>
                <w:rFonts w:hint="eastAsia" w:ascii="Calibri" w:hAnsi="Calibri" w:cs="Calibri"/>
                <w:color w:val="auto"/>
                <w:highlight w:val="none"/>
              </w:rPr>
              <w:t>0-0.</w:t>
            </w:r>
            <w:r>
              <w:rPr>
                <w:rFonts w:hint="eastAsia" w:ascii="Calibri" w:hAnsi="Calibri" w:cs="Calibri"/>
                <w:color w:val="auto"/>
                <w:highlight w:val="none"/>
                <w:lang w:val="en-US" w:eastAsia="zh-CN"/>
              </w:rPr>
              <w:t>8</w:t>
            </w:r>
            <w:r>
              <w:rPr>
                <w:rFonts w:hint="eastAsia" w:ascii="Calibri" w:hAnsi="Calibri" w:cs="Calibri"/>
                <w:color w:val="auto"/>
                <w:highlight w:val="none"/>
              </w:rPr>
              <w:t>5）：</w:t>
            </w:r>
            <w:r>
              <w:rPr>
                <w:rFonts w:hint="eastAsia" w:ascii="仿宋" w:hAnsi="仿宋" w:eastAsia="仿宋" w:cs="仿宋"/>
                <w:b w:val="0"/>
                <w:bCs w:val="0"/>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487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1215"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8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（1）</w:t>
            </w:r>
          </w:p>
        </w:tc>
        <w:tc>
          <w:tcPr>
            <w:tcW w:w="8646"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施工组织设计（采用合格性评审方式）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施工方案与技术措施</w:t>
            </w:r>
          </w:p>
        </w:tc>
        <w:tc>
          <w:tcPr>
            <w:tcW w:w="4894"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1.施工方案不完整，且缺少关键项目施工技术方案；或者市政项目缺少交通措施（除招标文件明确不需要外）；缺少建筑垃圾现场减量、分类处置、扬尘污染防治等相关内容；</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9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tc>
        <w:tc>
          <w:tcPr>
            <w:tcW w:w="4894" w:type="dxa"/>
            <w:gridSpan w:val="2"/>
            <w:noWrap w:val="0"/>
            <w:vAlign w:val="center"/>
          </w:tcPr>
          <w:p>
            <w:pPr>
              <w:keepNext w:val="0"/>
              <w:keepLines w:val="0"/>
              <w:suppressLineNumbers w:val="0"/>
              <w:tabs>
                <w:tab w:val="left" w:pos="312"/>
              </w:tabs>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1.质量目标不满足招标文件要求，缺少质量保证措施</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9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安全管理体系与措施</w:t>
            </w:r>
          </w:p>
        </w:tc>
        <w:tc>
          <w:tcPr>
            <w:tcW w:w="4894"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1.安全目标不满足招标文件要求，缺少重大危险源识别和控制，缺少施工安全措施；</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9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646" w:type="dxa"/>
            <w:gridSpan w:val="4"/>
            <w:noWrap w:val="0"/>
            <w:vAlign w:val="center"/>
          </w:tcPr>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适用于施工组织设计采用合格性评审项目；</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合格性评审采用明标的方式由评标委员会集体评审</w:t>
            </w:r>
            <w:r>
              <w:rPr>
                <w:rFonts w:hint="eastAsia" w:ascii="宋体" w:hAnsi="宋体" w:cs="宋体"/>
                <w:bCs/>
                <w:color w:val="auto"/>
                <w:szCs w:val="21"/>
                <w:highlight w:val="none"/>
                <w:lang w:eastAsia="zh-CN"/>
              </w:rPr>
              <w:t>；</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因施工组织设计缺项或者</w:t>
            </w:r>
            <w:r>
              <w:rPr>
                <w:rFonts w:hint="eastAsia" w:ascii="宋体" w:hAnsi="宋体" w:eastAsia="宋体" w:cs="宋体"/>
                <w:bCs/>
                <w:color w:val="auto"/>
                <w:szCs w:val="21"/>
                <w:highlight w:val="none"/>
                <w:lang w:val="en-US" w:eastAsia="zh-CN"/>
              </w:rPr>
              <w:t>同</w:t>
            </w:r>
            <w:r>
              <w:rPr>
                <w:rFonts w:hint="eastAsia" w:ascii="宋体" w:hAnsi="宋体" w:eastAsia="宋体" w:cs="宋体"/>
                <w:bCs/>
                <w:color w:val="auto"/>
                <w:szCs w:val="21"/>
                <w:highlight w:val="none"/>
              </w:rPr>
              <w:t>一项评审内容被</w:t>
            </w:r>
            <w:r>
              <w:rPr>
                <w:rFonts w:hint="eastAsia" w:ascii="宋体" w:hAnsi="宋体" w:eastAsia="宋体" w:cs="宋体"/>
                <w:bCs/>
                <w:color w:val="auto"/>
                <w:szCs w:val="21"/>
                <w:highlight w:val="none"/>
                <w:lang w:val="en-US" w:eastAsia="zh-CN"/>
              </w:rPr>
              <w:t>超过一半</w:t>
            </w:r>
            <w:r>
              <w:rPr>
                <w:rFonts w:hint="eastAsia" w:ascii="宋体" w:hAnsi="宋体" w:eastAsia="宋体" w:cs="宋体"/>
                <w:bCs/>
                <w:color w:val="auto"/>
                <w:szCs w:val="21"/>
                <w:highlight w:val="none"/>
              </w:rPr>
              <w:t>评标委员会</w:t>
            </w:r>
            <w:r>
              <w:rPr>
                <w:rFonts w:hint="eastAsia" w:ascii="宋体" w:hAnsi="宋体" w:eastAsia="宋体" w:cs="宋体"/>
                <w:bCs/>
                <w:color w:val="auto"/>
                <w:szCs w:val="21"/>
                <w:highlight w:val="none"/>
                <w:lang w:val="en-US" w:eastAsia="zh-CN"/>
              </w:rPr>
              <w:t>成员</w:t>
            </w:r>
            <w:r>
              <w:rPr>
                <w:rFonts w:hint="eastAsia" w:ascii="宋体" w:hAnsi="宋体" w:eastAsia="宋体" w:cs="宋体"/>
                <w:bCs/>
                <w:color w:val="auto"/>
                <w:szCs w:val="21"/>
                <w:highlight w:val="none"/>
              </w:rPr>
              <w:t>判定为不合格的，施工组织设计不合格，应当否决其投标</w:t>
            </w:r>
            <w:r>
              <w:rPr>
                <w:rFonts w:hint="eastAsia" w:ascii="宋体" w:hAnsi="宋体" w:cs="宋体"/>
                <w:bCs/>
                <w:color w:val="auto"/>
                <w:szCs w:val="21"/>
                <w:highlight w:val="none"/>
                <w:lang w:eastAsia="zh-CN"/>
              </w:rPr>
              <w:t>；</w:t>
            </w:r>
          </w:p>
          <w:p>
            <w:pPr>
              <w:keepNext w:val="0"/>
              <w:keepLines w:val="0"/>
              <w:widowControl/>
              <w:suppressLineNumbers w:val="0"/>
              <w:shd w:val="clear" w:color="auto" w:fill="FFFFFF"/>
              <w:spacing w:before="0" w:beforeAutospacing="0" w:after="0" w:afterAutospacing="0"/>
              <w:ind w:left="0" w:right="0"/>
              <w:rPr>
                <w:rFonts w:hint="eastAsia" w:ascii="宋体" w:hAnsi="宋体" w:cs="宋体"/>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施工组织设计</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不合格的，评标委员会应当注明理由和依据。</w:t>
            </w:r>
          </w:p>
        </w:tc>
      </w:tr>
    </w:tbl>
    <w:p>
      <w:pPr>
        <w:widowControl/>
        <w:jc w:val="left"/>
        <w:rPr>
          <w:color w:val="auto"/>
          <w:highlight w:val="none"/>
        </w:rPr>
      </w:pPr>
      <w:r>
        <w:rPr>
          <w:color w:val="auto"/>
          <w:highlight w:val="none"/>
        </w:rPr>
        <w:br w:type="page"/>
      </w:r>
      <w:r>
        <w:rPr>
          <w:color w:val="auto"/>
          <w:highlight w:val="none"/>
        </w:rPr>
        <w:t xml:space="preserve"> </w:t>
      </w:r>
    </w:p>
    <w:tbl>
      <w:tblPr>
        <w:tblStyle w:val="39"/>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65"/>
        <w:gridCol w:w="1033"/>
        <w:gridCol w:w="101"/>
        <w:gridCol w:w="1275"/>
        <w:gridCol w:w="2552"/>
        <w:gridCol w:w="847"/>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09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382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254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w:t>
            </w:r>
          </w:p>
          <w:p>
            <w:pPr>
              <w:keepNext w:val="0"/>
              <w:keepLines w:val="0"/>
              <w:suppressLineNumbers w:val="0"/>
              <w:spacing w:before="0" w:beforeAutospacing="0" w:after="0" w:afterAutospacing="0"/>
              <w:ind w:left="0" w:right="0"/>
              <w:jc w:val="center"/>
              <w:rPr>
                <w:rFonts w:hint="eastAsia" w:ascii="宋体" w:hAnsi="宋体" w:cs="宋体"/>
                <w:strike/>
                <w:color w:val="auto"/>
                <w:kern w:val="0"/>
                <w:szCs w:val="21"/>
                <w:highlight w:val="none"/>
              </w:rPr>
            </w:pPr>
            <w:r>
              <w:rPr>
                <w:rFonts w:hint="eastAsia" w:ascii="宋体" w:hAnsi="宋体" w:cs="宋体"/>
                <w:color w:val="auto"/>
                <w:kern w:val="0"/>
                <w:szCs w:val="21"/>
                <w:highlight w:val="none"/>
              </w:rPr>
              <w:t>（4）</w:t>
            </w:r>
          </w:p>
        </w:tc>
        <w:tc>
          <w:tcPr>
            <w:tcW w:w="8469"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业绩及信用评审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99"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类别</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数量和分值</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最低分</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vMerge w:val="restart"/>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人</w:t>
            </w:r>
          </w:p>
        </w:tc>
        <w:tc>
          <w:tcPr>
            <w:tcW w:w="1134"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类似工</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程业绩</w:t>
            </w: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业绩</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kern w:val="0"/>
                <w:szCs w:val="21"/>
                <w:highlight w:val="none"/>
              </w:rPr>
              <w:t>施工业绩，每个</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分</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加分制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p>
        </w:tc>
        <w:tc>
          <w:tcPr>
            <w:tcW w:w="1134" w:type="dxa"/>
            <w:gridSpan w:val="2"/>
            <w:vMerge w:val="restart"/>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优良信息</w:t>
            </w: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施工招投标信用评价</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kern w:val="0"/>
                <w:szCs w:val="21"/>
                <w:highlight w:val="none"/>
              </w:rPr>
              <w:t>施工招标投标信用评价得分×</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加分制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p>
        </w:tc>
        <w:tc>
          <w:tcPr>
            <w:tcW w:w="1134"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施工项目季度考评综合优良率</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施工项目季度考评综合优良率得分</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加分制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1134"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不良信用信息</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项目经理存在信用评价不良信用信息的，根据不良信用信息类型，按照表后注解对应的分值进行扣除。</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469" w:type="dxa"/>
            <w:gridSpan w:val="8"/>
            <w:noWrap w:val="0"/>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1.类似工程业绩</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招标人可以根据项目实际情况选取0-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个类似工程业绩纳入评审。</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 评审依据：以投标文件中提供的中标通知书（招标工程提交）、 合同和竣工验收资料以及本项目答疑文件明确可以作为评审依据的资料的复印件为准，并提供“湖南省智慧住建云—湖南省建筑市场监管公共服务平台”或者“全国建筑市场监管公共服务平台”上体现其作为相应承包人的项目网页截图。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投标人提供的类似工程业绩同时包含多个工程类别（专业）的，其工程类别（专业）所对应的工程量应当依次按照中标通知书、合同、竣工验收资料、项目答疑文件明确可以作为评审依据的资料进行认定。</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以上资料均不能明确区分的，由评标委员会进行认定。</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 评审期限：3年，自工程竣工验收文件中建设单位签字或盖章之日起计算。类似工程业绩评审依据中竣工验收备案表未体现建设单位签字或盖章之日的，以竣工验收备案表“竣工验收日期”栏中注明的时间为准。</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不良</w:t>
            </w:r>
            <w:r>
              <w:rPr>
                <w:rFonts w:hint="eastAsia" w:ascii="宋体" w:hAnsi="宋体" w:cs="宋体"/>
                <w:color w:val="auto"/>
                <w:szCs w:val="21"/>
                <w:highlight w:val="none"/>
                <w:lang w:val="en-US" w:eastAsia="zh-CN"/>
              </w:rPr>
              <w:t>信用信息</w:t>
            </w:r>
            <w:r>
              <w:rPr>
                <w:rFonts w:hint="eastAsia" w:ascii="宋体" w:hAnsi="宋体" w:cs="宋体"/>
                <w:color w:val="auto"/>
                <w:szCs w:val="21"/>
                <w:highlight w:val="none"/>
              </w:rPr>
              <w:t>：</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按照</w:t>
            </w:r>
            <w:r>
              <w:rPr>
                <w:rFonts w:hint="eastAsia" w:ascii="宋体" w:hAnsi="宋体" w:eastAsia="宋体" w:cs="宋体"/>
                <w:color w:val="auto"/>
                <w:szCs w:val="21"/>
                <w:highlight w:val="none"/>
              </w:rPr>
              <w:t>以下不良信用信息</w:t>
            </w:r>
            <w:r>
              <w:rPr>
                <w:rFonts w:hint="eastAsia" w:ascii="宋体" w:hAnsi="宋体" w:eastAsia="宋体" w:cs="宋体"/>
                <w:color w:val="auto"/>
                <w:szCs w:val="21"/>
                <w:highlight w:val="none"/>
                <w:lang w:val="en-US" w:eastAsia="zh-CN"/>
              </w:rPr>
              <w:t>扣分标准</w:t>
            </w:r>
            <w:r>
              <w:rPr>
                <w:rFonts w:hint="eastAsia" w:ascii="宋体" w:hAnsi="宋体" w:eastAsia="宋体" w:cs="宋体"/>
                <w:color w:val="auto"/>
                <w:szCs w:val="21"/>
                <w:highlight w:val="none"/>
              </w:rPr>
              <w:t>扣分，</w:t>
            </w:r>
            <w:r>
              <w:rPr>
                <w:rFonts w:hint="eastAsia" w:ascii="宋体" w:hAnsi="宋体" w:eastAsia="宋体" w:cs="宋体"/>
                <w:color w:val="auto"/>
                <w:szCs w:val="21"/>
                <w:highlight w:val="none"/>
                <w:lang w:eastAsia="zh-CN"/>
              </w:rPr>
              <w:t>严重失信行为名单（含失信黑名单，下同）</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扣8分、刑事处罚</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扣2分、失信被执行人</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扣1分、行政处罚</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扣0.5分、严重不良行为记录</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扣0.5分、一般不良行为记录</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扣0.3分。湖南省行政区域内的不良行为记录以湖南省住房和城乡建设厅发布的结果为准；湖南省行政区域外的不良行为记录以全国建筑市场监管公共服务平台发布的信息为准，按严重不良行为记录扣分。</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不良信用信息扣分有效期同</w:t>
            </w:r>
            <w:r>
              <w:rPr>
                <w:rFonts w:hint="eastAsia" w:ascii="宋体" w:hAnsi="宋体" w:eastAsia="宋体" w:cs="宋体"/>
                <w:color w:val="auto"/>
                <w:kern w:val="0"/>
                <w:szCs w:val="21"/>
                <w:highlight w:val="none"/>
                <w:lang w:val="en-US" w:eastAsia="zh-CN"/>
              </w:rPr>
              <w:t>综合评估法后备注。</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园林绿化工程定义</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办法所称园林绿化工程的定义按照住房城乡建设部《园林绿化工程建设管理规定》（建城〔2017〕251号）相关条款执行。园林绿化工程施工招标时，应在招标文件载明其属于园林绿化工程，招标人不得将具备原城市园林绿化企业资质、市政公用工程施工总承包资质、建筑工程施工总承包资质等其他企业资质作为园林绿化工程投标人资格条件。</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kern w:val="0"/>
                <w:szCs w:val="21"/>
                <w:highlight w:val="none"/>
              </w:rPr>
              <w:t>施工</w:t>
            </w:r>
            <w:r>
              <w:rPr>
                <w:rFonts w:hint="eastAsia" w:ascii="宋体" w:hAnsi="宋体" w:eastAsia="宋体" w:cs="宋体"/>
                <w:color w:val="auto"/>
                <w:kern w:val="0"/>
                <w:szCs w:val="21"/>
                <w:highlight w:val="none"/>
                <w:lang w:val="en-US" w:eastAsia="zh-CN"/>
              </w:rPr>
              <w:t>信用评价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kern w:val="0"/>
                <w:szCs w:val="21"/>
                <w:highlight w:val="none"/>
                <w:lang w:val="en-US" w:eastAsia="zh-CN"/>
              </w:rPr>
              <w:t>计分要求同综合评估法后备注。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3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2.2.4   （5）</w:t>
            </w:r>
          </w:p>
        </w:tc>
        <w:tc>
          <w:tcPr>
            <w:tcW w:w="8469"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投标报价评审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469" w:type="dxa"/>
            <w:gridSpan w:val="8"/>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1．适用于经评审的最低投标</w:t>
            </w:r>
            <w:r>
              <w:rPr>
                <w:rFonts w:hint="eastAsia" w:ascii="Times New Roman" w:hAnsi="Times New Roman" w:eastAsia="宋体" w:cs="Times New Roman"/>
                <w:color w:val="auto"/>
                <w:sz w:val="21"/>
                <w:highlight w:val="none"/>
                <w:lang w:val="en-US" w:eastAsia="zh-CN"/>
              </w:rPr>
              <w:t>价</w:t>
            </w:r>
            <w:r>
              <w:rPr>
                <w:rFonts w:hint="eastAsia" w:ascii="Times New Roman" w:hAnsi="Times New Roman" w:eastAsia="宋体" w:cs="Times New Roman"/>
                <w:color w:val="auto"/>
                <w:sz w:val="21"/>
                <w:highlight w:val="none"/>
              </w:rPr>
              <w:t>法</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2．基准价：Y= A×（1-P）+B×(1-β)×P</w:t>
            </w:r>
          </w:p>
          <w:p>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rPr>
              <w:t>A——进入报价评审环节</w:t>
            </w:r>
            <w:r>
              <w:rPr>
                <w:rFonts w:hint="eastAsia" w:ascii="Times New Roman" w:hAnsi="Times New Roman" w:eastAsia="宋体" w:cs="Times New Roman"/>
                <w:color w:val="auto"/>
                <w:sz w:val="21"/>
                <w:highlight w:val="none"/>
                <w:lang w:val="en-US" w:eastAsia="zh-CN"/>
              </w:rPr>
              <w:t>且不低于成本的</w:t>
            </w:r>
            <w:r>
              <w:rPr>
                <w:rFonts w:hint="eastAsia" w:ascii="Times New Roman" w:hAnsi="Times New Roman" w:eastAsia="宋体" w:cs="Times New Roman"/>
                <w:color w:val="auto"/>
                <w:sz w:val="21"/>
                <w:highlight w:val="none"/>
              </w:rPr>
              <w:t>最低报价</w:t>
            </w:r>
            <w:r>
              <w:rPr>
                <w:rFonts w:hint="eastAsia" w:ascii="Times New Roman" w:hAnsi="Times New Roman" w:eastAsia="宋体" w:cs="Times New Roman"/>
                <w:color w:val="auto"/>
                <w:sz w:val="21"/>
                <w:highlight w:val="none"/>
                <w:lang w:eastAsia="zh-CN"/>
              </w:rPr>
              <w:t>；</w:t>
            </w:r>
          </w:p>
          <w:p>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B——最高投标限价；</w:t>
            </w:r>
          </w:p>
          <w:p>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sz w:val="21"/>
                <w:highlight w:val="none"/>
              </w:rPr>
              <w:t>P——招标人根据项目实际设定抽取区间后随机抽取，抽取区间(间隔0.5%)：60%～62.5%、62.5%～65%、65%～67.5%、67.5%～70%；</w:t>
            </w:r>
            <w:r>
              <w:rPr>
                <w:rFonts w:hint="eastAsia" w:ascii="Times New Roman" w:hAnsi="Times New Roman" w:eastAsia="宋体" w:cs="Times New Roman"/>
                <w:color w:val="auto"/>
                <w:sz w:val="21"/>
                <w:highlight w:val="none"/>
                <w:lang w:val="en-US" w:eastAsia="zh-CN"/>
              </w:rPr>
              <w:t>本项目的抽取区间为</w:t>
            </w:r>
            <w:r>
              <w:rPr>
                <w:rFonts w:hint="eastAsia" w:ascii="Times New Roman" w:hAnsi="Times New Roman" w:eastAsia="宋体" w:cs="Times New Roman"/>
                <w:color w:val="auto"/>
                <w:sz w:val="21"/>
                <w:highlight w:val="none"/>
                <w:u w:val="single"/>
                <w:lang w:val="en-US" w:eastAsia="zh-CN"/>
              </w:rPr>
              <w:t xml:space="preserve">   </w:t>
            </w:r>
            <w:r>
              <w:rPr>
                <w:rFonts w:hint="eastAsia" w:ascii="Times New Roman" w:hAnsi="Times New Roman" w:eastAsia="宋体" w:cs="Times New Roman"/>
                <w:color w:val="auto"/>
                <w:sz w:val="21"/>
                <w:highlight w:val="none"/>
                <w:u w:val="none"/>
                <w:lang w:val="en-US" w:eastAsia="zh-CN"/>
              </w:rPr>
              <w:t>。</w:t>
            </w:r>
          </w:p>
          <w:p>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bCs w:val="0"/>
                <w:color w:val="auto"/>
                <w:sz w:val="21"/>
                <w:highlight w:val="none"/>
                <w:lang w:eastAsia="zh-CN"/>
              </w:rPr>
            </w:pPr>
            <w:r>
              <w:rPr>
                <w:rFonts w:hint="eastAsia" w:ascii="Times New Roman" w:hAnsi="Times New Roman" w:eastAsia="宋体" w:cs="Times New Roman"/>
                <w:color w:val="auto"/>
                <w:kern w:val="2"/>
                <w:sz w:val="21"/>
                <w:highlight w:val="none"/>
              </w:rPr>
              <w:t>β—— 4%、5%、6%、7%、8%</w:t>
            </w:r>
            <w:r>
              <w:rPr>
                <w:rFonts w:hint="eastAsia" w:ascii="Times New Roman" w:hAnsi="Times New Roman" w:eastAsia="宋体" w:cs="Times New Roman"/>
                <w:color w:val="auto"/>
                <w:sz w:val="21"/>
                <w:highlight w:val="none"/>
              </w:rPr>
              <w:t xml:space="preserve"> ，</w:t>
            </w:r>
            <w:r>
              <w:rPr>
                <w:rFonts w:hint="eastAsia" w:ascii="Times New Roman" w:hAnsi="Times New Roman" w:eastAsia="宋体" w:cs="Times New Roman"/>
                <w:color w:val="auto"/>
                <w:kern w:val="2"/>
                <w:sz w:val="21"/>
                <w:highlight w:val="none"/>
              </w:rPr>
              <w:t>开标时随机抽取确定</w:t>
            </w:r>
            <w:r>
              <w:rPr>
                <w:rFonts w:hint="eastAsia" w:ascii="Times New Roman" w:hAnsi="Times New Roman" w:eastAsia="宋体" w:cs="Times New Roman"/>
                <w:color w:val="auto"/>
                <w:kern w:val="2"/>
                <w:sz w:val="21"/>
                <w:highlight w:val="none"/>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bCs w:val="0"/>
                <w:color w:val="auto"/>
                <w:sz w:val="21"/>
                <w:highlight w:val="none"/>
                <w:lang w:val="en-US" w:eastAsia="zh-CN"/>
              </w:rPr>
              <w:t>3</w:t>
            </w:r>
            <w:r>
              <w:rPr>
                <w:rFonts w:hint="eastAsia" w:ascii="Times New Roman" w:hAnsi="Times New Roman" w:eastAsia="宋体" w:cs="Times New Roman"/>
                <w:color w:val="auto"/>
                <w:sz w:val="21"/>
                <w:highlight w:val="none"/>
              </w:rPr>
              <w:t>．经评审的最低投标价，为进入报价评审环节的有效投标报价中大于或者等于</w:t>
            </w:r>
            <w:r>
              <w:rPr>
                <w:rFonts w:hint="eastAsia" w:ascii="Times New Roman" w:hAnsi="Times New Roman" w:eastAsia="宋体" w:cs="Times New Roman"/>
                <w:color w:val="auto"/>
                <w:sz w:val="21"/>
                <w:highlight w:val="none"/>
                <w:lang w:val="en-US" w:eastAsia="zh-CN"/>
              </w:rPr>
              <w:t>基准价</w:t>
            </w:r>
            <w:r>
              <w:rPr>
                <w:rFonts w:hint="eastAsia" w:ascii="Times New Roman" w:hAnsi="Times New Roman" w:eastAsia="宋体" w:cs="Times New Roman"/>
                <w:color w:val="auto"/>
                <w:sz w:val="21"/>
                <w:highlight w:val="none"/>
              </w:rPr>
              <w:t>的投标报价中的最低报价。</w:t>
            </w:r>
          </w:p>
          <w:p>
            <w:pPr>
              <w:keepNext w:val="0"/>
              <w:keepLines w:val="0"/>
              <w:suppressLineNumbers w:val="0"/>
              <w:spacing w:before="0" w:beforeAutospacing="0" w:after="0" w:afterAutospacing="0"/>
              <w:ind w:left="0" w:right="0"/>
              <w:jc w:val="left"/>
              <w:rPr>
                <w:rFonts w:hint="default" w:ascii="Calibri" w:hAnsi="Calibri" w:eastAsia="宋体" w:cs="Calibri"/>
                <w:color w:val="auto"/>
                <w:highlight w:val="none"/>
                <w:lang w:val="en-US" w:eastAsia="zh-CN"/>
              </w:rPr>
            </w:pPr>
            <w:r>
              <w:rPr>
                <w:rFonts w:hint="eastAsia" w:ascii="宋体" w:hAnsi="宋体" w:eastAsia="宋体" w:cs="仿宋_GB2312"/>
                <w:color w:val="auto"/>
                <w:sz w:val="24"/>
                <w:highlight w:val="none"/>
                <w:lang w:val="en-US" w:eastAsia="zh-CN"/>
              </w:rPr>
              <w:t>4.如</w:t>
            </w:r>
            <w:r>
              <w:rPr>
                <w:rFonts w:hint="eastAsia" w:ascii="Times New Roman" w:hAnsi="Times New Roman" w:eastAsia="宋体" w:cs="Times New Roman"/>
                <w:color w:val="auto"/>
                <w:sz w:val="21"/>
                <w:highlight w:val="none"/>
              </w:rPr>
              <w:t>进入投标报价评审的所有投标人投标报价得分均为0分的，重新招标。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c>
          <w:tcPr>
            <w:tcW w:w="13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计分方式</w:t>
            </w:r>
          </w:p>
        </w:tc>
        <w:tc>
          <w:tcPr>
            <w:tcW w:w="509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投标报价＞基准价</w:t>
            </w:r>
          </w:p>
        </w:tc>
        <w:tc>
          <w:tcPr>
            <w:tcW w:w="13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100-0.5L</w:t>
            </w:r>
          </w:p>
        </w:tc>
        <w:tc>
          <w:tcPr>
            <w:tcW w:w="5095" w:type="dxa"/>
            <w:gridSpan w:val="4"/>
            <w:vMerge w:val="restart"/>
            <w:noWrap w:val="0"/>
            <w:vAlign w:val="center"/>
          </w:tcPr>
          <w:p>
            <w:pPr>
              <w:keepNext w:val="0"/>
              <w:keepLines w:val="0"/>
              <w:suppressLineNumbers w:val="0"/>
              <w:spacing w:before="0" w:beforeAutospacing="0" w:after="0" w:afterAutospacing="0" w:line="320" w:lineRule="exact"/>
              <w:ind w:left="0" w:leftChars="0" w:right="0" w:firstLine="840" w:firstLineChars="35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 xml:space="preserve">投标报价 </w:t>
            </w:r>
            <w:r>
              <w:rPr>
                <w:rFonts w:hint="eastAsia" w:ascii="宋体" w:hAnsi="宋体" w:eastAsia="宋体" w:cs="仿宋_GB2312"/>
                <w:b/>
                <w:bCs/>
                <w:color w:val="auto"/>
                <w:sz w:val="24"/>
                <w:highlight w:val="none"/>
              </w:rPr>
              <w:t>-</w:t>
            </w:r>
            <w:r>
              <w:rPr>
                <w:rFonts w:hint="eastAsia" w:ascii="宋体" w:hAnsi="宋体" w:eastAsia="宋体" w:cs="仿宋_GB2312"/>
                <w:color w:val="auto"/>
                <w:sz w:val="24"/>
                <w:highlight w:val="none"/>
              </w:rPr>
              <w:t xml:space="preserve"> 经评审的最低投标价</w:t>
            </w:r>
          </w:p>
          <w:p>
            <w:pPr>
              <w:keepNext w:val="0"/>
              <w:keepLines w:val="0"/>
              <w:suppressLineNumbers w:val="0"/>
              <w:spacing w:before="0" w:beforeAutospacing="0" w:after="0" w:afterAutospacing="0" w:line="320" w:lineRule="exact"/>
              <w:ind w:left="0" w:right="0" w:firstLine="480" w:firstLineChars="20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 xml:space="preserve">L=    </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w:t>
            </w:r>
            <w:r>
              <w:rPr>
                <w:rFonts w:hint="eastAsia" w:ascii="宋体" w:hAnsi="宋体" w:eastAsia="宋体" w:cs="仿宋_GB2312"/>
                <w:color w:val="auto"/>
                <w:sz w:val="24"/>
                <w:highlight w:val="none"/>
                <w:lang w:val="en-US" w:eastAsia="zh-CN"/>
              </w:rPr>
              <w:t>100</w:t>
            </w:r>
          </w:p>
          <w:p>
            <w:pPr>
              <w:keepNext w:val="0"/>
              <w:keepLines w:val="0"/>
              <w:suppressLineNumbers w:val="0"/>
              <w:spacing w:before="0" w:beforeAutospacing="0" w:after="0" w:afterAutospacing="0"/>
              <w:ind w:left="0" w:right="0" w:firstLine="960" w:firstLineChars="400"/>
              <w:rPr>
                <w:rFonts w:hint="eastAsia" w:ascii="宋体" w:hAnsi="宋体" w:cs="宋体"/>
                <w:color w:val="auto"/>
                <w:szCs w:val="21"/>
                <w:highlight w:val="none"/>
              </w:rPr>
            </w:pPr>
            <w:r>
              <w:rPr>
                <w:rFonts w:hint="eastAsia" w:ascii="宋体" w:hAnsi="宋体" w:eastAsia="宋体" w:cs="仿宋_GB2312"/>
                <w:color w:val="auto"/>
                <w:sz w:val="24"/>
                <w:highlight w:val="none"/>
              </w:rPr>
              <w:t>经评审的最低投标价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投标报价＝经评审的最低投标价</w:t>
            </w:r>
          </w:p>
        </w:tc>
        <w:tc>
          <w:tcPr>
            <w:tcW w:w="13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5095" w:type="dxa"/>
            <w:gridSpan w:val="4"/>
            <w:noWrap w:val="0"/>
            <w:vAlign w:val="center"/>
          </w:tcPr>
          <w:p>
            <w:pPr>
              <w:keepNext w:val="0"/>
              <w:keepLines w:val="0"/>
              <w:suppressLineNumbers w:val="0"/>
              <w:spacing w:before="0" w:beforeAutospacing="0" w:after="0" w:afterAutospacing="0"/>
              <w:ind w:left="0" w:right="0" w:firstLine="840" w:firstLineChars="4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投标报价＜经评审的最低投标价</w:t>
            </w:r>
          </w:p>
        </w:tc>
        <w:tc>
          <w:tcPr>
            <w:tcW w:w="13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5095" w:type="dxa"/>
            <w:gridSpan w:val="4"/>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8469"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4" w:firstLineChars="2"/>
              <w:jc w:val="center"/>
              <w:textAlignment w:val="auto"/>
              <w:rPr>
                <w:rFonts w:hint="eastAsia" w:ascii="宋体" w:hAnsi="宋体" w:cs="宋体"/>
                <w:bCs/>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0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bCs/>
                <w:color w:val="auto"/>
                <w:szCs w:val="21"/>
                <w:highlight w:val="none"/>
              </w:rPr>
            </w:pPr>
            <w:r>
              <w:rPr>
                <w:rFonts w:hint="eastAsia" w:ascii="宋体" w:hAnsi="宋体" w:cs="宋体"/>
                <w:color w:val="auto"/>
                <w:szCs w:val="21"/>
                <w:highlight w:val="none"/>
              </w:rPr>
              <w:t>评标详细程序</w:t>
            </w:r>
          </w:p>
        </w:tc>
        <w:tc>
          <w:tcPr>
            <w:tcW w:w="63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bCs/>
                <w:color w:val="auto"/>
                <w:szCs w:val="21"/>
                <w:highlight w:val="none"/>
              </w:rPr>
            </w:pPr>
            <w:r>
              <w:rPr>
                <w:rFonts w:hint="eastAsia" w:ascii="宋体" w:hAnsi="宋体" w:cs="宋体"/>
                <w:color w:val="auto"/>
                <w:szCs w:val="21"/>
                <w:highlight w:val="none"/>
              </w:rPr>
              <w:t>详见本章附件3-1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3.1.2</w:t>
            </w:r>
          </w:p>
        </w:tc>
        <w:tc>
          <w:tcPr>
            <w:tcW w:w="20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否决投标情形</w:t>
            </w:r>
          </w:p>
        </w:tc>
        <w:tc>
          <w:tcPr>
            <w:tcW w:w="63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详见第二章附件2-2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3.2.2</w:t>
            </w:r>
          </w:p>
        </w:tc>
        <w:tc>
          <w:tcPr>
            <w:tcW w:w="20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判断投标人是否低于成本报价</w:t>
            </w:r>
          </w:p>
        </w:tc>
        <w:tc>
          <w:tcPr>
            <w:tcW w:w="63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详见第二章附件2-3投标报价成本评审办法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3.3.2</w:t>
            </w:r>
          </w:p>
        </w:tc>
        <w:tc>
          <w:tcPr>
            <w:tcW w:w="20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进入</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评审阶段投标人数量的确定方式</w:t>
            </w:r>
          </w:p>
        </w:tc>
        <w:tc>
          <w:tcPr>
            <w:tcW w:w="63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详见投标人须知前附表</w:t>
            </w:r>
          </w:p>
        </w:tc>
      </w:tr>
    </w:tbl>
    <w:p>
      <w:pPr>
        <w:widowControl/>
        <w:jc w:val="left"/>
        <w:rPr>
          <w:rFonts w:hint="eastAsia"/>
          <w:color w:val="auto"/>
          <w:highlight w:val="none"/>
        </w:rPr>
      </w:pPr>
    </w:p>
    <w:p>
      <w:pPr>
        <w:spacing w:line="312" w:lineRule="auto"/>
        <w:jc w:val="center"/>
        <w:rPr>
          <w:rFonts w:eastAsia="黑体"/>
          <w:bCs/>
          <w:color w:val="auto"/>
          <w:sz w:val="30"/>
          <w:highlight w:val="none"/>
        </w:rPr>
      </w:pPr>
      <w:r>
        <w:rPr>
          <w:color w:val="auto"/>
          <w:highlight w:val="none"/>
        </w:rPr>
        <w:br w:type="page"/>
      </w:r>
      <w:r>
        <w:rPr>
          <w:rFonts w:eastAsia="黑体"/>
          <w:bCs/>
          <w:color w:val="auto"/>
          <w:sz w:val="30"/>
          <w:highlight w:val="none"/>
        </w:rPr>
        <w:t>评标办法（经评审的最低投标价法）</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color w:val="auto"/>
          <w:szCs w:val="21"/>
          <w:highlight w:val="none"/>
        </w:rPr>
        <w:t>本次评标采用</w:t>
      </w:r>
      <w:r>
        <w:rPr>
          <w:color w:val="auto"/>
          <w:highlight w:val="none"/>
        </w:rPr>
        <w:t>经评审的最低投标价法。评标委员会对满足招标文件实质要求的投标文件，根据规定的评分标准进行评审计分，</w:t>
      </w:r>
      <w:r>
        <w:rPr>
          <w:color w:val="auto"/>
          <w:szCs w:val="21"/>
          <w:highlight w:val="none"/>
        </w:rPr>
        <w:t>并按评标总得分由高到低顺序推荐中标候选人。</w:t>
      </w:r>
    </w:p>
    <w:p>
      <w:pPr>
        <w:pStyle w:val="3"/>
        <w:pageBreakBefore w:val="0"/>
        <w:widowControl w:val="0"/>
        <w:kinsoku/>
        <w:wordWrap/>
        <w:overflowPunct/>
        <w:topLinePunct w:val="0"/>
        <w:autoSpaceDE/>
        <w:autoSpaceDN/>
        <w:bidi w:val="0"/>
        <w:adjustRightInd/>
        <w:snapToGrid w:val="0"/>
        <w:spacing w:before="0" w:after="0" w:line="400" w:lineRule="exact"/>
        <w:textAlignment w:val="auto"/>
        <w:rPr>
          <w:rFonts w:ascii="Times New Roman" w:hAnsi="Times New Roman" w:eastAsia="黑体"/>
          <w:b w:val="0"/>
          <w:bCs w:val="0"/>
          <w:color w:val="auto"/>
          <w:sz w:val="30"/>
          <w:highlight w:val="none"/>
        </w:rPr>
      </w:pPr>
      <w:bookmarkStart w:id="182" w:name="_Toc9178529"/>
      <w:bookmarkStart w:id="183" w:name="_Toc9178332"/>
      <w:bookmarkStart w:id="184" w:name="_Toc80006100"/>
      <w:bookmarkStart w:id="185" w:name="_Toc80006210"/>
      <w:bookmarkStart w:id="186" w:name="_Toc9178190"/>
      <w:r>
        <w:rPr>
          <w:rFonts w:ascii="Times New Roman" w:hAnsi="Times New Roman" w:eastAsia="黑体"/>
          <w:b w:val="0"/>
          <w:bCs w:val="0"/>
          <w:color w:val="auto"/>
          <w:sz w:val="30"/>
          <w:highlight w:val="none"/>
        </w:rPr>
        <w:t>1.评审标准</w:t>
      </w:r>
      <w:bookmarkEnd w:id="182"/>
      <w:bookmarkEnd w:id="183"/>
      <w:bookmarkEnd w:id="184"/>
      <w:bookmarkEnd w:id="185"/>
      <w:bookmarkEnd w:id="186"/>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highlight w:val="none"/>
        </w:rPr>
      </w:pPr>
      <w:r>
        <w:rPr>
          <w:rFonts w:hint="eastAsia"/>
          <w:color w:val="auto"/>
          <w:highlight w:val="none"/>
        </w:rPr>
        <w:t>1</w:t>
      </w:r>
      <w:r>
        <w:rPr>
          <w:color w:val="auto"/>
          <w:highlight w:val="none"/>
        </w:rPr>
        <w:t>.1 形式评审标准：见评标办法前附表。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highlight w:val="none"/>
        </w:rPr>
      </w:pPr>
      <w:r>
        <w:rPr>
          <w:color w:val="auto"/>
          <w:highlight w:val="none"/>
        </w:rPr>
        <w:t>1.2 资格评审标准：见评标办法前附表</w:t>
      </w:r>
    </w:p>
    <w:p>
      <w:pPr>
        <w:pageBreakBefore w:val="0"/>
        <w:widowControl w:val="0"/>
        <w:kinsoku/>
        <w:wordWrap/>
        <w:overflowPunct/>
        <w:topLinePunct w:val="0"/>
        <w:autoSpaceDE/>
        <w:autoSpaceDN/>
        <w:bidi w:val="0"/>
        <w:adjustRightInd/>
        <w:snapToGrid w:val="0"/>
        <w:spacing w:line="400" w:lineRule="exact"/>
        <w:ind w:firstLine="840" w:firstLineChars="400"/>
        <w:textAlignment w:val="auto"/>
        <w:rPr>
          <w:color w:val="auto"/>
          <w:highlight w:val="none"/>
        </w:rPr>
      </w:pPr>
      <w:r>
        <w:rPr>
          <w:color w:val="auto"/>
          <w:highlight w:val="none"/>
        </w:rPr>
        <w:t>已进行资格预审的，见本招标项目资格预审文件第三章“资格审查办法”详细审查标准</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highlight w:val="none"/>
        </w:rPr>
      </w:pPr>
      <w:r>
        <w:rPr>
          <w:color w:val="auto"/>
          <w:highlight w:val="none"/>
        </w:rPr>
        <w:t>1.3 响应性评审标准：见评标办法前附表。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lang w:val="en-US" w:eastAsia="zh-CN"/>
        </w:rPr>
        <w:t>1.4</w:t>
      </w:r>
      <w:r>
        <w:rPr>
          <w:color w:val="auto"/>
          <w:szCs w:val="21"/>
          <w:highlight w:val="none"/>
        </w:rPr>
        <w:t>施工组织设计</w:t>
      </w:r>
      <w:r>
        <w:rPr>
          <w:rFonts w:hint="eastAsia"/>
          <w:color w:val="auto"/>
          <w:szCs w:val="21"/>
          <w:highlight w:val="none"/>
        </w:rPr>
        <w:t>评审标准</w:t>
      </w:r>
      <w:r>
        <w:rPr>
          <w:color w:val="auto"/>
          <w:szCs w:val="21"/>
          <w:highlight w:val="none"/>
        </w:rPr>
        <w:t>：见评标办法前附表；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lang w:val="en-US" w:eastAsia="zh-CN"/>
        </w:rPr>
        <w:t>1.5</w:t>
      </w:r>
      <w:r>
        <w:rPr>
          <w:rFonts w:hint="eastAsia"/>
          <w:color w:val="auto"/>
          <w:szCs w:val="21"/>
          <w:highlight w:val="none"/>
        </w:rPr>
        <w:t>业绩及</w:t>
      </w:r>
      <w:r>
        <w:rPr>
          <w:color w:val="auto"/>
          <w:szCs w:val="21"/>
          <w:highlight w:val="none"/>
        </w:rPr>
        <w:t>信用评</w:t>
      </w:r>
      <w:r>
        <w:rPr>
          <w:rFonts w:hint="eastAsia"/>
          <w:color w:val="auto"/>
          <w:szCs w:val="21"/>
          <w:highlight w:val="none"/>
        </w:rPr>
        <w:t>审评审标准</w:t>
      </w:r>
      <w:r>
        <w:rPr>
          <w:color w:val="auto"/>
          <w:szCs w:val="21"/>
          <w:highlight w:val="none"/>
        </w:rPr>
        <w:t>：见评标办法前附表；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lang w:val="en-US" w:eastAsia="zh-CN"/>
        </w:rPr>
        <w:t>1.6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pPr>
        <w:pStyle w:val="3"/>
        <w:pageBreakBefore w:val="0"/>
        <w:widowControl w:val="0"/>
        <w:kinsoku/>
        <w:wordWrap/>
        <w:overflowPunct/>
        <w:topLinePunct w:val="0"/>
        <w:autoSpaceDE/>
        <w:autoSpaceDN/>
        <w:bidi w:val="0"/>
        <w:adjustRightInd/>
        <w:snapToGrid w:val="0"/>
        <w:spacing w:before="0" w:after="0" w:line="400" w:lineRule="exact"/>
        <w:textAlignment w:val="auto"/>
        <w:rPr>
          <w:rFonts w:hint="default" w:ascii="Times New Roman" w:hAnsi="Times New Roman" w:eastAsia="黑体"/>
          <w:b w:val="0"/>
          <w:bCs w:val="0"/>
          <w:color w:val="auto"/>
          <w:sz w:val="30"/>
          <w:highlight w:val="none"/>
          <w:lang w:val="en-US" w:eastAsia="zh-CN"/>
        </w:rPr>
      </w:pPr>
      <w:bookmarkStart w:id="187" w:name="_Toc9178530"/>
      <w:bookmarkStart w:id="188" w:name="_Toc9178191"/>
      <w:bookmarkStart w:id="189" w:name="_Toc80006211"/>
      <w:bookmarkStart w:id="190" w:name="_Toc80006101"/>
      <w:bookmarkStart w:id="191" w:name="_Toc9178333"/>
      <w:r>
        <w:rPr>
          <w:rFonts w:ascii="Times New Roman" w:hAnsi="Times New Roman" w:eastAsia="黑体"/>
          <w:b w:val="0"/>
          <w:bCs w:val="0"/>
          <w:color w:val="auto"/>
          <w:sz w:val="30"/>
          <w:highlight w:val="none"/>
        </w:rPr>
        <w:t>2.评审程序</w:t>
      </w:r>
      <w:bookmarkEnd w:id="187"/>
      <w:bookmarkEnd w:id="188"/>
      <w:bookmarkEnd w:id="189"/>
      <w:bookmarkEnd w:id="190"/>
      <w:bookmarkEnd w:id="191"/>
      <w:r>
        <w:rPr>
          <w:rFonts w:hint="eastAsia" w:ascii="Times New Roman" w:hAnsi="Times New Roman" w:eastAsia="黑体"/>
          <w:b w:val="0"/>
          <w:bCs w:val="0"/>
          <w:color w:val="auto"/>
          <w:sz w:val="30"/>
          <w:highlight w:val="none"/>
          <w:lang w:val="en-US" w:eastAsia="zh-CN"/>
        </w:rPr>
        <w:t>及澄清</w:t>
      </w:r>
    </w:p>
    <w:p>
      <w:pPr>
        <w:pStyle w:val="5"/>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黑体"/>
          <w:b w:val="0"/>
          <w:bCs w:val="0"/>
          <w:color w:val="auto"/>
          <w:sz w:val="24"/>
          <w:highlight w:val="none"/>
          <w:lang w:val="en-US" w:eastAsia="zh-CN"/>
        </w:rPr>
      </w:pPr>
      <w:r>
        <w:rPr>
          <w:rFonts w:ascii="Times New Roman" w:hAnsi="Times New Roman" w:eastAsia="黑体"/>
          <w:b w:val="0"/>
          <w:bCs w:val="0"/>
          <w:color w:val="auto"/>
          <w:sz w:val="24"/>
          <w:highlight w:val="none"/>
        </w:rPr>
        <w:t>2.1 评审</w:t>
      </w:r>
      <w:r>
        <w:rPr>
          <w:rFonts w:hint="eastAsia" w:ascii="Times New Roman" w:hAnsi="Times New Roman" w:eastAsia="黑体"/>
          <w:b w:val="0"/>
          <w:bCs w:val="0"/>
          <w:color w:val="auto"/>
          <w:sz w:val="24"/>
          <w:highlight w:val="none"/>
          <w:lang w:val="en-US" w:eastAsia="zh-CN"/>
        </w:rPr>
        <w:t>程序</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1．</w:t>
      </w:r>
      <w:r>
        <w:rPr>
          <w:rFonts w:hint="eastAsia" w:ascii="Times New Roman" w:hAnsi="Times New Roman" w:eastAsia="宋体" w:cs="Times New Roman"/>
          <w:color w:val="auto"/>
          <w:kern w:val="0"/>
          <w:szCs w:val="32"/>
          <w:highlight w:val="none"/>
          <w:lang w:val="en-US" w:eastAsia="zh-CN"/>
        </w:rPr>
        <w:t>施工组织设计</w:t>
      </w:r>
      <w:r>
        <w:rPr>
          <w:rFonts w:ascii="Times New Roman" w:hAnsi="Times New Roman" w:eastAsia="宋体" w:cs="Times New Roman"/>
          <w:color w:val="auto"/>
          <w:kern w:val="0"/>
          <w:szCs w:val="32"/>
          <w:highlight w:val="none"/>
        </w:rPr>
        <w:t>评审。</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2．</w:t>
      </w:r>
      <w:r>
        <w:rPr>
          <w:rFonts w:hint="eastAsia" w:ascii="Times New Roman" w:hAnsi="Times New Roman" w:eastAsia="宋体" w:cs="Times New Roman"/>
          <w:color w:val="auto"/>
          <w:kern w:val="0"/>
          <w:szCs w:val="32"/>
          <w:highlight w:val="none"/>
          <w:lang w:val="en-US" w:eastAsia="zh-CN"/>
        </w:rPr>
        <w:t>形式、资格、响应性评审</w:t>
      </w:r>
      <w:r>
        <w:rPr>
          <w:rFonts w:ascii="Times New Roman" w:hAnsi="Times New Roman" w:eastAsia="宋体" w:cs="Times New Roman"/>
          <w:color w:val="auto"/>
          <w:kern w:val="0"/>
          <w:szCs w:val="32"/>
          <w:highlight w:val="none"/>
        </w:rPr>
        <w:t>。</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3.</w:t>
      </w:r>
      <w:r>
        <w:rPr>
          <w:rFonts w:hint="eastAsia" w:ascii="Times New Roman" w:hAnsi="Times New Roman" w:eastAsia="宋体" w:cs="Times New Roman"/>
          <w:color w:val="auto"/>
          <w:kern w:val="0"/>
          <w:szCs w:val="32"/>
          <w:highlight w:val="none"/>
          <w:lang w:val="en-US" w:eastAsia="zh-CN"/>
        </w:rPr>
        <w:t xml:space="preserve"> 业绩及信用</w:t>
      </w:r>
      <w:r>
        <w:rPr>
          <w:rFonts w:ascii="Times New Roman" w:hAnsi="Times New Roman" w:eastAsia="宋体" w:cs="Times New Roman"/>
          <w:color w:val="auto"/>
          <w:kern w:val="0"/>
          <w:szCs w:val="32"/>
          <w:highlight w:val="none"/>
        </w:rPr>
        <w:t>评审。</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4</w:t>
      </w:r>
      <w:r>
        <w:rPr>
          <w:rFonts w:hint="eastAsia" w:ascii="Times New Roman" w:hAnsi="Times New Roman" w:eastAsia="宋体" w:cs="Times New Roman"/>
          <w:color w:val="auto"/>
          <w:kern w:val="0"/>
          <w:szCs w:val="32"/>
          <w:highlight w:val="none"/>
        </w:rPr>
        <w:t>．确定</w:t>
      </w:r>
      <w:r>
        <w:rPr>
          <w:rFonts w:hint="eastAsia" w:ascii="Times New Roman" w:hAnsi="Times New Roman" w:eastAsia="宋体" w:cs="Times New Roman"/>
          <w:color w:val="auto"/>
          <w:kern w:val="0"/>
          <w:szCs w:val="32"/>
          <w:highlight w:val="none"/>
          <w:lang w:val="en-US" w:eastAsia="zh-CN"/>
        </w:rPr>
        <w:t>进入报价评审的</w:t>
      </w:r>
      <w:r>
        <w:rPr>
          <w:rFonts w:ascii="Times New Roman" w:hAnsi="Times New Roman" w:eastAsia="宋体" w:cs="Times New Roman"/>
          <w:color w:val="auto"/>
          <w:kern w:val="0"/>
          <w:szCs w:val="32"/>
          <w:highlight w:val="none"/>
        </w:rPr>
        <w:t>投标人。</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5</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报价评审。</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6</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汇总评分结果。</w:t>
      </w:r>
    </w:p>
    <w:p>
      <w:pPr>
        <w:pStyle w:val="5"/>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2.2 投标文件的澄清和补正</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评标委员会可以书面形式要求投标人对所提交的投标文件中不明确的内容进行书面澄清</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说明或者补正。评标委员会不接受投标人主动提出的澄清、说明或补正。</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.2 澄清、说明和补正不得改变投标文件的实质性内容。投标人的书面澄清、说明和补正属于投标文件的组成部分。</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.3 评标委员会对投标人提交的澄清、说明或补正有疑问的，可以要求投标人进一步澄清、说明或补正</w:t>
      </w:r>
      <w:r>
        <w:rPr>
          <w:rFonts w:hint="eastAsia" w:ascii="Times New Roman" w:hAnsi="Times New Roman" w:eastAsia="宋体" w:cs="Times New Roman"/>
          <w:color w:val="auto"/>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bCs/>
          <w:color w:val="auto"/>
          <w:szCs w:val="21"/>
          <w:highlight w:val="none"/>
          <w:lang w:val="en-US" w:eastAsia="zh-CN"/>
        </w:rPr>
        <w:t xml:space="preserve">2.2.4 </w:t>
      </w:r>
      <w:r>
        <w:rPr>
          <w:rFonts w:hint="eastAsia" w:ascii="Times New Roman" w:hAnsi="Times New Roman" w:eastAsia="宋体" w:cs="Times New Roman"/>
          <w:bCs/>
          <w:color w:val="auto"/>
          <w:szCs w:val="21"/>
          <w:highlight w:val="none"/>
        </w:rPr>
        <w:t>评审过程中，评标委员会</w:t>
      </w:r>
      <w:r>
        <w:rPr>
          <w:rFonts w:hint="eastAsia" w:ascii="Times New Roman" w:hAnsi="Times New Roman" w:eastAsia="宋体" w:cs="Times New Roman"/>
          <w:bCs/>
          <w:color w:val="auto"/>
          <w:szCs w:val="21"/>
          <w:highlight w:val="none"/>
          <w:lang w:val="en-US" w:eastAsia="zh-CN"/>
        </w:rPr>
        <w:t>拟作出否决投标决定的</w:t>
      </w:r>
      <w:r>
        <w:rPr>
          <w:rFonts w:hint="eastAsia" w:ascii="Times New Roman" w:hAnsi="Times New Roman" w:eastAsia="宋体" w:cs="Times New Roman"/>
          <w:bCs/>
          <w:color w:val="auto"/>
          <w:szCs w:val="21"/>
          <w:highlight w:val="none"/>
        </w:rPr>
        <w:t>，应</w:t>
      </w:r>
      <w:r>
        <w:rPr>
          <w:rFonts w:hint="eastAsia" w:ascii="Times New Roman" w:hAnsi="Times New Roman" w:eastAsia="宋体" w:cs="Times New Roman"/>
          <w:bCs/>
          <w:color w:val="auto"/>
          <w:szCs w:val="21"/>
          <w:highlight w:val="none"/>
          <w:lang w:val="en-US" w:eastAsia="zh-CN"/>
        </w:rPr>
        <w:t>要求投标人进行书面澄清、说明或补正，未进行该程序的，不得作出否决投标决定，投标人未按要求进行回复的除外。</w:t>
      </w:r>
    </w:p>
    <w:p>
      <w:pPr>
        <w:pageBreakBefore w:val="0"/>
        <w:widowControl w:val="0"/>
        <w:kinsoku/>
        <w:wordWrap/>
        <w:overflowPunct/>
        <w:topLinePunct w:val="0"/>
        <w:autoSpaceDE/>
        <w:autoSpaceDN/>
        <w:bidi w:val="0"/>
        <w:adjustRightInd/>
        <w:snapToGrid w:val="0"/>
        <w:spacing w:line="400" w:lineRule="exact"/>
        <w:ind w:firstLine="562" w:firstLineChars="200"/>
        <w:textAlignment w:val="auto"/>
        <w:rPr>
          <w:rFonts w:eastAsia="黑体"/>
          <w:b/>
          <w:bCs/>
          <w:color w:val="auto"/>
          <w:sz w:val="28"/>
          <w:szCs w:val="28"/>
          <w:highlight w:val="none"/>
        </w:rPr>
      </w:pPr>
      <w:bookmarkStart w:id="192" w:name="_Toc80006102"/>
      <w:bookmarkStart w:id="193" w:name="_Toc80006212"/>
      <w:r>
        <w:rPr>
          <w:rFonts w:hint="eastAsia" w:eastAsia="黑体"/>
          <w:b/>
          <w:bCs/>
          <w:color w:val="auto"/>
          <w:sz w:val="28"/>
          <w:szCs w:val="28"/>
          <w:highlight w:val="none"/>
        </w:rPr>
        <w:t>3.</w:t>
      </w:r>
      <w:r>
        <w:rPr>
          <w:rFonts w:eastAsia="黑体"/>
          <w:b/>
          <w:bCs/>
          <w:color w:val="auto"/>
          <w:sz w:val="28"/>
          <w:szCs w:val="28"/>
          <w:highlight w:val="none"/>
        </w:rPr>
        <w:t>评标结果</w:t>
      </w:r>
      <w:bookmarkEnd w:id="192"/>
      <w:bookmarkEnd w:id="193"/>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rPr>
        <w:t>3</w:t>
      </w:r>
      <w:r>
        <w:rPr>
          <w:color w:val="auto"/>
          <w:szCs w:val="21"/>
          <w:highlight w:val="none"/>
        </w:rPr>
        <w:t>.1 评标委员会按照评标总得分由高到低的顺序推荐中标候选人</w:t>
      </w:r>
      <w:r>
        <w:rPr>
          <w:rFonts w:hint="eastAsia"/>
          <w:color w:val="auto"/>
          <w:szCs w:val="21"/>
          <w:highlight w:val="none"/>
        </w:rPr>
        <w:t>。</w:t>
      </w:r>
      <w:r>
        <w:rPr>
          <w:color w:val="auto"/>
          <w:szCs w:val="21"/>
          <w:highlight w:val="none"/>
        </w:rPr>
        <w:t>投标人评标总得分相同时，按照其投标报价由低至高排序</w:t>
      </w:r>
      <w:r>
        <w:rPr>
          <w:rFonts w:hint="eastAsia"/>
          <w:color w:val="auto"/>
          <w:szCs w:val="21"/>
          <w:highlight w:val="none"/>
        </w:rPr>
        <w:t>。投标报价也相同时，按照业绩及信用评审得分由高到低确定排序。以上都相同时，由评标委员会投票确定排序。</w:t>
      </w:r>
    </w:p>
    <w:p>
      <w:pPr>
        <w:pageBreakBefore w:val="0"/>
        <w:widowControl w:val="0"/>
        <w:kinsoku/>
        <w:wordWrap/>
        <w:overflowPunct/>
        <w:topLinePunct w:val="0"/>
        <w:autoSpaceDE/>
        <w:autoSpaceDN/>
        <w:bidi w:val="0"/>
        <w:adjustRightInd/>
        <w:snapToGrid w:val="0"/>
        <w:spacing w:line="400" w:lineRule="exact"/>
        <w:textAlignment w:val="auto"/>
        <w:rPr>
          <w:rFonts w:eastAsia="黑体"/>
          <w:bCs/>
          <w:color w:val="auto"/>
          <w:sz w:val="30"/>
          <w:highlight w:val="none"/>
        </w:rPr>
      </w:pP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highlight w:val="none"/>
        </w:rPr>
        <w:t>3</w:t>
      </w:r>
      <w:r>
        <w:rPr>
          <w:color w:val="auto"/>
          <w:highlight w:val="none"/>
        </w:rPr>
        <w:t>.2 评标委员会完成评标后，向招标人提交书面评标报告。</w:t>
      </w:r>
    </w:p>
    <w:p>
      <w:pPr>
        <w:widowControl/>
        <w:jc w:val="left"/>
        <w:rPr>
          <w:rFonts w:eastAsia="黑体"/>
          <w:bCs/>
          <w:color w:val="auto"/>
          <w:sz w:val="24"/>
          <w:highlight w:val="none"/>
        </w:rPr>
      </w:pPr>
      <w:r>
        <w:rPr>
          <w:rFonts w:eastAsia="黑体"/>
          <w:bCs/>
          <w:color w:val="auto"/>
          <w:sz w:val="30"/>
          <w:highlight w:val="none"/>
        </w:rPr>
        <w:br w:type="page"/>
      </w:r>
      <w:bookmarkEnd w:id="0"/>
      <w:bookmarkStart w:id="194" w:name="_Toc300678090"/>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pPr>
        <w:spacing w:after="157"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pPr>
        <w:spacing w:line="360" w:lineRule="auto"/>
        <w:ind w:firstLine="420" w:firstLineChars="200"/>
        <w:rPr>
          <w:color w:val="auto"/>
          <w:highlight w:val="none"/>
        </w:rPr>
      </w:pPr>
      <w:r>
        <w:rPr>
          <w:color w:val="auto"/>
          <w:highlight w:val="none"/>
        </w:rPr>
        <w:t>本附件是评标办法的组成部分，是对本评标办法规定的评审程序的进一步细化，评标委员会应当按照本附件规定开展评标工作。</w:t>
      </w:r>
    </w:p>
    <w:p>
      <w:pPr>
        <w:spacing w:line="360" w:lineRule="auto"/>
        <w:ind w:firstLine="240" w:firstLineChars="100"/>
        <w:rPr>
          <w:rFonts w:eastAsia="黑体"/>
          <w:color w:val="auto"/>
          <w:sz w:val="24"/>
          <w:highlight w:val="none"/>
        </w:rPr>
      </w:pPr>
      <w:r>
        <w:rPr>
          <w:rFonts w:eastAsia="黑体"/>
          <w:color w:val="auto"/>
          <w:sz w:val="24"/>
          <w:highlight w:val="none"/>
        </w:rPr>
        <w:t>1.基本程序</w:t>
      </w:r>
    </w:p>
    <w:p>
      <w:pPr>
        <w:spacing w:line="360" w:lineRule="auto"/>
        <w:ind w:firstLine="420" w:firstLineChars="200"/>
        <w:rPr>
          <w:color w:val="auto"/>
          <w:highlight w:val="none"/>
        </w:rPr>
      </w:pPr>
      <w:r>
        <w:rPr>
          <w:color w:val="auto"/>
          <w:highlight w:val="none"/>
        </w:rPr>
        <w:t>评标活动将按以下</w:t>
      </w:r>
      <w:r>
        <w:rPr>
          <w:rFonts w:hint="eastAsia"/>
          <w:color w:val="auto"/>
          <w:highlight w:val="none"/>
          <w:lang w:val="en-US" w:eastAsia="zh-CN"/>
        </w:rPr>
        <w:t>六</w:t>
      </w:r>
      <w:r>
        <w:rPr>
          <w:color w:val="auto"/>
          <w:highlight w:val="none"/>
        </w:rPr>
        <w:t>个步骤进行：</w:t>
      </w:r>
    </w:p>
    <w:p>
      <w:pPr>
        <w:numPr>
          <w:ilvl w:val="0"/>
          <w:numId w:val="2"/>
        </w:num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评标准备；</w:t>
      </w:r>
    </w:p>
    <w:p>
      <w:pPr>
        <w:numPr>
          <w:ilvl w:val="0"/>
          <w:numId w:val="2"/>
        </w:num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施工组织设计评审；</w:t>
      </w:r>
    </w:p>
    <w:p>
      <w:pPr>
        <w:spacing w:line="360" w:lineRule="auto"/>
        <w:ind w:firstLine="420" w:firstLineChars="200"/>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3</w:t>
      </w:r>
      <w:r>
        <w:rPr>
          <w:rFonts w:ascii="Times New Roman" w:hAnsi="Times New Roman" w:eastAsia="宋体" w:cs="Times New Roman"/>
          <w:color w:val="auto"/>
          <w:highlight w:val="none"/>
        </w:rPr>
        <w:t>）</w:t>
      </w:r>
      <w:r>
        <w:rPr>
          <w:rFonts w:hint="eastAsia" w:ascii="Times New Roman" w:hAnsi="Times New Roman" w:eastAsia="宋体" w:cs="Times New Roman"/>
          <w:color w:val="auto"/>
          <w:kern w:val="0"/>
          <w:szCs w:val="32"/>
          <w:highlight w:val="none"/>
          <w:lang w:val="en-US" w:eastAsia="zh-CN"/>
        </w:rPr>
        <w:t>形式、资格、响应性评审</w:t>
      </w:r>
      <w:r>
        <w:rPr>
          <w:rFonts w:hint="eastAsia" w:ascii="Times New Roman" w:hAnsi="Times New Roman" w:eastAsia="宋体" w:cs="Times New Roman"/>
          <w:color w:val="auto"/>
          <w:kern w:val="0"/>
          <w:szCs w:val="32"/>
          <w:highlight w:val="none"/>
          <w:lang w:eastAsia="zh-CN"/>
        </w:rPr>
        <w:t>；</w:t>
      </w:r>
    </w:p>
    <w:p>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4）业绩及信用评审；</w:t>
      </w: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（5）投标报价</w:t>
      </w:r>
      <w:r>
        <w:rPr>
          <w:rFonts w:ascii="Times New Roman" w:hAnsi="Times New Roman" w:eastAsia="宋体" w:cs="Times New Roman"/>
          <w:color w:val="auto"/>
          <w:highlight w:val="none"/>
        </w:rPr>
        <w:t>评审</w:t>
      </w:r>
      <w:r>
        <w:rPr>
          <w:rFonts w:hint="eastAsia" w:ascii="Times New Roman" w:hAnsi="Times New Roman" w:eastAsia="宋体" w:cs="Times New Roman"/>
          <w:color w:val="auto"/>
          <w:highlight w:val="none"/>
          <w:lang w:val="en-US" w:eastAsia="zh-CN"/>
        </w:rPr>
        <w:t>；</w:t>
      </w:r>
    </w:p>
    <w:p>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6</w:t>
      </w:r>
      <w:r>
        <w:rPr>
          <w:rFonts w:ascii="Times New Roman" w:hAnsi="Times New Roman" w:eastAsia="宋体" w:cs="Times New Roman"/>
          <w:color w:val="auto"/>
          <w:highlight w:val="none"/>
        </w:rPr>
        <w:t>）推荐中标候选人及提交评标报告。</w:t>
      </w:r>
    </w:p>
    <w:p>
      <w:pPr>
        <w:spacing w:line="360" w:lineRule="auto"/>
        <w:ind w:firstLine="240" w:firstLineChars="100"/>
        <w:rPr>
          <w:rFonts w:eastAsia="黑体"/>
          <w:color w:val="auto"/>
          <w:sz w:val="24"/>
          <w:highlight w:val="none"/>
        </w:rPr>
      </w:pPr>
      <w:r>
        <w:rPr>
          <w:rFonts w:eastAsia="黑体"/>
          <w:color w:val="auto"/>
          <w:sz w:val="24"/>
          <w:highlight w:val="none"/>
        </w:rPr>
        <w:t>2.评标准备</w:t>
      </w:r>
    </w:p>
    <w:p>
      <w:pPr>
        <w:spacing w:line="360" w:lineRule="auto"/>
        <w:ind w:firstLine="420" w:firstLineChars="200"/>
        <w:rPr>
          <w:color w:val="auto"/>
          <w:szCs w:val="21"/>
          <w:highlight w:val="none"/>
        </w:rPr>
      </w:pPr>
      <w:r>
        <w:rPr>
          <w:color w:val="auto"/>
          <w:szCs w:val="21"/>
          <w:highlight w:val="none"/>
        </w:rPr>
        <w:t>2.1 评标委员会成员签到</w:t>
      </w:r>
    </w:p>
    <w:p>
      <w:pPr>
        <w:spacing w:line="360" w:lineRule="auto"/>
        <w:ind w:firstLine="420" w:firstLineChars="200"/>
        <w:rPr>
          <w:color w:val="auto"/>
          <w:highlight w:val="none"/>
        </w:rPr>
      </w:pPr>
      <w:r>
        <w:rPr>
          <w:color w:val="auto"/>
          <w:highlight w:val="none"/>
        </w:rPr>
        <w:t>评标委员会成员到达评标现场时应在签到表上签到以证明其出席。</w:t>
      </w:r>
    </w:p>
    <w:p>
      <w:pPr>
        <w:spacing w:line="360" w:lineRule="auto"/>
        <w:ind w:firstLine="420" w:firstLineChars="200"/>
        <w:rPr>
          <w:color w:val="auto"/>
          <w:szCs w:val="21"/>
          <w:highlight w:val="none"/>
        </w:rPr>
      </w:pPr>
      <w:r>
        <w:rPr>
          <w:color w:val="auto"/>
          <w:szCs w:val="21"/>
          <w:highlight w:val="none"/>
        </w:rPr>
        <w:t>2.2 评标委员会的分工</w:t>
      </w:r>
    </w:p>
    <w:p>
      <w:pPr>
        <w:spacing w:line="360" w:lineRule="auto"/>
        <w:ind w:firstLine="420" w:firstLineChars="200"/>
        <w:rPr>
          <w:color w:val="auto"/>
          <w:highlight w:val="none"/>
        </w:rPr>
      </w:pPr>
      <w:r>
        <w:rPr>
          <w:color w:val="auto"/>
          <w:highlight w:val="none"/>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pPr>
        <w:spacing w:line="360" w:lineRule="auto"/>
        <w:ind w:firstLine="420" w:firstLineChars="200"/>
        <w:rPr>
          <w:color w:val="auto"/>
          <w:szCs w:val="21"/>
          <w:highlight w:val="none"/>
        </w:rPr>
      </w:pPr>
      <w:r>
        <w:rPr>
          <w:color w:val="auto"/>
          <w:szCs w:val="21"/>
          <w:highlight w:val="none"/>
        </w:rPr>
        <w:t>2.3 熟悉文件资料</w:t>
      </w:r>
    </w:p>
    <w:p>
      <w:pPr>
        <w:spacing w:line="360" w:lineRule="auto"/>
        <w:ind w:firstLine="420" w:firstLineChars="200"/>
        <w:rPr>
          <w:color w:val="auto"/>
          <w:highlight w:val="none"/>
        </w:rPr>
      </w:pPr>
      <w:r>
        <w:rPr>
          <w:color w:val="auto"/>
          <w:highlight w:val="none"/>
        </w:rPr>
        <w:t>2.3.1 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pPr>
        <w:spacing w:line="360" w:lineRule="auto"/>
        <w:ind w:firstLine="420" w:firstLineChars="200"/>
        <w:rPr>
          <w:color w:val="auto"/>
          <w:highlight w:val="none"/>
        </w:rPr>
      </w:pPr>
      <w:r>
        <w:rPr>
          <w:color w:val="auto"/>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color w:val="auto"/>
          <w:szCs w:val="21"/>
          <w:highlight w:val="none"/>
        </w:rPr>
      </w:pPr>
      <w:r>
        <w:rPr>
          <w:color w:val="auto"/>
          <w:szCs w:val="21"/>
          <w:highlight w:val="none"/>
        </w:rPr>
        <w:t>2.4 对投标文件进行基础性数据分析和整理工作（以下简称：清标）</w:t>
      </w:r>
    </w:p>
    <w:p>
      <w:pPr>
        <w:spacing w:line="360" w:lineRule="auto"/>
        <w:ind w:firstLine="420" w:firstLineChars="200"/>
        <w:rPr>
          <w:color w:val="auto"/>
          <w:highlight w:val="none"/>
        </w:rPr>
      </w:pPr>
      <w:r>
        <w:rPr>
          <w:color w:val="auto"/>
          <w:highlight w:val="none"/>
        </w:rPr>
        <w:t>2.4.1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澄清、说明或补正的问题，形成质疑问卷，向投标人发出问题澄清通知或者质疑问卷。</w:t>
      </w:r>
    </w:p>
    <w:p>
      <w:pPr>
        <w:spacing w:line="360" w:lineRule="auto"/>
        <w:ind w:firstLine="420" w:firstLineChars="200"/>
        <w:rPr>
          <w:color w:val="auto"/>
          <w:highlight w:val="none"/>
        </w:rPr>
      </w:pPr>
      <w:r>
        <w:rPr>
          <w:color w:val="auto"/>
          <w:highlight w:val="none"/>
        </w:rPr>
        <w:t>2.4.2 投标人应当按照评标委员会的要求，</w:t>
      </w:r>
      <w:bookmarkStart w:id="195" w:name="_Hlk80002807"/>
      <w:r>
        <w:rPr>
          <w:rFonts w:hint="eastAsia"/>
          <w:color w:val="auto"/>
          <w:highlight w:val="none"/>
        </w:rPr>
        <w:t>在规定的时间内通过电子交易平台提供加盖公章或法定代表人（或其委托代理人）签署的澄清、说明或者补正资料。</w:t>
      </w:r>
      <w:bookmarkEnd w:id="195"/>
    </w:p>
    <w:p>
      <w:pPr>
        <w:spacing w:line="360" w:lineRule="auto"/>
        <w:ind w:firstLine="0" w:firstLineChars="0"/>
        <w:rPr>
          <w:rFonts w:ascii="Times New Roman" w:hAnsi="Times New Roman" w:eastAsia="黑体" w:cs="Times New Roman"/>
          <w:color w:val="auto"/>
          <w:sz w:val="24"/>
          <w:szCs w:val="24"/>
          <w:highlight w:val="none"/>
        </w:rPr>
      </w:pPr>
      <w:r>
        <w:rPr>
          <w:rFonts w:eastAsia="黑体"/>
          <w:color w:val="auto"/>
          <w:sz w:val="24"/>
          <w:highlight w:val="none"/>
        </w:rPr>
        <w:t>3.</w:t>
      </w:r>
      <w:r>
        <w:rPr>
          <w:rFonts w:hint="eastAsia" w:ascii="Times New Roman" w:hAnsi="Times New Roman" w:eastAsia="黑体" w:cs="Times New Roman"/>
          <w:color w:val="auto"/>
          <w:sz w:val="24"/>
          <w:szCs w:val="24"/>
          <w:highlight w:val="none"/>
          <w:lang w:val="en-US" w:eastAsia="zh-CN"/>
        </w:rPr>
        <w:t>施工组织设计</w:t>
      </w:r>
      <w:r>
        <w:rPr>
          <w:rFonts w:ascii="Times New Roman" w:hAnsi="Times New Roman" w:eastAsia="黑体" w:cs="Times New Roman"/>
          <w:color w:val="auto"/>
          <w:sz w:val="24"/>
          <w:szCs w:val="24"/>
          <w:highlight w:val="none"/>
        </w:rPr>
        <w:t>评审</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评标委员会对所有投标人提交的施工组织设计进行评审。</w:t>
      </w:r>
    </w:p>
    <w:p>
      <w:pPr>
        <w:spacing w:line="360" w:lineRule="auto"/>
        <w:rPr>
          <w:rFonts w:eastAsia="黑体"/>
          <w:color w:val="auto"/>
          <w:sz w:val="24"/>
          <w:highlight w:val="none"/>
        </w:rPr>
      </w:pPr>
      <w:r>
        <w:rPr>
          <w:rFonts w:hint="eastAsia" w:eastAsia="黑体"/>
          <w:color w:val="auto"/>
          <w:sz w:val="24"/>
          <w:highlight w:val="none"/>
          <w:lang w:val="en-US" w:eastAsia="zh-CN"/>
        </w:rPr>
        <w:t>4.</w:t>
      </w:r>
      <w:r>
        <w:rPr>
          <w:rFonts w:hint="eastAsia" w:eastAsia="黑体"/>
          <w:color w:val="auto"/>
          <w:sz w:val="24"/>
          <w:highlight w:val="none"/>
        </w:rPr>
        <w:t>形式、资格、响应性评审。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评标委员会依据评标办法的规定对投标文件进行评审。有一项不符合评审标准的，应当予以否决。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.1 形式评审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评标委员会根据评标办法前附表中规定的评审因素和评审标准，对投标人的投标文件进行形式评审。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.2 资格评审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w:t>
      </w:r>
      <w:r>
        <w:rPr>
          <w:rFonts w:hint="eastAsia"/>
          <w:color w:val="auto"/>
          <w:highlight w:val="none"/>
          <w:lang w:val="en-US" w:eastAsia="zh-CN"/>
        </w:rPr>
        <w:t>4</w:t>
      </w:r>
      <w:r>
        <w:rPr>
          <w:color w:val="auto"/>
          <w:highlight w:val="none"/>
        </w:rPr>
        <w:t>.2.1未进行资格预审的，由评标委员会根据评标办法前附表规定的评审因素和评审标准，对投标人的投标文件进行资格评审。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w:t>
      </w:r>
      <w:r>
        <w:rPr>
          <w:rFonts w:hint="eastAsia"/>
          <w:color w:val="auto"/>
          <w:highlight w:val="none"/>
          <w:lang w:val="en-US" w:eastAsia="zh-CN"/>
        </w:rPr>
        <w:t>4</w:t>
      </w:r>
      <w:r>
        <w:rPr>
          <w:color w:val="auto"/>
          <w:highlight w:val="none"/>
        </w:rPr>
        <w:t>.2.1已进行资格预审的，评标委员会一般不再对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，由评标委员会依据资格预审文件规定的标准和方法，对照投标人资格预审申请文件中的资料以及开标前更新的资料，对其更新的资料进行评审，其变化后的资格条件不得低于原有资格条件要求。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 xml:space="preserve">.2.2  资格评审过程中，评标委员会发现投标人提交的资格审查资料不全时，应当听取该投标人的说明。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4.3 响应性评审</w:t>
      </w:r>
    </w:p>
    <w:p>
      <w:pPr>
        <w:spacing w:line="360" w:lineRule="auto"/>
        <w:ind w:firstLine="420" w:firstLineChars="200"/>
        <w:rPr>
          <w:color w:val="auto"/>
          <w:highlight w:val="none"/>
        </w:rPr>
      </w:pPr>
      <w:r>
        <w:rPr>
          <w:rFonts w:hint="eastAsia"/>
          <w:color w:val="auto"/>
          <w:highlight w:val="none"/>
          <w:lang w:val="en-US" w:eastAsia="zh-CN"/>
        </w:rPr>
        <w:t>4</w:t>
      </w:r>
      <w:r>
        <w:rPr>
          <w:color w:val="auto"/>
          <w:highlight w:val="none"/>
        </w:rPr>
        <w:t>.3.1 评标委员会根据评标办法前附表中规定的评审因素和评审标准，对投标人的投标文件进行响应性评审。</w:t>
      </w:r>
    </w:p>
    <w:p>
      <w:pPr>
        <w:spacing w:line="360" w:lineRule="auto"/>
        <w:ind w:firstLine="420" w:firstLineChars="200"/>
        <w:rPr>
          <w:color w:val="auto"/>
          <w:highlight w:val="none"/>
        </w:rPr>
      </w:pPr>
      <w:r>
        <w:rPr>
          <w:rFonts w:hint="eastAsia"/>
          <w:color w:val="auto"/>
          <w:highlight w:val="none"/>
          <w:lang w:val="en-US" w:eastAsia="zh-CN"/>
        </w:rPr>
        <w:t>4</w:t>
      </w:r>
      <w:r>
        <w:rPr>
          <w:color w:val="auto"/>
          <w:highlight w:val="none"/>
        </w:rPr>
        <w:t>.3.2 招标文件设定了最高投标限价的，投标人投标价格不得超出（不含等于）“投标人须知”前附表载明的最高投标限价。</w:t>
      </w:r>
    </w:p>
    <w:p>
      <w:pPr>
        <w:spacing w:line="360" w:lineRule="auto"/>
        <w:ind w:firstLine="0" w:firstLineChars="0"/>
        <w:rPr>
          <w:color w:val="auto"/>
          <w:szCs w:val="21"/>
          <w:highlight w:val="none"/>
        </w:rPr>
      </w:pPr>
      <w:r>
        <w:rPr>
          <w:rFonts w:hint="eastAsia"/>
          <w:color w:val="auto"/>
          <w:szCs w:val="21"/>
          <w:highlight w:val="none"/>
          <w:lang w:val="en-US" w:eastAsia="zh-CN"/>
        </w:rPr>
        <w:t>4</w:t>
      </w:r>
      <w:r>
        <w:rPr>
          <w:color w:val="auto"/>
          <w:szCs w:val="21"/>
          <w:highlight w:val="none"/>
        </w:rPr>
        <w:t>.4 算术错误修正</w:t>
      </w:r>
    </w:p>
    <w:p>
      <w:pPr>
        <w:spacing w:line="348" w:lineRule="auto"/>
        <w:ind w:firstLine="420" w:firstLineChars="200"/>
        <w:rPr>
          <w:color w:val="auto"/>
          <w:highlight w:val="none"/>
        </w:rPr>
      </w:pPr>
      <w:r>
        <w:rPr>
          <w:color w:val="auto"/>
          <w:highlight w:val="none"/>
        </w:rPr>
        <w:t>评标委员会检查投标人投标报价是否有算术错误，</w:t>
      </w:r>
      <w:r>
        <w:rPr>
          <w:color w:val="auto"/>
          <w:szCs w:val="21"/>
          <w:highlight w:val="none"/>
        </w:rPr>
        <w:t>算术性错误分析和修正</w:t>
      </w:r>
      <w:r>
        <w:rPr>
          <w:color w:val="auto"/>
          <w:highlight w:val="none"/>
        </w:rPr>
        <w:t>按以下原则进行，修正的价格经投标人</w:t>
      </w:r>
      <w:r>
        <w:rPr>
          <w:rFonts w:hint="eastAsia"/>
          <w:color w:val="auto"/>
          <w:highlight w:val="none"/>
        </w:rPr>
        <w:t>通过电子交易平台</w:t>
      </w:r>
      <w:r>
        <w:rPr>
          <w:color w:val="auto"/>
          <w:highlight w:val="none"/>
        </w:rPr>
        <w:t>确认后具有约束力。投标人不接受修正价格的，应当否决其投标。</w:t>
      </w:r>
    </w:p>
    <w:p>
      <w:pPr>
        <w:spacing w:line="348" w:lineRule="auto"/>
        <w:ind w:firstLine="420" w:firstLineChars="200"/>
        <w:rPr>
          <w:color w:val="auto"/>
          <w:highlight w:val="none"/>
        </w:rPr>
      </w:pPr>
      <w:r>
        <w:rPr>
          <w:color w:val="auto"/>
          <w:highlight w:val="none"/>
        </w:rPr>
        <w:t>（1）投标文件中的大写金额与小写金额不一致的，以大写金额为准；</w:t>
      </w:r>
    </w:p>
    <w:p>
      <w:pPr>
        <w:spacing w:line="348" w:lineRule="auto"/>
        <w:ind w:firstLine="420" w:firstLineChars="200"/>
        <w:rPr>
          <w:color w:val="auto"/>
          <w:highlight w:val="none"/>
        </w:rPr>
      </w:pPr>
      <w:r>
        <w:rPr>
          <w:color w:val="auto"/>
          <w:highlight w:val="none"/>
        </w:rPr>
        <w:t>（2）总价金额与依据单价计算出的结果不一致的，以单价金额为准修正总价，但单价金额小数点有明显错误的除外。</w:t>
      </w:r>
    </w:p>
    <w:p>
      <w:pPr>
        <w:spacing w:line="360" w:lineRule="auto"/>
        <w:ind w:firstLine="420" w:firstLineChars="200"/>
        <w:rPr>
          <w:color w:val="auto"/>
          <w:highlight w:val="none"/>
        </w:rPr>
      </w:pPr>
      <w:r>
        <w:rPr>
          <w:color w:val="auto"/>
          <w:highlight w:val="none"/>
        </w:rPr>
        <w:t>评标委员会根据算术错误修正结果计算评标价。评标委员会对算术错误的修正应向投标人作澄清。投标人对修正结果应</w:t>
      </w:r>
      <w:r>
        <w:rPr>
          <w:rFonts w:hint="eastAsia"/>
          <w:color w:val="auto"/>
          <w:highlight w:val="none"/>
        </w:rPr>
        <w:t>通过电子交易平台进行</w:t>
      </w:r>
      <w:r>
        <w:rPr>
          <w:color w:val="auto"/>
          <w:highlight w:val="none"/>
        </w:rPr>
        <w:t>确认。投标人对修正结果有不同意见或未</w:t>
      </w:r>
      <w:r>
        <w:rPr>
          <w:rFonts w:hint="eastAsia"/>
          <w:color w:val="auto"/>
          <w:highlight w:val="none"/>
        </w:rPr>
        <w:t>通过电子交易平台进行</w:t>
      </w:r>
      <w:r>
        <w:rPr>
          <w:color w:val="auto"/>
          <w:highlight w:val="none"/>
        </w:rPr>
        <w:t>确认的，评标委员会应重新复核修正结果，再次按上述程序分别进行确认、复核。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4.5是否予以否决投标</w:t>
      </w:r>
    </w:p>
    <w:p>
      <w:pPr>
        <w:spacing w:line="360" w:lineRule="auto"/>
        <w:ind w:firstLine="420" w:firstLineChars="200"/>
        <w:rPr>
          <w:color w:val="auto"/>
          <w:highlight w:val="none"/>
        </w:rPr>
      </w:pPr>
      <w:r>
        <w:rPr>
          <w:rFonts w:hint="eastAsia"/>
          <w:color w:val="auto"/>
          <w:highlight w:val="none"/>
          <w:lang w:val="en-US" w:eastAsia="zh-CN"/>
        </w:rPr>
        <w:t>4</w:t>
      </w:r>
      <w:r>
        <w:rPr>
          <w:color w:val="auto"/>
          <w:highlight w:val="none"/>
        </w:rPr>
        <w:t>.6.1评标委员会在评标过程中，依据第二章附件2-2中规定的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pPr>
        <w:spacing w:line="360" w:lineRule="auto"/>
        <w:ind w:firstLine="420" w:firstLineChars="200"/>
        <w:rPr>
          <w:color w:val="auto"/>
          <w:highlight w:val="none"/>
        </w:rPr>
      </w:pPr>
      <w:r>
        <w:rPr>
          <w:rFonts w:hint="eastAsia"/>
          <w:color w:val="auto"/>
          <w:highlight w:val="none"/>
          <w:lang w:val="en-US" w:eastAsia="zh-CN"/>
        </w:rPr>
        <w:t>4.5</w:t>
      </w:r>
      <w:r>
        <w:rPr>
          <w:color w:val="auto"/>
          <w:highlight w:val="none"/>
        </w:rPr>
        <w:t>.2 第二章附件2-2集中列示的</w:t>
      </w:r>
      <w:r>
        <w:rPr>
          <w:color w:val="auto"/>
          <w:szCs w:val="21"/>
          <w:highlight w:val="none"/>
        </w:rPr>
        <w:t>否决投标</w:t>
      </w:r>
      <w:r>
        <w:rPr>
          <w:color w:val="auto"/>
          <w:highlight w:val="none"/>
        </w:rPr>
        <w:t>情形如果与第二章“投标人须知”和</w:t>
      </w:r>
      <w:r>
        <w:rPr>
          <w:rFonts w:hint="eastAsia"/>
          <w:color w:val="auto"/>
          <w:highlight w:val="none"/>
        </w:rPr>
        <w:t>本章</w:t>
      </w:r>
      <w:r>
        <w:rPr>
          <w:color w:val="auto"/>
          <w:highlight w:val="none"/>
        </w:rPr>
        <w:t>列示的</w:t>
      </w:r>
      <w:r>
        <w:rPr>
          <w:color w:val="auto"/>
          <w:szCs w:val="21"/>
          <w:highlight w:val="none"/>
        </w:rPr>
        <w:t>否决投标</w:t>
      </w:r>
      <w:r>
        <w:rPr>
          <w:color w:val="auto"/>
          <w:highlight w:val="none"/>
        </w:rPr>
        <w:t>条款相互抵触和矛盾时，以附件2-2集中列示的为准。</w:t>
      </w:r>
    </w:p>
    <w:p>
      <w:pPr>
        <w:spacing w:line="360" w:lineRule="auto"/>
        <w:rPr>
          <w:color w:val="auto"/>
          <w:highlight w:val="none"/>
        </w:rPr>
      </w:pPr>
      <w:r>
        <w:rPr>
          <w:rFonts w:hint="eastAsia" w:eastAsia="黑体"/>
          <w:color w:val="auto"/>
          <w:sz w:val="24"/>
          <w:highlight w:val="none"/>
          <w:lang w:val="en-US" w:eastAsia="zh-CN"/>
        </w:rPr>
        <w:t>5</w:t>
      </w:r>
      <w:r>
        <w:rPr>
          <w:rFonts w:eastAsia="黑体"/>
          <w:color w:val="auto"/>
          <w:sz w:val="24"/>
          <w:highlight w:val="none"/>
        </w:rPr>
        <w:t>.</w:t>
      </w:r>
      <w:r>
        <w:rPr>
          <w:rFonts w:hint="eastAsia" w:eastAsia="黑体"/>
          <w:color w:val="auto"/>
          <w:sz w:val="24"/>
          <w:highlight w:val="none"/>
          <w:lang w:val="en-US" w:eastAsia="zh-CN"/>
        </w:rPr>
        <w:t>业绩及信用</w:t>
      </w:r>
      <w:r>
        <w:rPr>
          <w:rFonts w:hint="eastAsia" w:eastAsia="黑体"/>
          <w:color w:val="auto"/>
          <w:sz w:val="24"/>
          <w:highlight w:val="none"/>
        </w:rPr>
        <w:t>评审</w:t>
      </w:r>
      <w:r>
        <w:rPr>
          <w:rFonts w:hint="eastAsia" w:eastAsia="黑体"/>
          <w:color w:val="auto"/>
          <w:sz w:val="24"/>
          <w:highlight w:val="none"/>
          <w:lang w:eastAsia="zh-CN"/>
        </w:rPr>
        <w:t>、</w:t>
      </w:r>
      <w:r>
        <w:rPr>
          <w:rFonts w:hint="eastAsia" w:eastAsia="黑体"/>
          <w:color w:val="auto"/>
          <w:sz w:val="24"/>
          <w:highlight w:val="none"/>
        </w:rPr>
        <w:t>投标报价评审</w:t>
      </w:r>
    </w:p>
    <w:p>
      <w:pPr>
        <w:spacing w:line="360" w:lineRule="auto"/>
        <w:ind w:firstLine="420" w:firstLineChars="200"/>
        <w:rPr>
          <w:color w:val="auto"/>
          <w:highlight w:val="none"/>
        </w:rPr>
      </w:pPr>
      <w:r>
        <w:rPr>
          <w:color w:val="auto"/>
          <w:szCs w:val="21"/>
          <w:highlight w:val="none"/>
        </w:rPr>
        <w:t>评标委员会按照规定的评审因素和标准进行评审计分。</w:t>
      </w:r>
    </w:p>
    <w:p>
      <w:pPr>
        <w:adjustRightInd w:val="0"/>
        <w:snapToGrid w:val="0"/>
        <w:spacing w:before="63" w:beforeLines="20" w:after="63" w:afterLines="20" w:line="360" w:lineRule="auto"/>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 xml:space="preserve">.1 </w:t>
      </w:r>
      <w:r>
        <w:rPr>
          <w:rFonts w:hint="eastAsia"/>
          <w:color w:val="auto"/>
          <w:szCs w:val="21"/>
          <w:highlight w:val="none"/>
        </w:rPr>
        <w:t>业绩及</w:t>
      </w:r>
      <w:r>
        <w:rPr>
          <w:color w:val="auto"/>
          <w:szCs w:val="21"/>
          <w:highlight w:val="none"/>
        </w:rPr>
        <w:t>信用</w:t>
      </w:r>
      <w:r>
        <w:rPr>
          <w:rFonts w:hint="eastAsia"/>
          <w:color w:val="auto"/>
          <w:szCs w:val="21"/>
          <w:highlight w:val="none"/>
        </w:rPr>
        <w:t>评审</w:t>
      </w:r>
      <w:r>
        <w:rPr>
          <w:color w:val="auto"/>
          <w:szCs w:val="21"/>
          <w:highlight w:val="none"/>
        </w:rPr>
        <w:t>计分</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5.2</w:t>
      </w:r>
      <w:r>
        <w:rPr>
          <w:color w:val="auto"/>
          <w:szCs w:val="21"/>
          <w:highlight w:val="none"/>
        </w:rPr>
        <w:t>投标报价评审</w:t>
      </w:r>
      <w:r>
        <w:rPr>
          <w:rFonts w:hint="eastAsia"/>
          <w:color w:val="auto"/>
          <w:szCs w:val="21"/>
          <w:highlight w:val="none"/>
        </w:rPr>
        <w:t>按下列程序进行：</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5.2.1</w:t>
      </w:r>
      <w:r>
        <w:rPr>
          <w:rFonts w:hint="eastAsia" w:ascii="宋体" w:hAnsi="宋体" w:cs="宋体"/>
          <w:color w:val="auto"/>
          <w:szCs w:val="21"/>
          <w:highlight w:val="none"/>
        </w:rPr>
        <w:t>是否以低于成本报价竞争</w:t>
      </w:r>
    </w:p>
    <w:p>
      <w:pPr>
        <w:adjustRightInd w:val="0"/>
        <w:snapToGrid w:val="0"/>
        <w:spacing w:line="360" w:lineRule="auto"/>
        <w:ind w:firstLine="420" w:firstLineChars="200"/>
        <w:rPr>
          <w:color w:val="auto"/>
          <w:highlight w:val="none"/>
        </w:rPr>
      </w:pPr>
      <w:r>
        <w:rPr>
          <w:color w:val="auto"/>
          <w:szCs w:val="21"/>
          <w:highlight w:val="none"/>
        </w:rPr>
        <w:t>评标委员会</w:t>
      </w:r>
      <w:r>
        <w:rPr>
          <w:rFonts w:hint="eastAsia"/>
          <w:color w:val="auto"/>
          <w:szCs w:val="21"/>
          <w:highlight w:val="none"/>
        </w:rPr>
        <w:t>应当对低于报价评审警戒线的投标人的</w:t>
      </w:r>
      <w:r>
        <w:rPr>
          <w:color w:val="auto"/>
          <w:szCs w:val="21"/>
          <w:highlight w:val="none"/>
        </w:rPr>
        <w:t>报价进行评审，</w:t>
      </w:r>
      <w:r>
        <w:rPr>
          <w:color w:val="auto"/>
          <w:highlight w:val="none"/>
        </w:rPr>
        <w:t>以判断投标报价是否低于成本</w:t>
      </w:r>
      <w:r>
        <w:rPr>
          <w:rFonts w:hint="eastAsia"/>
          <w:color w:val="auto"/>
          <w:highlight w:val="none"/>
        </w:rPr>
        <w:t>。</w:t>
      </w:r>
      <w:r>
        <w:rPr>
          <w:color w:val="auto"/>
          <w:highlight w:val="none"/>
        </w:rPr>
        <w:t>投标报价成本评审按照第二章附件2-3中的规定进行，对低于成本竞标的投标人</w:t>
      </w:r>
      <w:r>
        <w:rPr>
          <w:color w:val="auto"/>
          <w:szCs w:val="21"/>
          <w:highlight w:val="none"/>
        </w:rPr>
        <w:t>予以否决</w:t>
      </w:r>
      <w:r>
        <w:rPr>
          <w:color w:val="auto"/>
          <w:highlight w:val="none"/>
        </w:rPr>
        <w:t>。</w:t>
      </w:r>
    </w:p>
    <w:p>
      <w:pPr>
        <w:spacing w:line="360" w:lineRule="auto"/>
        <w:ind w:firstLine="420" w:firstLineChars="200"/>
        <w:rPr>
          <w:color w:val="auto"/>
          <w:szCs w:val="21"/>
          <w:highlight w:val="none"/>
        </w:rPr>
      </w:pPr>
      <w:r>
        <w:rPr>
          <w:rFonts w:hint="eastAsia" w:ascii="宋体" w:hAnsi="宋体" w:cs="宋体"/>
          <w:color w:val="auto"/>
          <w:highlight w:val="none"/>
          <w:lang w:val="en-US" w:eastAsia="zh-CN"/>
        </w:rPr>
        <w:t>5.2.2</w:t>
      </w:r>
      <w:r>
        <w:rPr>
          <w:color w:val="auto"/>
          <w:highlight w:val="none"/>
        </w:rPr>
        <w:t>对</w:t>
      </w:r>
      <w:r>
        <w:rPr>
          <w:color w:val="auto"/>
          <w:szCs w:val="21"/>
          <w:highlight w:val="none"/>
        </w:rPr>
        <w:t>投标总报价进行评审。</w:t>
      </w:r>
    </w:p>
    <w:p>
      <w:pPr>
        <w:adjustRightInd w:val="0"/>
        <w:snapToGrid w:val="0"/>
        <w:spacing w:line="360" w:lineRule="auto"/>
        <w:ind w:firstLine="420" w:firstLineChars="200"/>
        <w:rPr>
          <w:color w:val="auto"/>
          <w:szCs w:val="21"/>
          <w:highlight w:val="none"/>
        </w:rPr>
      </w:pPr>
      <w:r>
        <w:rPr>
          <w:color w:val="auto"/>
          <w:szCs w:val="21"/>
          <w:highlight w:val="none"/>
        </w:rPr>
        <w:t>&lt;1&gt;按照评标办法前附表的规定计算“基准价”。</w:t>
      </w:r>
    </w:p>
    <w:p>
      <w:pPr>
        <w:adjustRightInd w:val="0"/>
        <w:snapToGrid w:val="0"/>
        <w:spacing w:line="360" w:lineRule="auto"/>
        <w:ind w:firstLine="420" w:firstLineChars="200"/>
        <w:rPr>
          <w:color w:val="auto"/>
          <w:szCs w:val="21"/>
          <w:highlight w:val="none"/>
        </w:rPr>
      </w:pPr>
      <w:r>
        <w:rPr>
          <w:color w:val="auto"/>
          <w:szCs w:val="21"/>
          <w:highlight w:val="none"/>
        </w:rPr>
        <w:t>&lt;2&gt;计算报价得分</w:t>
      </w:r>
    </w:p>
    <w:p>
      <w:pPr>
        <w:adjustRightInd w:val="0"/>
        <w:snapToGrid w:val="0"/>
        <w:spacing w:line="360" w:lineRule="auto"/>
        <w:ind w:firstLine="420" w:firstLineChars="200"/>
        <w:rPr>
          <w:color w:val="auto"/>
          <w:szCs w:val="21"/>
          <w:highlight w:val="none"/>
        </w:rPr>
      </w:pPr>
      <w:r>
        <w:rPr>
          <w:color w:val="auto"/>
          <w:szCs w:val="21"/>
          <w:highlight w:val="none"/>
        </w:rPr>
        <w:t>按照评标办法前附表的规定计算通过了</w:t>
      </w:r>
      <w:r>
        <w:rPr>
          <w:rFonts w:hint="eastAsia"/>
          <w:color w:val="auto"/>
          <w:szCs w:val="21"/>
          <w:highlight w:val="none"/>
          <w:lang w:val="en-US" w:eastAsia="zh-CN"/>
        </w:rPr>
        <w:t>形式、资格、响应性</w:t>
      </w:r>
      <w:r>
        <w:rPr>
          <w:color w:val="auto"/>
          <w:szCs w:val="21"/>
          <w:highlight w:val="none"/>
        </w:rPr>
        <w:t>评审、施工组织设计评审，并且未被认定为低于成本竞争的投标人投标报价的“偏差率”。</w:t>
      </w:r>
    </w:p>
    <w:p>
      <w:pPr>
        <w:spacing w:line="360" w:lineRule="auto"/>
        <w:ind w:firstLine="420" w:firstLineChars="200"/>
        <w:rPr>
          <w:color w:val="auto"/>
          <w:highlight w:val="none"/>
        </w:rPr>
      </w:pPr>
      <w:r>
        <w:rPr>
          <w:color w:val="auto"/>
          <w:szCs w:val="21"/>
          <w:highlight w:val="none"/>
        </w:rPr>
        <w:t>按照评标办法前附表中规定的评分标准，对照投标报价的偏差率，分别对投标报价进行计分。</w:t>
      </w:r>
    </w:p>
    <w:p>
      <w:pPr>
        <w:spacing w:line="360" w:lineRule="auto"/>
        <w:ind w:firstLine="420" w:firstLineChars="200"/>
        <w:rPr>
          <w:color w:val="auto"/>
          <w:szCs w:val="21"/>
          <w:highlight w:val="none"/>
        </w:rPr>
      </w:pPr>
      <w:r>
        <w:rPr>
          <w:rFonts w:hint="eastAsia"/>
          <w:color w:val="auto"/>
          <w:szCs w:val="21"/>
          <w:highlight w:val="none"/>
          <w:lang w:val="en-US" w:eastAsia="zh-CN"/>
        </w:rPr>
        <w:t>5.3</w:t>
      </w:r>
      <w:r>
        <w:rPr>
          <w:color w:val="auto"/>
          <w:szCs w:val="21"/>
          <w:highlight w:val="none"/>
        </w:rPr>
        <w:t>澄清、说明或补正</w:t>
      </w:r>
    </w:p>
    <w:p>
      <w:pPr>
        <w:adjustRightInd w:val="0"/>
        <w:snapToGrid w:val="0"/>
        <w:spacing w:line="360" w:lineRule="auto"/>
        <w:ind w:firstLine="420" w:firstLineChars="200"/>
        <w:rPr>
          <w:color w:val="auto"/>
          <w:szCs w:val="21"/>
          <w:highlight w:val="none"/>
        </w:rPr>
      </w:pPr>
      <w:r>
        <w:rPr>
          <w:color w:val="auto"/>
          <w:szCs w:val="21"/>
          <w:highlight w:val="none"/>
        </w:rPr>
        <w:t>在评审过程中，评标委员会应当就投标文件中不明确的内容要求投标人进行澄清、说明或者补正。投标人应当</w:t>
      </w:r>
      <w:r>
        <w:rPr>
          <w:rFonts w:hint="eastAsia"/>
          <w:color w:val="auto"/>
          <w:szCs w:val="21"/>
          <w:highlight w:val="none"/>
        </w:rPr>
        <w:t>在规定的时间内通过电子交易平台提供加盖公章或法定代表人（或其委托代理人）签署的澄清、说明或者补正资料。</w:t>
      </w:r>
      <w:r>
        <w:rPr>
          <w:color w:val="auto"/>
          <w:szCs w:val="21"/>
          <w:highlight w:val="none"/>
        </w:rPr>
        <w:t>澄清、说明或补正</w:t>
      </w:r>
      <w:r>
        <w:rPr>
          <w:rFonts w:hint="eastAsia"/>
          <w:color w:val="auto"/>
          <w:szCs w:val="21"/>
          <w:highlight w:val="none"/>
        </w:rPr>
        <w:t>按照</w:t>
      </w:r>
      <w:r>
        <w:rPr>
          <w:color w:val="auto"/>
          <w:szCs w:val="21"/>
          <w:highlight w:val="none"/>
        </w:rPr>
        <w:t>评标办法</w:t>
      </w:r>
      <w:r>
        <w:rPr>
          <w:rFonts w:hint="eastAsia"/>
          <w:color w:val="auto"/>
          <w:szCs w:val="21"/>
          <w:highlight w:val="none"/>
        </w:rPr>
        <w:t>正文第2.3项</w:t>
      </w:r>
      <w:r>
        <w:rPr>
          <w:color w:val="auto"/>
          <w:szCs w:val="21"/>
          <w:highlight w:val="none"/>
        </w:rPr>
        <w:t>执行。</w:t>
      </w:r>
    </w:p>
    <w:p>
      <w:pPr>
        <w:spacing w:line="360" w:lineRule="auto"/>
        <w:ind w:firstLine="420" w:firstLineChars="200"/>
        <w:rPr>
          <w:color w:val="auto"/>
          <w:szCs w:val="21"/>
          <w:highlight w:val="none"/>
        </w:rPr>
      </w:pPr>
      <w:r>
        <w:rPr>
          <w:rFonts w:hint="eastAsia"/>
          <w:color w:val="auto"/>
          <w:szCs w:val="21"/>
          <w:highlight w:val="none"/>
          <w:lang w:val="en-US" w:eastAsia="zh-CN"/>
        </w:rPr>
        <w:t>5.4</w:t>
      </w:r>
      <w:r>
        <w:rPr>
          <w:color w:val="auto"/>
          <w:szCs w:val="21"/>
          <w:highlight w:val="none"/>
        </w:rPr>
        <w:t>汇总评分结果</w:t>
      </w:r>
    </w:p>
    <w:p>
      <w:pPr>
        <w:adjustRightInd w:val="0"/>
        <w:snapToGrid w:val="0"/>
        <w:spacing w:line="360" w:lineRule="auto"/>
        <w:ind w:firstLine="420" w:firstLineChars="200"/>
        <w:rPr>
          <w:color w:val="auto"/>
          <w:szCs w:val="21"/>
          <w:highlight w:val="none"/>
        </w:rPr>
      </w:pPr>
      <w:r>
        <w:rPr>
          <w:color w:val="auto"/>
          <w:szCs w:val="21"/>
          <w:highlight w:val="none"/>
        </w:rPr>
        <w:t>评审工作全部结束后，</w:t>
      </w:r>
      <w:r>
        <w:rPr>
          <w:bCs/>
          <w:color w:val="auto"/>
          <w:szCs w:val="21"/>
          <w:highlight w:val="none"/>
        </w:rPr>
        <w:t>汇总评审计分结果，</w:t>
      </w:r>
      <w:r>
        <w:rPr>
          <w:color w:val="auto"/>
          <w:szCs w:val="21"/>
          <w:highlight w:val="none"/>
        </w:rPr>
        <w:t>并按照</w:t>
      </w:r>
      <w:r>
        <w:rPr>
          <w:rFonts w:hint="eastAsia"/>
          <w:color w:val="auto"/>
          <w:szCs w:val="21"/>
          <w:highlight w:val="none"/>
        </w:rPr>
        <w:t>评标总得分</w:t>
      </w:r>
      <w:r>
        <w:rPr>
          <w:color w:val="auto"/>
          <w:szCs w:val="21"/>
          <w:highlight w:val="none"/>
        </w:rPr>
        <w:t>由高至低的次序对投标人进行排序。</w:t>
      </w:r>
    </w:p>
    <w:p>
      <w:pPr>
        <w:adjustRightInd w:val="0"/>
        <w:snapToGrid w:val="0"/>
        <w:spacing w:line="360" w:lineRule="auto"/>
        <w:ind w:firstLine="420" w:firstLineChars="200"/>
        <w:rPr>
          <w:color w:val="auto"/>
          <w:szCs w:val="21"/>
          <w:highlight w:val="none"/>
        </w:rPr>
      </w:pPr>
      <w:r>
        <w:rPr>
          <w:color w:val="auto"/>
          <w:szCs w:val="21"/>
          <w:highlight w:val="none"/>
        </w:rPr>
        <w:t>C= J1×G+J2×H</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其中：C——评标总得分</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G——业绩及信用</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H——</w:t>
      </w:r>
      <w:r>
        <w:rPr>
          <w:rFonts w:hint="eastAsia"/>
          <w:color w:val="auto"/>
          <w:szCs w:val="21"/>
          <w:highlight w:val="none"/>
          <w:lang w:eastAsia="zh-CN"/>
        </w:rPr>
        <w:t>投标</w:t>
      </w:r>
      <w:r>
        <w:rPr>
          <w:rFonts w:hint="eastAsia"/>
          <w:color w:val="auto"/>
          <w:szCs w:val="21"/>
          <w:highlight w:val="none"/>
        </w:rPr>
        <w:t>报价评审得分</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J1、J2——各项评审因素的权重</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5.5</w:t>
      </w:r>
      <w:r>
        <w:rPr>
          <w:color w:val="auto"/>
          <w:szCs w:val="21"/>
          <w:highlight w:val="none"/>
        </w:rPr>
        <w:t>评分分值计算保留小数点后两位，小数点后第三位“四舍五入”。</w:t>
      </w:r>
    </w:p>
    <w:p>
      <w:pPr>
        <w:adjustRightInd w:val="0"/>
        <w:snapToGrid w:val="0"/>
        <w:spacing w:before="63" w:beforeLines="20" w:line="360" w:lineRule="auto"/>
        <w:ind w:firstLine="240" w:firstLineChars="100"/>
        <w:rPr>
          <w:rFonts w:eastAsia="黑体"/>
          <w:bCs/>
          <w:color w:val="auto"/>
          <w:sz w:val="24"/>
          <w:szCs w:val="21"/>
          <w:highlight w:val="none"/>
        </w:rPr>
      </w:pPr>
      <w:bookmarkStart w:id="196" w:name="_Toc300678071"/>
      <w:r>
        <w:rPr>
          <w:rFonts w:hint="eastAsia" w:eastAsia="黑体"/>
          <w:bCs/>
          <w:color w:val="auto"/>
          <w:sz w:val="24"/>
          <w:szCs w:val="21"/>
          <w:highlight w:val="none"/>
          <w:lang w:val="en-US" w:eastAsia="zh-CN"/>
        </w:rPr>
        <w:t>6</w:t>
      </w:r>
      <w:r>
        <w:rPr>
          <w:rFonts w:eastAsia="黑体"/>
          <w:bCs/>
          <w:color w:val="auto"/>
          <w:sz w:val="24"/>
          <w:szCs w:val="21"/>
          <w:highlight w:val="none"/>
        </w:rPr>
        <w:t>.中标人</w:t>
      </w:r>
      <w:r>
        <w:rPr>
          <w:rFonts w:hint="eastAsia" w:eastAsia="黑体"/>
          <w:bCs/>
          <w:color w:val="auto"/>
          <w:sz w:val="24"/>
          <w:szCs w:val="21"/>
          <w:highlight w:val="none"/>
        </w:rPr>
        <w:t>的确定</w:t>
      </w:r>
    </w:p>
    <w:p>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 推荐中标候选人</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.1.1</w:t>
      </w:r>
      <w:r>
        <w:rPr>
          <w:rFonts w:hint="eastAsia"/>
          <w:color w:val="auto"/>
          <w:szCs w:val="21"/>
          <w:highlight w:val="none"/>
        </w:rPr>
        <w:t>评标委员会</w:t>
      </w:r>
      <w:r>
        <w:rPr>
          <w:color w:val="auto"/>
          <w:szCs w:val="21"/>
          <w:highlight w:val="none"/>
        </w:rPr>
        <w:t>在推荐中标候选人时，应遵照以下原则:</w:t>
      </w:r>
    </w:p>
    <w:p>
      <w:pPr>
        <w:adjustRightInd w:val="0"/>
        <w:snapToGrid w:val="0"/>
        <w:spacing w:line="360" w:lineRule="auto"/>
        <w:ind w:firstLine="420" w:firstLineChars="200"/>
        <w:rPr>
          <w:color w:val="auto"/>
          <w:szCs w:val="21"/>
          <w:highlight w:val="none"/>
        </w:rPr>
      </w:pPr>
      <w:r>
        <w:rPr>
          <w:color w:val="auto"/>
          <w:szCs w:val="21"/>
          <w:highlight w:val="none"/>
        </w:rPr>
        <w:t>（1） 评标委员会按照</w:t>
      </w:r>
      <w:r>
        <w:rPr>
          <w:rFonts w:hint="eastAsia"/>
          <w:color w:val="auto"/>
          <w:szCs w:val="21"/>
          <w:highlight w:val="none"/>
        </w:rPr>
        <w:t>评标总得分</w:t>
      </w:r>
      <w:r>
        <w:rPr>
          <w:color w:val="auto"/>
          <w:szCs w:val="21"/>
          <w:highlight w:val="none"/>
        </w:rPr>
        <w:t>由高至低的次序排列，并根据第二章“投标人须知”前规定的中标候选人数量，将排序在前的投标人推荐为中标候选人。</w:t>
      </w:r>
    </w:p>
    <w:p>
      <w:pPr>
        <w:adjustRightInd w:val="0"/>
        <w:snapToGrid w:val="0"/>
        <w:spacing w:line="360" w:lineRule="auto"/>
        <w:ind w:firstLine="420" w:firstLineChars="200"/>
        <w:rPr>
          <w:color w:val="auto"/>
          <w:szCs w:val="21"/>
          <w:highlight w:val="none"/>
        </w:rPr>
      </w:pPr>
      <w:r>
        <w:rPr>
          <w:color w:val="auto"/>
          <w:szCs w:val="21"/>
          <w:highlight w:val="none"/>
        </w:rPr>
        <w:t>（2）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.1.2 投标人数量少于</w:t>
      </w:r>
      <w:r>
        <w:rPr>
          <w:rFonts w:hint="eastAsia"/>
          <w:color w:val="auto"/>
          <w:szCs w:val="21"/>
          <w:highlight w:val="none"/>
        </w:rPr>
        <w:t>3</w:t>
      </w:r>
      <w:r>
        <w:rPr>
          <w:color w:val="auto"/>
          <w:szCs w:val="21"/>
          <w:highlight w:val="none"/>
        </w:rPr>
        <w:t>个或者所有投标被否决的，招标人应当依法重新招标。</w:t>
      </w:r>
    </w:p>
    <w:p>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.2 确定中标人</w:t>
      </w:r>
    </w:p>
    <w:p>
      <w:pPr>
        <w:adjustRightInd w:val="0"/>
        <w:snapToGrid w:val="0"/>
        <w:spacing w:line="360" w:lineRule="auto"/>
        <w:ind w:firstLine="420" w:firstLineChars="200"/>
        <w:rPr>
          <w:color w:val="auto"/>
          <w:szCs w:val="21"/>
          <w:highlight w:val="none"/>
        </w:rPr>
      </w:pP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.3 编制评标报告</w:t>
      </w:r>
    </w:p>
    <w:p>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（8）经评审的投标人排序；</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（9）推荐的中标候选人名单与签订合同前要处理的事宜；</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（10）澄清、说明、补正事项纪要。</w:t>
      </w:r>
    </w:p>
    <w:p>
      <w:pPr>
        <w:adjustRightInd w:val="0"/>
        <w:snapToGrid w:val="0"/>
        <w:spacing w:before="63" w:beforeLines="20" w:after="63" w:afterLines="20" w:line="360" w:lineRule="auto"/>
        <w:rPr>
          <w:rFonts w:eastAsia="黑体"/>
          <w:bCs/>
          <w:color w:val="auto"/>
          <w:sz w:val="24"/>
          <w:szCs w:val="21"/>
          <w:highlight w:val="none"/>
        </w:rPr>
      </w:pPr>
      <w:r>
        <w:rPr>
          <w:rFonts w:hint="eastAsia" w:eastAsia="黑体"/>
          <w:bCs/>
          <w:color w:val="auto"/>
          <w:sz w:val="24"/>
          <w:szCs w:val="21"/>
          <w:highlight w:val="none"/>
          <w:lang w:val="en-US" w:eastAsia="zh-CN"/>
        </w:rPr>
        <w:t>7</w:t>
      </w:r>
      <w:r>
        <w:rPr>
          <w:rFonts w:eastAsia="黑体"/>
          <w:bCs/>
          <w:color w:val="auto"/>
          <w:sz w:val="24"/>
          <w:szCs w:val="21"/>
          <w:highlight w:val="none"/>
        </w:rPr>
        <w:t>．特殊情况的处置程序</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.1 关于评标活动暂停</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.1.1 评标委员会应当执行连续评标的原则，按评标办法中规定的程序、内容、方法、标准完成全部评标工作。除特殊情况外，评标活动不得暂停。</w:t>
      </w:r>
    </w:p>
    <w:p>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.1.2 发生评标暂停情况时，评标委员会应当封存全部投标文件和评标记录，待特殊情况的影响结束且具备继续评标的条件时，由原评标委员会继续评标。</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 关于评标中途更换评委</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.2.1 除非发生下列情况之一，不得在评标中途更换评标委员会成员：</w:t>
      </w:r>
    </w:p>
    <w:p>
      <w:pPr>
        <w:adjustRightInd w:val="0"/>
        <w:snapToGrid w:val="0"/>
        <w:spacing w:line="360" w:lineRule="auto"/>
        <w:ind w:firstLine="210" w:firstLineChars="100"/>
        <w:rPr>
          <w:color w:val="auto"/>
          <w:szCs w:val="21"/>
          <w:highlight w:val="none"/>
        </w:rPr>
      </w:pPr>
      <w:r>
        <w:rPr>
          <w:color w:val="auto"/>
          <w:szCs w:val="21"/>
          <w:highlight w:val="none"/>
        </w:rPr>
        <w:t>（1）因不可抗拒的原因，评标委员会成员不能到场或需在评标中途退出评标活动。</w:t>
      </w:r>
    </w:p>
    <w:p>
      <w:pPr>
        <w:adjustRightInd w:val="0"/>
        <w:snapToGrid w:val="0"/>
        <w:spacing w:line="360" w:lineRule="auto"/>
        <w:ind w:firstLine="210" w:firstLineChars="100"/>
        <w:rPr>
          <w:color w:val="auto"/>
          <w:szCs w:val="21"/>
          <w:highlight w:val="none"/>
        </w:rPr>
      </w:pPr>
      <w:r>
        <w:rPr>
          <w:color w:val="auto"/>
          <w:szCs w:val="21"/>
          <w:highlight w:val="none"/>
        </w:rPr>
        <w:t>（2）根据法律法规规定，某个或某几个评标委员会成员需要回避。</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.2.2 退出评标的评标委员会成员，其完成的评标行为无效。由招标人根据</w:t>
      </w:r>
      <w:r>
        <w:rPr>
          <w:rFonts w:hint="eastAsia"/>
          <w:color w:val="auto"/>
          <w:szCs w:val="21"/>
          <w:highlight w:val="none"/>
        </w:rPr>
        <w:t>有关规定</w:t>
      </w:r>
      <w:r>
        <w:rPr>
          <w:color w:val="auto"/>
          <w:szCs w:val="21"/>
          <w:highlight w:val="none"/>
        </w:rPr>
        <w:t>另行确定替代者进行评标。</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.3 记名投票</w:t>
      </w:r>
    </w:p>
    <w:p>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pPr>
        <w:spacing w:line="360" w:lineRule="auto"/>
        <w:rPr>
          <w:rFonts w:eastAsia="黑体"/>
          <w:color w:val="auto"/>
          <w:sz w:val="24"/>
          <w:highlight w:val="none"/>
        </w:rPr>
      </w:pPr>
      <w:r>
        <w:rPr>
          <w:rFonts w:hint="eastAsia" w:eastAsia="黑体"/>
          <w:color w:val="auto"/>
          <w:sz w:val="24"/>
          <w:highlight w:val="none"/>
          <w:lang w:val="en-US" w:eastAsia="zh-CN"/>
        </w:rPr>
        <w:t>8</w:t>
      </w:r>
      <w:r>
        <w:rPr>
          <w:rFonts w:eastAsia="黑体"/>
          <w:color w:val="auto"/>
          <w:sz w:val="24"/>
          <w:highlight w:val="none"/>
        </w:rPr>
        <w:t>.补充条款</w:t>
      </w:r>
    </w:p>
    <w:bookmarkEnd w:id="194"/>
    <w:bookmarkEnd w:id="196"/>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lang w:val="en-US" w:eastAsia="zh-CN"/>
        </w:rPr>
        <w:t>8</w:t>
      </w:r>
      <w:r>
        <w:rPr>
          <w:color w:val="auto"/>
          <w:szCs w:val="21"/>
          <w:highlight w:val="none"/>
        </w:rPr>
        <w:t>.1</w:t>
      </w:r>
      <w:r>
        <w:rPr>
          <w:rFonts w:hint="eastAsia"/>
          <w:color w:val="auto"/>
          <w:szCs w:val="21"/>
          <w:highlight w:val="none"/>
        </w:rPr>
        <w:t>评标过程中，评标委员会成员对法律法规及相关政策文件理解不一致或者不熟悉的问题，应当在现场提请行政监管部门解释。对招标文件中存在的其他问题应当提请招标人澄清。</w:t>
      </w:r>
    </w:p>
    <w:p>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lang w:val="en-US" w:eastAsia="zh-CN"/>
        </w:rPr>
        <w:t>8</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pPr>
        <w:adjustRightInd w:val="0"/>
        <w:snapToGrid w:val="0"/>
        <w:spacing w:line="360" w:lineRule="auto"/>
        <w:ind w:firstLine="420" w:firstLineChars="200"/>
        <w:rPr>
          <w:color w:val="auto"/>
          <w:highlight w:val="none"/>
          <w:lang w:val="zh-CN"/>
        </w:rPr>
      </w:pPr>
      <w:r>
        <w:rPr>
          <w:rFonts w:hint="eastAsia"/>
          <w:color w:val="auto"/>
          <w:szCs w:val="21"/>
          <w:highlight w:val="none"/>
        </w:rPr>
        <w:t>.......</w:t>
      </w:r>
      <w:r>
        <w:rPr>
          <w:bCs/>
          <w:color w:val="auto"/>
          <w:highlight w:val="none"/>
        </w:rPr>
        <w:br w:type="page"/>
      </w:r>
    </w:p>
    <w:p>
      <w:pPr>
        <w:pStyle w:val="2"/>
        <w:spacing w:before="0" w:after="0"/>
        <w:jc w:val="center"/>
        <w:rPr>
          <w:rFonts w:ascii="Times New Roman" w:hAnsi="Times New Roman" w:eastAsia="黑体"/>
          <w:b w:val="0"/>
          <w:bCs w:val="0"/>
          <w:color w:val="auto"/>
          <w:highlight w:val="none"/>
        </w:rPr>
      </w:pPr>
      <w:bookmarkStart w:id="197" w:name="_Toc80006213"/>
      <w:bookmarkStart w:id="198" w:name="_Toc80006103"/>
      <w:r>
        <w:rPr>
          <w:rFonts w:ascii="Times New Roman" w:hAnsi="Times New Roman" w:eastAsia="黑体"/>
          <w:b w:val="0"/>
          <w:bCs w:val="0"/>
          <w:color w:val="auto"/>
          <w:highlight w:val="none"/>
        </w:rPr>
        <w:t>第三章  评标办法（综合评估法）</w:t>
      </w:r>
      <w:bookmarkEnd w:id="197"/>
      <w:bookmarkEnd w:id="198"/>
    </w:p>
    <w:p>
      <w:pPr>
        <w:spacing w:line="312" w:lineRule="auto"/>
        <w:ind w:firstLine="3600" w:firstLineChars="1200"/>
        <w:rPr>
          <w:rFonts w:eastAsia="黑体"/>
          <w:bCs/>
          <w:color w:val="auto"/>
          <w:sz w:val="30"/>
          <w:highlight w:val="none"/>
        </w:rPr>
      </w:pPr>
      <w:r>
        <w:rPr>
          <w:rFonts w:eastAsia="黑体"/>
          <w:bCs/>
          <w:color w:val="auto"/>
          <w:sz w:val="30"/>
          <w:highlight w:val="none"/>
        </w:rPr>
        <w:t>评标办法前附表</w:t>
      </w:r>
    </w:p>
    <w:tbl>
      <w:tblPr>
        <w:tblStyle w:val="39"/>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98"/>
        <w:gridCol w:w="1697"/>
        <w:gridCol w:w="2"/>
        <w:gridCol w:w="4813"/>
        <w:gridCol w:w="15"/>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945"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2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84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投标文件</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同一投标人未提交两份</w:t>
            </w:r>
            <w:r>
              <w:rPr>
                <w:rFonts w:hint="eastAsia" w:ascii="宋体" w:hAnsi="宋体" w:cs="宋体"/>
                <w:bCs/>
                <w:color w:val="auto"/>
                <w:szCs w:val="21"/>
                <w:highlight w:val="none"/>
              </w:rPr>
              <w:t>以</w:t>
            </w:r>
            <w:r>
              <w:rPr>
                <w:rFonts w:hint="eastAsia" w:ascii="宋体" w:hAnsi="宋体" w:cs="宋体"/>
                <w:color w:val="auto"/>
                <w:szCs w:val="21"/>
                <w:highlight w:val="none"/>
              </w:rPr>
              <w:t>上不同内容的投标报价，但招标文件要求提交备选投标的除外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szCs w:val="21"/>
                <w:highlight w:val="none"/>
                <w:lang w:val="en-US" w:eastAsia="zh-CN"/>
              </w:rPr>
              <w:t>法定代表人身份证明</w:t>
            </w:r>
          </w:p>
        </w:tc>
        <w:tc>
          <w:tcPr>
            <w:tcW w:w="5945" w:type="dxa"/>
            <w:gridSpan w:val="3"/>
            <w:noWrap w:val="0"/>
            <w:vAlign w:val="center"/>
          </w:tcPr>
          <w:p>
            <w:pPr>
              <w:keepNext w:val="0"/>
              <w:keepLines w:val="0"/>
              <w:suppressLineNumbers w:val="0"/>
              <w:snapToGrid w:val="0"/>
              <w:spacing w:before="0" w:beforeAutospacing="0" w:after="0" w:afterAutospacing="0"/>
              <w:ind w:left="0" w:leftChars="0" w:right="0" w:rightChars="0"/>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szCs w:val="21"/>
                <w:highlight w:val="none"/>
                <w:lang w:val="en-US" w:eastAsia="zh-CN"/>
              </w:rPr>
              <w:t>提交盖投标人单位章的法定代表人身份证明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Calibri" w:hAnsi="Calibri" w:cs="Calibri"/>
                <w:color w:val="auto"/>
                <w:szCs w:val="21"/>
                <w:highlight w:val="none"/>
                <w:lang w:val="en-US" w:eastAsia="zh-CN"/>
              </w:rPr>
              <w:t>授权委托书（如有）</w:t>
            </w:r>
          </w:p>
        </w:tc>
        <w:tc>
          <w:tcPr>
            <w:tcW w:w="5945" w:type="dxa"/>
            <w:gridSpan w:val="3"/>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Calibri" w:hAnsi="Calibri" w:cs="Calibri"/>
                <w:color w:val="auto"/>
                <w:szCs w:val="21"/>
                <w:highlight w:val="none"/>
                <w:lang w:val="en-US" w:eastAsia="zh-CN"/>
              </w:rPr>
              <w:t>提交法定代表人签字或盖章的授权委托书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szCs w:val="21"/>
                <w:highlight w:val="none"/>
              </w:rPr>
            </w:pPr>
            <w:r>
              <w:rPr>
                <w:rFonts w:hint="default" w:ascii="Calibri" w:hAnsi="Calibri" w:cs="Calibri"/>
                <w:color w:val="auto"/>
                <w:szCs w:val="21"/>
                <w:highlight w:val="none"/>
              </w:rPr>
              <w:t>共同投标协议</w:t>
            </w:r>
            <w:r>
              <w:rPr>
                <w:rFonts w:hint="eastAsia" w:ascii="Calibri" w:hAnsi="Calibri" w:cs="Calibri"/>
                <w:color w:val="auto"/>
                <w:szCs w:val="21"/>
                <w:highlight w:val="none"/>
                <w:lang w:val="en-US" w:eastAsia="zh-CN"/>
              </w:rPr>
              <w:t>（如有）</w:t>
            </w:r>
          </w:p>
        </w:tc>
        <w:tc>
          <w:tcPr>
            <w:tcW w:w="5945" w:type="dxa"/>
            <w:gridSpan w:val="3"/>
            <w:noWrap w:val="0"/>
            <w:vAlign w:val="center"/>
          </w:tcPr>
          <w:p>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default" w:ascii="Calibri" w:hAnsi="Calibri" w:cs="Calibri"/>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Calibri" w:hAnsi="Calibri" w:cs="Calibri"/>
                <w:color w:val="auto"/>
                <w:szCs w:val="21"/>
                <w:highlight w:val="none"/>
                <w:lang w:val="en-US" w:eastAsia="zh-CN"/>
              </w:rPr>
              <w:t>投标文件</w:t>
            </w:r>
            <w:r>
              <w:rPr>
                <w:rFonts w:hint="default" w:ascii="Calibri" w:hAnsi="Calibri" w:cs="Calibri"/>
                <w:color w:val="auto"/>
                <w:szCs w:val="21"/>
                <w:highlight w:val="none"/>
              </w:rPr>
              <w:t>签字盖章</w:t>
            </w:r>
          </w:p>
        </w:tc>
        <w:tc>
          <w:tcPr>
            <w:tcW w:w="5945" w:type="dxa"/>
            <w:gridSpan w:val="3"/>
            <w:noWrap w:val="0"/>
            <w:vAlign w:val="center"/>
          </w:tcPr>
          <w:p>
            <w:pPr>
              <w:keepNext w:val="0"/>
              <w:keepLines w:val="0"/>
              <w:suppressLineNumbers w:val="0"/>
              <w:snapToGrid w:val="0"/>
              <w:spacing w:before="0" w:beforeAutospacing="0" w:after="0" w:afterAutospacing="0"/>
              <w:ind w:left="0" w:right="0"/>
              <w:rPr>
                <w:rFonts w:hint="default" w:ascii="Calibri" w:hAnsi="Calibri" w:eastAsia="宋体" w:cs="Calibri"/>
                <w:bCs/>
                <w:color w:val="auto"/>
                <w:highlight w:val="none"/>
                <w:lang w:val="en-US" w:eastAsia="zh-CN"/>
              </w:rPr>
            </w:pPr>
            <w:r>
              <w:rPr>
                <w:rFonts w:hint="eastAsia" w:ascii="Calibri" w:hAnsi="Calibri" w:cs="Calibri"/>
                <w:bCs/>
                <w:color w:val="auto"/>
                <w:highlight w:val="none"/>
                <w:lang w:val="en-US" w:eastAsia="zh-CN"/>
              </w:rPr>
              <w:t>投标文件中的投标函和共同投标协议（如有）</w:t>
            </w:r>
            <w:r>
              <w:rPr>
                <w:rFonts w:hint="default" w:ascii="Calibri" w:hAnsi="Calibri" w:cs="Calibri"/>
                <w:color w:val="auto"/>
                <w:szCs w:val="21"/>
                <w:highlight w:val="none"/>
              </w:rPr>
              <w:t>签字盖章</w:t>
            </w:r>
            <w:r>
              <w:rPr>
                <w:rFonts w:hint="eastAsia" w:ascii="Calibri" w:hAnsi="Calibri" w:cs="Calibri"/>
                <w:color w:val="auto"/>
                <w:szCs w:val="21"/>
                <w:highlight w:val="none"/>
                <w:lang w:val="en-US" w:eastAsia="zh-CN"/>
              </w:rPr>
              <w:t>应符合以下情形之一：</w:t>
            </w:r>
          </w:p>
          <w:p>
            <w:pPr>
              <w:keepNext w:val="0"/>
              <w:keepLines w:val="0"/>
              <w:numPr>
                <w:ilvl w:val="0"/>
                <w:numId w:val="0"/>
              </w:numPr>
              <w:suppressLineNumbers w:val="0"/>
              <w:snapToGrid w:val="0"/>
              <w:spacing w:before="0" w:beforeAutospacing="0" w:after="0" w:afterAutospacing="0"/>
              <w:ind w:left="0" w:right="0"/>
              <w:rPr>
                <w:rFonts w:hint="eastAsia" w:ascii="Calibri" w:hAnsi="Calibri" w:cs="Calibri"/>
                <w:color w:val="auto"/>
                <w:szCs w:val="21"/>
                <w:highlight w:val="none"/>
                <w:lang w:val="en-US" w:eastAsia="zh-CN"/>
              </w:rPr>
            </w:pPr>
            <w:r>
              <w:rPr>
                <w:rFonts w:hint="eastAsia" w:ascii="Calibri" w:hAnsi="Calibri" w:cs="Calibri"/>
                <w:color w:val="auto"/>
                <w:kern w:val="2"/>
                <w:sz w:val="21"/>
                <w:szCs w:val="21"/>
                <w:highlight w:val="none"/>
                <w:lang w:val="en-US" w:eastAsia="zh-CN" w:bidi="ar-SA"/>
              </w:rPr>
              <w:t>（1）</w:t>
            </w:r>
            <w:r>
              <w:rPr>
                <w:rFonts w:hint="eastAsia" w:ascii="Calibri" w:hAnsi="Calibri" w:cs="Calibri"/>
                <w:color w:val="auto"/>
                <w:szCs w:val="21"/>
                <w:highlight w:val="none"/>
                <w:lang w:val="en-US" w:eastAsia="zh-CN"/>
              </w:rPr>
              <w:t>盖投标人单位章</w:t>
            </w:r>
          </w:p>
          <w:p>
            <w:pPr>
              <w:keepNext w:val="0"/>
              <w:keepLines w:val="0"/>
              <w:numPr>
                <w:ilvl w:val="0"/>
                <w:numId w:val="0"/>
              </w:numPr>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2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2.1.2 </w:t>
            </w:r>
          </w:p>
        </w:tc>
        <w:tc>
          <w:tcPr>
            <w:tcW w:w="884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资质等级</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安全生产许可证</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9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1699"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default" w:ascii="Calibri" w:hAnsi="Calibri" w:cs="Calibri"/>
                <w:color w:val="auto"/>
                <w:szCs w:val="21"/>
                <w:highlight w:val="none"/>
              </w:rPr>
              <w:sym w:font="Wingdings 2" w:char="00A3"/>
            </w:r>
            <w:r>
              <w:rPr>
                <w:rFonts w:hint="eastAsia" w:ascii="宋体" w:hAnsi="宋体" w:cs="宋体"/>
                <w:color w:val="auto"/>
                <w:szCs w:val="21"/>
                <w:highlight w:val="none"/>
              </w:rPr>
              <w:t>企业</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98" w:type="dxa"/>
            <w:vMerge w:val="continue"/>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99"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default" w:ascii="Calibri" w:hAnsi="Calibri" w:cs="Calibri"/>
                <w:color w:val="auto"/>
                <w:szCs w:val="21"/>
                <w:highlight w:val="none"/>
              </w:rPr>
              <w:sym w:font="Wingdings 2" w:char="00A3"/>
            </w:r>
            <w:r>
              <w:rPr>
                <w:rFonts w:hint="eastAsia" w:ascii="宋体" w:hAnsi="宋体" w:cs="宋体"/>
                <w:color w:val="auto"/>
                <w:szCs w:val="21"/>
                <w:highlight w:val="none"/>
              </w:rPr>
              <w:t>拟任项目经理</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拟任项目经理资格</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firstLine="1260" w:firstLineChars="600"/>
              <w:rPr>
                <w:rFonts w:hint="eastAsia" w:ascii="宋体" w:hAnsi="宋体" w:cs="宋体"/>
                <w:color w:val="auto"/>
                <w:szCs w:val="21"/>
                <w:highlight w:val="none"/>
              </w:rPr>
            </w:pPr>
            <w:r>
              <w:rPr>
                <w:rFonts w:hint="eastAsia" w:ascii="宋体" w:hAnsi="宋体" w:cs="宋体"/>
                <w:color w:val="auto"/>
                <w:szCs w:val="21"/>
                <w:highlight w:val="none"/>
              </w:rPr>
              <w:t>……</w:t>
            </w:r>
          </w:p>
        </w:tc>
        <w:tc>
          <w:tcPr>
            <w:tcW w:w="5945"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1026"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color w:val="auto"/>
                <w:szCs w:val="21"/>
                <w:highlight w:val="none"/>
              </w:rPr>
            </w:pPr>
          </w:p>
        </w:tc>
        <w:tc>
          <w:tcPr>
            <w:tcW w:w="8842" w:type="dxa"/>
            <w:gridSpan w:val="6"/>
            <w:noWrap w:val="0"/>
            <w:vAlign w:val="center"/>
          </w:tcPr>
          <w:p>
            <w:pPr>
              <w:keepNext w:val="0"/>
              <w:keepLines w:val="0"/>
              <w:suppressLineNumbers w:val="0"/>
              <w:spacing w:before="0" w:beforeAutospacing="0" w:after="0" w:afterAutospacing="0" w:line="24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已进行资格预审的，评标委员会一般不再对投标人资格进行评审。投标人资格预审申请文件的内容发生重大变化的，由评标委员会依据资格预审文件中规定的标准和方法，对照投标人资格预审申请文件中的资料以及开标前更新的资料，对其更新的资料进行评审，其变化后的资格条件不得低于原有资格条件要求。</w:t>
            </w:r>
          </w:p>
          <w:p>
            <w:pPr>
              <w:keepNext w:val="0"/>
              <w:keepLines w:val="0"/>
              <w:suppressLineNumbers w:val="0"/>
              <w:spacing w:before="0" w:beforeAutospacing="0" w:after="0" w:afterAutospacing="0" w:line="240" w:lineRule="auto"/>
              <w:ind w:left="0" w:right="0"/>
              <w:rPr>
                <w:rFonts w:hint="eastAsia" w:ascii="宋体" w:hAnsi="宋体" w:cs="宋体"/>
                <w:strike/>
                <w:color w:val="auto"/>
                <w:szCs w:val="21"/>
                <w:highlight w:val="none"/>
              </w:rPr>
            </w:pPr>
            <w:r>
              <w:rPr>
                <w:rFonts w:hint="eastAsia" w:ascii="宋体" w:hAnsi="宋体" w:cs="宋体"/>
                <w:color w:val="auto"/>
                <w:szCs w:val="21"/>
                <w:highlight w:val="none"/>
              </w:rPr>
              <w:t>2.未进行资格预审的，由评标委员会根据评审标准，对投标人资格进行评审。</w:t>
            </w:r>
          </w:p>
          <w:p>
            <w:pPr>
              <w:keepNext w:val="0"/>
              <w:keepLines w:val="0"/>
              <w:suppressLineNumbers w:val="0"/>
              <w:spacing w:before="0" w:beforeAutospacing="0" w:after="0" w:afterAutospacing="0" w:line="24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884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投标报价未超过招标文件规定的最高投标限价；</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投标报价中的绿色施工安全防护措施项目费按照省住房城乡建设主管部门的规定计算；</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投标报价中的安全责任险按照省住房城乡建设主管部门的规定计算；</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投标报价中的环境保护税按照省住房城乡建设主管部门的规定计算；</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投标报价中的增值税按照政府有关主管部门的规定计算费用；</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投标报价中的暂估价或暂列金额与招标人公布的暂估价或暂列金额保持一致的。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投标文件载明的质量标准或保修承诺不低于招标文件的要求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Times New Roman" w:hAnsi="Times New Roman" w:eastAsia="宋体" w:cs="Times New Roman"/>
                <w:bCs/>
                <w:color w:val="auto"/>
                <w:szCs w:val="21"/>
                <w:highlight w:val="none"/>
              </w:rPr>
              <w:t>拟任</w:t>
            </w:r>
            <w:r>
              <w:rPr>
                <w:rFonts w:hint="eastAsia" w:ascii="Times New Roman" w:hAnsi="Times New Roman" w:eastAsia="宋体" w:cs="Times New Roman"/>
                <w:bCs/>
                <w:color w:val="auto"/>
                <w:szCs w:val="21"/>
                <w:highlight w:val="none"/>
                <w:lang w:val="en-US" w:eastAsia="zh-CN"/>
              </w:rPr>
              <w:t>项目经理</w:t>
            </w:r>
            <w:r>
              <w:rPr>
                <w:rFonts w:hint="eastAsia" w:ascii="Times New Roman" w:hAnsi="Times New Roman" w:eastAsia="宋体" w:cs="Times New Roman"/>
                <w:bCs/>
                <w:color w:val="auto"/>
                <w:szCs w:val="21"/>
                <w:highlight w:val="none"/>
              </w:rPr>
              <w:t>在建情况</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Calibri" w:hAnsi="Calibri" w:cs="Calibri"/>
                <w:color w:val="auto"/>
                <w:szCs w:val="21"/>
                <w:highlight w:val="none"/>
              </w:rPr>
              <w:t>投标保证</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Calibri" w:hAnsi="Calibri" w:cs="Calibri"/>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5" w:type="dxa"/>
            <w:gridSpan w:val="2"/>
            <w:noWrap w:val="0"/>
            <w:vAlign w:val="center"/>
          </w:tcPr>
          <w:p>
            <w:pPr>
              <w:keepNext w:val="0"/>
              <w:keepLines w:val="0"/>
              <w:suppressLineNumbers w:val="0"/>
              <w:spacing w:before="0" w:beforeAutospacing="0" w:after="0" w:afterAutospacing="0"/>
              <w:ind w:left="0" w:right="0" w:firstLine="1260" w:firstLineChars="6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p>
        </w:tc>
        <w:tc>
          <w:tcPr>
            <w:tcW w:w="5947"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897" w:type="dxa"/>
            <w:gridSpan w:val="3"/>
            <w:noWrap w:val="0"/>
            <w:vAlign w:val="center"/>
          </w:tcPr>
          <w:p>
            <w:pPr>
              <w:keepNext w:val="0"/>
              <w:keepLines w:val="0"/>
              <w:suppressLineNumbers w:val="0"/>
              <w:spacing w:before="0" w:beforeAutospacing="0" w:after="0" w:afterAutospacing="0"/>
              <w:ind w:left="0" w:right="0" w:firstLine="840" w:firstLineChars="400"/>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5945"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2.2.1</w:t>
            </w: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权值构成</w:t>
            </w:r>
          </w:p>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（总权值为1）</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u w:val="single"/>
              </w:rPr>
            </w:pPr>
            <w:r>
              <w:rPr>
                <w:rFonts w:hint="eastAsia" w:ascii="宋体" w:hAnsi="宋体" w:cs="宋体"/>
                <w:color w:val="auto"/>
                <w:szCs w:val="21"/>
                <w:highlight w:val="none"/>
              </w:rPr>
              <w:t>施工组织设计权重（取值范围：0-0.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0分）： </w:t>
            </w:r>
            <w:r>
              <w:rPr>
                <w:rFonts w:hint="eastAsia" w:ascii="宋体" w:hAnsi="宋体" w:cs="宋体"/>
                <w:color w:val="auto"/>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企业资信及履约能力权重（取值范围：0.35-0.45分）：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color w:val="auto"/>
                <w:szCs w:val="21"/>
                <w:highlight w:val="none"/>
              </w:rPr>
              <w:t xml:space="preserve">投标报价权重（取值范围：0.35-0.55分）： </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481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113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2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（1）</w:t>
            </w:r>
          </w:p>
        </w:tc>
        <w:tc>
          <w:tcPr>
            <w:tcW w:w="884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施工组织设计（采用合格性评审方式）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施工方案与技术措施</w:t>
            </w:r>
          </w:p>
        </w:tc>
        <w:tc>
          <w:tcPr>
            <w:tcW w:w="4828"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lang w:val="en-US" w:eastAsia="zh-CN"/>
              </w:rPr>
            </w:pPr>
            <w:r>
              <w:rPr>
                <w:rFonts w:hint="eastAsia" w:ascii="宋体" w:hAnsi="宋体" w:cs="宋体"/>
                <w:color w:val="auto"/>
                <w:szCs w:val="21"/>
                <w:highlight w:val="none"/>
              </w:rPr>
              <w:t>1.施工方案不完整，且缺少关键项目施工技术方案；或者市政项目缺少交通措施（除招标文件明确不需要外）</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缺少建筑垃圾现场减量、分类处置、扬尘污染防治等相关内容；</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2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tc>
        <w:tc>
          <w:tcPr>
            <w:tcW w:w="4828" w:type="dxa"/>
            <w:gridSpan w:val="2"/>
            <w:noWrap w:val="0"/>
            <w:vAlign w:val="center"/>
          </w:tcPr>
          <w:p>
            <w:pPr>
              <w:keepNext w:val="0"/>
              <w:keepLines w:val="0"/>
              <w:suppressLineNumbers w:val="0"/>
              <w:tabs>
                <w:tab w:val="left" w:pos="312"/>
              </w:tabs>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1.质量目标不满足招标文件要求，缺少质量保证措施</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2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安全管理体系与措施</w:t>
            </w:r>
          </w:p>
        </w:tc>
        <w:tc>
          <w:tcPr>
            <w:tcW w:w="4828"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1.安全目标不满足招标文件要求，缺少重大危险源识别和控制，缺少施工安全措施；</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2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842" w:type="dxa"/>
            <w:gridSpan w:val="6"/>
            <w:noWrap w:val="0"/>
            <w:vAlign w:val="center"/>
          </w:tcPr>
          <w:p>
            <w:pPr>
              <w:keepNext w:val="0"/>
              <w:keepLines w:val="0"/>
              <w:widowControl/>
              <w:suppressLineNumbers w:val="0"/>
              <w:shd w:val="clear" w:color="auto" w:fill="FFFFFF"/>
              <w:spacing w:before="0" w:beforeAutospacing="0" w:after="0" w:afterAutospacing="0"/>
              <w:ind w:left="0" w:right="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适用于施工组织设计采用合格性评审项目；</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合格性评审采用明标的方式由评标委员会集体评审。</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因施工组织设计缺项或者</w:t>
            </w:r>
            <w:r>
              <w:rPr>
                <w:rFonts w:hint="eastAsia" w:ascii="宋体" w:hAnsi="宋体" w:eastAsia="宋体" w:cs="宋体"/>
                <w:bCs/>
                <w:color w:val="auto"/>
                <w:szCs w:val="21"/>
                <w:highlight w:val="none"/>
                <w:lang w:val="en-US" w:eastAsia="zh-CN"/>
              </w:rPr>
              <w:t>同</w:t>
            </w:r>
            <w:r>
              <w:rPr>
                <w:rFonts w:hint="eastAsia" w:ascii="宋体" w:hAnsi="宋体" w:eastAsia="宋体" w:cs="宋体"/>
                <w:bCs/>
                <w:color w:val="auto"/>
                <w:szCs w:val="21"/>
                <w:highlight w:val="none"/>
              </w:rPr>
              <w:t>一项评审内容被</w:t>
            </w:r>
            <w:r>
              <w:rPr>
                <w:rFonts w:hint="eastAsia" w:ascii="宋体" w:hAnsi="宋体" w:eastAsia="宋体" w:cs="宋体"/>
                <w:bCs/>
                <w:color w:val="auto"/>
                <w:szCs w:val="21"/>
                <w:highlight w:val="none"/>
                <w:lang w:val="en-US" w:eastAsia="zh-CN"/>
              </w:rPr>
              <w:t>超过一半</w:t>
            </w:r>
            <w:r>
              <w:rPr>
                <w:rFonts w:hint="eastAsia" w:ascii="宋体" w:hAnsi="宋体" w:eastAsia="宋体" w:cs="宋体"/>
                <w:bCs/>
                <w:color w:val="auto"/>
                <w:szCs w:val="21"/>
                <w:highlight w:val="none"/>
              </w:rPr>
              <w:t>评标委员会</w:t>
            </w:r>
            <w:r>
              <w:rPr>
                <w:rFonts w:hint="eastAsia" w:ascii="宋体" w:hAnsi="宋体" w:eastAsia="宋体" w:cs="宋体"/>
                <w:bCs/>
                <w:color w:val="auto"/>
                <w:szCs w:val="21"/>
                <w:highlight w:val="none"/>
                <w:lang w:val="en-US" w:eastAsia="zh-CN"/>
              </w:rPr>
              <w:t>成员</w:t>
            </w:r>
            <w:r>
              <w:rPr>
                <w:rFonts w:hint="eastAsia" w:ascii="宋体" w:hAnsi="宋体" w:eastAsia="宋体" w:cs="宋体"/>
                <w:bCs/>
                <w:color w:val="auto"/>
                <w:szCs w:val="21"/>
                <w:highlight w:val="none"/>
              </w:rPr>
              <w:t>判定为不合格的，施工组织设计不合格，应当否决其投标。</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施工组织设计</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不合格的，评标委员会应当注明理由和依据。</w:t>
            </w:r>
          </w:p>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842" w:type="dxa"/>
            <w:gridSpan w:val="6"/>
            <w:noWrap w:val="0"/>
            <w:vAlign w:val="center"/>
          </w:tcPr>
          <w:p>
            <w:pPr>
              <w:keepNext w:val="0"/>
              <w:keepLines w:val="0"/>
              <w:suppressLineNumbers w:val="0"/>
              <w:spacing w:before="0" w:beforeAutospacing="0" w:after="0" w:afterAutospacing="0"/>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rPr>
              <w:t>注：</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施工总承包单项最高投标限价在5000万元以下、专业承包单项最高投标限价在800万元以下的政府投资工程，施工组织设计采用合格性评审；</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施工总承包单项最高投标限价在20000万元以上、专业承包单项最高投标限价在3000万元以上的政府投资工程，施工组织设计采用评审计分的方式；</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其他项目由招标人自主选择施工组织设计评审方式。</w:t>
            </w:r>
          </w:p>
          <w:p>
            <w:pPr>
              <w:keepNext w:val="0"/>
              <w:keepLines w:val="0"/>
              <w:suppressLineNumbers w:val="0"/>
              <w:spacing w:before="0" w:beforeAutospacing="0" w:after="0" w:afterAutospacing="0"/>
              <w:ind w:left="0" w:right="0"/>
              <w:jc w:val="left"/>
              <w:rPr>
                <w:rFonts w:hint="eastAsia" w:ascii="宋体" w:hAnsi="宋体" w:cs="宋体"/>
                <w:bCs/>
                <w:color w:val="auto"/>
                <w:szCs w:val="21"/>
                <w:highlight w:val="none"/>
              </w:rPr>
            </w:pPr>
          </w:p>
        </w:tc>
      </w:tr>
    </w:tbl>
    <w:p>
      <w:pPr>
        <w:widowControl/>
        <w:jc w:val="left"/>
        <w:rPr>
          <w:color w:val="auto"/>
          <w:highlight w:val="none"/>
        </w:rPr>
      </w:pPr>
      <w:r>
        <w:rPr>
          <w:color w:val="auto"/>
          <w:highlight w:val="none"/>
        </w:rPr>
        <w:br w:type="page"/>
      </w:r>
    </w:p>
    <w:p>
      <w:pPr>
        <w:rPr>
          <w:color w:val="auto"/>
          <w:highlight w:val="none"/>
        </w:rPr>
      </w:pPr>
      <w:r>
        <w:rPr>
          <w:color w:val="auto"/>
          <w:highlight w:val="none"/>
        </w:rPr>
        <w:t>承前页：</w:t>
      </w:r>
      <w:r>
        <w:rPr>
          <w:color w:val="auto"/>
          <w:sz w:val="18"/>
          <w:szCs w:val="21"/>
          <w:highlight w:val="none"/>
        </w:rPr>
        <w:t xml:space="preserve"> </w:t>
      </w:r>
    </w:p>
    <w:tbl>
      <w:tblPr>
        <w:tblStyle w:val="39"/>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008"/>
        <w:gridCol w:w="6354"/>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008"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评审因素及</w:t>
            </w:r>
          </w:p>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取值范围</w:t>
            </w:r>
          </w:p>
        </w:tc>
        <w:tc>
          <w:tcPr>
            <w:tcW w:w="635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评审计分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912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施工组织设计（采用计分评审方式）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内容完整和</w:t>
            </w:r>
          </w:p>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编制水平</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版面是否整齐，表述是否清晰，内容是否全面、准确，是否图文并茂，是否出现格式等错误，是否超过招标人规定的页数。</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方案与技术</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措施（30分）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 市政基础设施项目，交通组织规划是否合理、可行，交通组织措施是否得力。</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管理体系与</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质量目标是否明确，是否优于招标文件的要求；管理机构是否健全，职责分工是否明确；管理制度是否齐全；实施与监控措施是否全面、有效。</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管理体系与</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安全目标是否明确，是否优于招标文件的要求；管理机构是否健全，职责分工是否明确；管理制度是否齐全；实施与监控措施是否全面、有效。</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环境</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保护管理体系    与措施（10分）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eastAsia="宋体" w:cs="宋体"/>
                <w:color w:val="auto"/>
                <w:sz w:val="21"/>
                <w:szCs w:val="21"/>
                <w:highlight w:val="none"/>
              </w:rPr>
              <w:t>环境管理目标是否明确，是否优于招标文件的要求；是否管理机构健全，职责分工是否明确；管理制度是否齐全</w:t>
            </w:r>
            <w:r>
              <w:rPr>
                <w:rFonts w:hint="eastAsia" w:ascii="宋体" w:hAnsi="宋体" w:eastAsia="宋体" w:cs="宋体"/>
                <w:bCs w:val="0"/>
                <w:color w:val="auto"/>
                <w:sz w:val="21"/>
                <w:szCs w:val="21"/>
                <w:highlight w:val="none"/>
              </w:rPr>
              <w:t>（是否包含建筑垃圾源头减量、分类处置及扬尘污染</w:t>
            </w:r>
            <w:r>
              <w:rPr>
                <w:rFonts w:hint="eastAsia" w:ascii="宋体" w:hAnsi="宋体" w:cs="宋体"/>
                <w:bCs w:val="0"/>
                <w:color w:val="auto"/>
                <w:sz w:val="21"/>
                <w:szCs w:val="21"/>
                <w:highlight w:val="none"/>
                <w:lang w:val="en-US" w:eastAsia="zh-CN"/>
              </w:rPr>
              <w:t>防治</w:t>
            </w:r>
            <w:r>
              <w:rPr>
                <w:rFonts w:hint="eastAsia" w:ascii="宋体" w:hAnsi="宋体" w:eastAsia="宋体" w:cs="宋体"/>
                <w:bCs w:val="0"/>
                <w:color w:val="auto"/>
                <w:sz w:val="21"/>
                <w:szCs w:val="21"/>
                <w:highlight w:val="none"/>
              </w:rPr>
              <w:t>等相关内容）</w:t>
            </w:r>
            <w:r>
              <w:rPr>
                <w:rFonts w:hint="eastAsia" w:ascii="宋体" w:hAnsi="宋体" w:eastAsia="宋体" w:cs="宋体"/>
                <w:color w:val="auto"/>
                <w:sz w:val="21"/>
                <w:szCs w:val="21"/>
                <w:highlight w:val="none"/>
              </w:rPr>
              <w:t>；实施与监控措施是否全面、有效。</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工程进度计划与保证措施（10分）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总工期及节点工期是否满足招标文件要求；施工进度计划内容是否全面，线路是否清晰、准确、完整，计划编制是否合理、可行；措施是否有力、合理、可行。</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资源配备</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计划（5分）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资源投入计划与施工部署、施工方法及进度计划是否能够相互呼应并较好满足施工需要，调配投入计划是否合理、准确。</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tabs>
                <w:tab w:val="left" w:pos="312"/>
              </w:tabs>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w:t>
            </w:r>
          </w:p>
          <w:p>
            <w:pPr>
              <w:keepNext w:val="0"/>
              <w:keepLines w:val="0"/>
              <w:suppressLineNumbers w:val="0"/>
              <w:tabs>
                <w:tab w:val="left" w:pos="312"/>
              </w:tabs>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招标人其他要求（如有）</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3"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124" w:type="dxa"/>
            <w:gridSpan w:val="3"/>
            <w:noWrap w:val="0"/>
            <w:vAlign w:val="center"/>
          </w:tcPr>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注：适用于施工组织设计采用计分评审的项目。</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1.施工组织设计评审标准编制要求</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 施工组织设计采用暗标方式，招标人可以根据项目实际，在招标文件中明确施工组织设计具体页数要求；</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 计分表中的评审标准为通用模板，招标人可根据项目的实际情况在评审标准的招标人其他要求中进行补充；</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2.施工组织设计评审要求</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2.1由评标委员会独立评审计分；</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2.2投标文件的“施工组织设计暗标”内出现投标人名称或者出现任何能直接判断出投标人名称的内容的，施工组织设计评审计零分；</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2.3施工组织设计缺失某项评审项目或者某项评审因素明显错误的，该项计零分；</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评标委员会成员对单项评审项目评审应当在规定的区间内计分，评标委员会成员对各项因素（内容完整和编制水平除外）的评分不得低于招标文件规定该因素满分值的80%；评分低于满分值85%的或高于满分分值95%的，评标委员会成员应当在评标报告中作出说明并注明详细理由和依据,不得采用笼统或简单的“好、一般、差”等表述；</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2.5投标文件页数超过招标文件规定页数的，由评标委员会对其必要性进行评审，可在内容完整和编制水平中予以扣分；</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Cs w:val="21"/>
                <w:highlight w:val="none"/>
              </w:rPr>
            </w:pPr>
            <w:r>
              <w:rPr>
                <w:rFonts w:hint="eastAsia" w:ascii="宋体" w:hAnsi="宋体" w:cs="宋体"/>
                <w:color w:val="auto"/>
                <w:sz w:val="24"/>
                <w:szCs w:val="24"/>
                <w:highlight w:val="none"/>
              </w:rPr>
              <w:t>2.6投标人的施工组织设计得分为去掉评审总分的一个最高分和一个最低分后的算术平均值。</w:t>
            </w:r>
          </w:p>
        </w:tc>
      </w:tr>
    </w:tbl>
    <w:p>
      <w:pPr>
        <w:rPr>
          <w:color w:val="auto"/>
          <w:highlight w:val="none"/>
        </w:rPr>
      </w:pPr>
      <w:r>
        <w:rPr>
          <w:color w:val="auto"/>
          <w:highlight w:val="none"/>
        </w:rPr>
        <w:br w:type="page"/>
      </w:r>
      <w:r>
        <w:rPr>
          <w:color w:val="auto"/>
          <w:highlight w:val="none"/>
        </w:rPr>
        <w:t>承前页</w:t>
      </w:r>
    </w:p>
    <w:tbl>
      <w:tblPr>
        <w:tblStyle w:val="39"/>
        <w:tblpPr w:leftFromText="180" w:rightFromText="180" w:vertAnchor="text" w:horzAnchor="page" w:tblpX="1158" w:tblpY="168"/>
        <w:tblOverlap w:val="never"/>
        <w:tblW w:w="10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134"/>
        <w:gridCol w:w="708"/>
        <w:gridCol w:w="1276"/>
        <w:gridCol w:w="3260"/>
        <w:gridCol w:w="710"/>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bookmarkStart w:id="199" w:name="_Hlk73032377"/>
            <w:r>
              <w:rPr>
                <w:rFonts w:hint="eastAsia" w:ascii="宋体" w:hAnsi="宋体" w:cs="宋体"/>
                <w:bCs/>
                <w:color w:val="auto"/>
                <w:szCs w:val="21"/>
                <w:highlight w:val="none"/>
              </w:rPr>
              <w:t>条款号</w:t>
            </w:r>
          </w:p>
        </w:tc>
        <w:tc>
          <w:tcPr>
            <w:tcW w:w="1985" w:type="dxa"/>
            <w:gridSpan w:val="2"/>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708"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最高</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2132" w:type="dxa"/>
            <w:gridSpan w:val="3"/>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985"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70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color w:val="auto"/>
                <w:szCs w:val="21"/>
                <w:highlight w:val="none"/>
              </w:rPr>
              <w:t>名称和数量</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710" w:type="dxa"/>
            <w:noWrap w:val="0"/>
            <w:vAlign w:val="center"/>
          </w:tcPr>
          <w:p>
            <w:pPr>
              <w:keepNext w:val="0"/>
              <w:keepLines w:val="0"/>
              <w:suppressLineNumbers w:val="0"/>
              <w:spacing w:before="0" w:beforeAutospacing="0" w:after="0" w:afterAutospacing="0"/>
              <w:ind w:left="-105" w:leftChars="-50" w:right="-81"/>
              <w:jc w:val="center"/>
              <w:rPr>
                <w:rFonts w:hint="default" w:ascii="宋体" w:hAnsi="宋体" w:cs="宋体"/>
                <w:bCs/>
                <w:color w:val="auto"/>
                <w:szCs w:val="21"/>
                <w:highlight w:val="none"/>
              </w:rPr>
            </w:pPr>
            <w:r>
              <w:rPr>
                <w:rFonts w:hint="eastAsia" w:ascii="宋体" w:hAnsi="宋体" w:cs="宋体"/>
                <w:bCs/>
                <w:color w:val="auto"/>
                <w:szCs w:val="21"/>
                <w:highlight w:val="none"/>
              </w:rPr>
              <w:t>计分制</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最低分</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178" w:type="dxa"/>
            <w:gridSpan w:val="9"/>
            <w:noWrap w:val="0"/>
            <w:vAlign w:val="center"/>
          </w:tcPr>
          <w:p>
            <w:pPr>
              <w:keepNext w:val="0"/>
              <w:keepLines w:val="0"/>
              <w:suppressLineNumbers w:val="0"/>
              <w:spacing w:before="0" w:beforeAutospacing="0" w:after="0" w:afterAutospacing="0"/>
              <w:ind w:left="0" w:right="0" w:firstLine="3570" w:firstLineChars="1700"/>
              <w:rPr>
                <w:rFonts w:hint="eastAsia" w:ascii="宋体" w:hAnsi="宋体" w:cs="宋体"/>
                <w:bCs/>
                <w:color w:val="auto"/>
                <w:szCs w:val="21"/>
                <w:highlight w:val="none"/>
              </w:rPr>
            </w:pPr>
            <w:r>
              <w:rPr>
                <w:rFonts w:hint="eastAsia" w:ascii="宋体" w:hAnsi="宋体" w:cs="宋体"/>
                <w:color w:val="auto"/>
                <w:szCs w:val="21"/>
                <w:highlight w:val="none"/>
              </w:rPr>
              <w:t>企业资信及履约能力评审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2.2.4</w:t>
            </w:r>
          </w:p>
          <w:p>
            <w:pPr>
              <w:keepNext w:val="0"/>
              <w:keepLines w:val="0"/>
              <w:suppressLineNumbers w:val="0"/>
              <w:spacing w:before="0" w:beforeAutospacing="0" w:after="0" w:afterAutospacing="0"/>
              <w:ind w:left="0" w:right="0"/>
              <w:jc w:val="center"/>
              <w:rPr>
                <w:rFonts w:hint="eastAsia" w:ascii="宋体" w:hAnsi="宋体" w:cs="宋体"/>
                <w:bCs/>
                <w:color w:val="auto"/>
                <w:spacing w:val="-20"/>
                <w:szCs w:val="21"/>
                <w:highlight w:val="none"/>
              </w:rPr>
            </w:pPr>
            <w:r>
              <w:rPr>
                <w:rFonts w:hint="eastAsia" w:ascii="宋体" w:hAnsi="宋体" w:cs="宋体"/>
                <w:color w:val="auto"/>
                <w:spacing w:val="-20"/>
                <w:szCs w:val="21"/>
                <w:highlight w:val="none"/>
              </w:rPr>
              <w:t>(2)</w:t>
            </w:r>
          </w:p>
        </w:tc>
        <w:tc>
          <w:tcPr>
            <w:tcW w:w="851"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投标人</w:t>
            </w:r>
          </w:p>
        </w:tc>
        <w:tc>
          <w:tcPr>
            <w:tcW w:w="1134"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奖项</w:t>
            </w:r>
          </w:p>
        </w:tc>
        <w:tc>
          <w:tcPr>
            <w:tcW w:w="708"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0</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国家级</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default" w:ascii="宋体" w:hAnsi="宋体" w:cs="宋体"/>
                <w:bCs/>
                <w:color w:val="auto"/>
                <w:szCs w:val="21"/>
                <w:highlight w:val="none"/>
              </w:rPr>
            </w:pPr>
            <w:r>
              <w:rPr>
                <w:rFonts w:hint="eastAsia" w:ascii="宋体" w:hAnsi="宋体" w:cs="宋体"/>
                <w:bCs/>
                <w:color w:val="auto"/>
                <w:szCs w:val="21"/>
                <w:highlight w:val="none"/>
              </w:rPr>
              <w:t>鲁班奖，每个</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国家优质工程奖，每个2.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中国人居环境范例奖（园林绿化获奖项目），每个2分；</w:t>
            </w:r>
          </w:p>
        </w:tc>
        <w:tc>
          <w:tcPr>
            <w:tcW w:w="710"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加分制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1134"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708"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0-3个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default" w:ascii="宋体" w:hAnsi="宋体" w:cs="宋体"/>
                <w:bCs/>
                <w:color w:val="auto"/>
                <w:szCs w:val="21"/>
                <w:highlight w:val="none"/>
              </w:rPr>
            </w:pPr>
            <w:r>
              <w:rPr>
                <w:rFonts w:hint="eastAsia" w:ascii="宋体" w:hAnsi="宋体" w:cs="宋体"/>
                <w:bCs/>
                <w:color w:val="auto"/>
                <w:szCs w:val="21"/>
                <w:highlight w:val="none"/>
              </w:rPr>
              <w:t>省级综合工程质量奖，每个</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省级优质工程奖，每个</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w:t>
            </w:r>
            <w:r>
              <w:rPr>
                <w:rFonts w:hint="eastAsia" w:ascii="宋体" w:hAnsi="宋体" w:cs="宋体"/>
                <w:bCs/>
                <w:color w:val="auto"/>
                <w:szCs w:val="21"/>
                <w:highlight w:val="none"/>
                <w:lang w:val="en-US" w:eastAsia="zh-CN"/>
              </w:rPr>
              <w:t>级</w:t>
            </w:r>
            <w:r>
              <w:rPr>
                <w:rFonts w:hint="eastAsia" w:ascii="宋体" w:hAnsi="宋体" w:cs="宋体"/>
                <w:bCs/>
                <w:color w:val="auto"/>
                <w:szCs w:val="21"/>
                <w:highlight w:val="none"/>
              </w:rPr>
              <w:t>园林绿化优质工程，每个1分；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1134"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标准化工地</w:t>
            </w:r>
          </w:p>
        </w:tc>
        <w:tc>
          <w:tcPr>
            <w:tcW w:w="708"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国家级</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0-2个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国家建设工程项目施工工地安全生产标准化学习交流项目，每个</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1134"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08"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0-20个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省级建筑施工安全生产标准化年度项目考评优良工地，每个0.</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1134"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kern w:val="2"/>
                <w:sz w:val="21"/>
                <w:szCs w:val="21"/>
                <w:highlight w:val="none"/>
              </w:rPr>
              <w:t>绿色科技创新</w:t>
            </w:r>
            <w:r>
              <w:rPr>
                <w:rFonts w:hint="eastAsia" w:ascii="宋体" w:hAnsi="宋体" w:eastAsia="宋体" w:cs="宋体"/>
                <w:bCs/>
                <w:color w:val="auto"/>
                <w:kern w:val="2"/>
                <w:sz w:val="21"/>
                <w:szCs w:val="21"/>
                <w:highlight w:val="none"/>
                <w:lang w:val="en-US" w:eastAsia="zh-CN"/>
              </w:rPr>
              <w:t>指标</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rPr>
              <w:t>星</w:t>
            </w:r>
            <w:r>
              <w:rPr>
                <w:rFonts w:hint="eastAsia" w:ascii="宋体" w:hAnsi="宋体" w:cs="宋体"/>
                <w:bCs/>
                <w:color w:val="auto"/>
                <w:szCs w:val="21"/>
                <w:highlight w:val="none"/>
                <w:lang w:val="en-US" w:eastAsia="zh-CN"/>
              </w:rPr>
              <w:t>级</w:t>
            </w:r>
            <w:r>
              <w:rPr>
                <w:rFonts w:hint="eastAsia" w:ascii="宋体" w:hAnsi="宋体" w:cs="宋体"/>
                <w:bCs/>
                <w:color w:val="auto"/>
                <w:szCs w:val="21"/>
                <w:highlight w:val="none"/>
              </w:rPr>
              <w:t>绿色建筑、AA</w:t>
            </w:r>
            <w:r>
              <w:rPr>
                <w:rFonts w:hint="eastAsia" w:ascii="宋体" w:hAnsi="宋体" w:cs="宋体"/>
                <w:bCs/>
                <w:color w:val="auto"/>
                <w:szCs w:val="21"/>
                <w:highlight w:val="none"/>
                <w:lang w:val="en-US" w:eastAsia="zh-CN"/>
              </w:rPr>
              <w:t>A</w:t>
            </w:r>
            <w:r>
              <w:rPr>
                <w:rFonts w:hint="eastAsia" w:ascii="宋体" w:hAnsi="宋体" w:cs="宋体"/>
                <w:bCs/>
                <w:color w:val="auto"/>
                <w:szCs w:val="21"/>
                <w:highlight w:val="none"/>
              </w:rPr>
              <w:t>级装配式建筑</w:t>
            </w:r>
            <w:r>
              <w:rPr>
                <w:rFonts w:hint="eastAsia" w:ascii="宋体" w:hAnsi="宋体" w:cs="宋体"/>
                <w:bCs/>
                <w:color w:val="auto"/>
                <w:szCs w:val="21"/>
                <w:highlight w:val="none"/>
                <w:lang w:val="en"/>
              </w:rPr>
              <w:t>,每个</w:t>
            </w:r>
            <w:r>
              <w:rPr>
                <w:rFonts w:hint="eastAsia" w:ascii="宋体" w:hAnsi="宋体" w:cs="宋体"/>
                <w:bCs/>
                <w:color w:val="auto"/>
                <w:szCs w:val="21"/>
                <w:highlight w:val="none"/>
              </w:rPr>
              <w:t>1分；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二星级</w:t>
            </w:r>
            <w:r>
              <w:rPr>
                <w:rFonts w:hint="eastAsia" w:ascii="宋体" w:hAnsi="宋体" w:cs="宋体"/>
                <w:bCs/>
                <w:color w:val="auto"/>
                <w:szCs w:val="21"/>
                <w:highlight w:val="none"/>
              </w:rPr>
              <w:t>绿色建筑、A</w:t>
            </w:r>
            <w:r>
              <w:rPr>
                <w:rFonts w:hint="eastAsia" w:ascii="宋体" w:hAnsi="宋体" w:cs="宋体"/>
                <w:bCs/>
                <w:color w:val="auto"/>
                <w:szCs w:val="21"/>
                <w:highlight w:val="none"/>
                <w:lang w:val="en-US" w:eastAsia="zh-CN"/>
              </w:rPr>
              <w:t>A</w:t>
            </w:r>
            <w:r>
              <w:rPr>
                <w:rFonts w:hint="eastAsia" w:ascii="宋体" w:hAnsi="宋体" w:cs="宋体"/>
                <w:bCs/>
                <w:color w:val="auto"/>
                <w:szCs w:val="21"/>
                <w:highlight w:val="none"/>
              </w:rPr>
              <w:t>级装配式建筑每个0.</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省级绿色施工工程，每个0.</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1134"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现场考评综合优良率</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rPr>
              <w:t>企业现场考评综合优良率得分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p>
        </w:tc>
        <w:tc>
          <w:tcPr>
            <w:tcW w:w="1134"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信用评价</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40</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施工招标投标信用评价得分×</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0%</w:t>
            </w:r>
          </w:p>
        </w:tc>
        <w:tc>
          <w:tcPr>
            <w:tcW w:w="71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加分制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p>
        </w:tc>
        <w:tc>
          <w:tcPr>
            <w:tcW w:w="1134"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类似工程业绩</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9</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施工业绩，每个</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c>
          <w:tcPr>
            <w:tcW w:w="71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加分制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985" w:type="dxa"/>
            <w:gridSpan w:val="2"/>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项目经理</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1.5</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业绩</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0-1个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承担过类似业绩，每个1.5分</w:t>
            </w:r>
          </w:p>
        </w:tc>
        <w:tc>
          <w:tcPr>
            <w:tcW w:w="710"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加分制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985" w:type="dxa"/>
            <w:gridSpan w:val="2"/>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1.5</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奖项</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0-1个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国家级、省级每个1.5分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985" w:type="dxa"/>
            <w:gridSpan w:val="2"/>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15</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不良信用信息</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项目经理存在信用评价不良信用信息的，根据不良信用信息类型，按照表后注解对应的分值进行扣除。</w:t>
            </w:r>
          </w:p>
        </w:tc>
        <w:tc>
          <w:tcPr>
            <w:tcW w:w="71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扣分制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9361" w:type="dxa"/>
            <w:gridSpan w:val="8"/>
            <w:noWrap w:val="0"/>
            <w:vAlign w:val="center"/>
          </w:tcPr>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pPr>
              <w:keepNext w:val="0"/>
              <w:keepLines w:val="0"/>
              <w:suppressLineNumbers w:val="0"/>
              <w:spacing w:before="0" w:beforeAutospacing="0" w:after="0" w:afterAutospacing="0"/>
              <w:ind w:left="0" w:right="0" w:firstLine="480" w:firstLineChars="200"/>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适用于综合评估法。</w:t>
            </w:r>
          </w:p>
          <w:p>
            <w:pPr>
              <w:keepNext w:val="0"/>
              <w:keepLines w:val="0"/>
              <w:suppressLineNumbers w:val="0"/>
              <w:spacing w:before="0" w:beforeAutospacing="0" w:after="0" w:afterAutospacing="0"/>
              <w:ind w:left="0" w:right="0" w:firstLine="480" w:firstLineChars="200"/>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奖项和标准化工地：</w:t>
            </w:r>
          </w:p>
          <w:p>
            <w:pPr>
              <w:keepNext w:val="0"/>
              <w:keepLines w:val="0"/>
              <w:suppressLineNumbers w:val="0"/>
              <w:spacing w:before="0" w:beforeAutospacing="0" w:after="0" w:afterAutospacing="0"/>
              <w:ind w:left="0" w:right="0" w:firstLine="480" w:firstLineChars="200"/>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  选择规则</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最高投标限价≥20000万元的施工总承包项目、最高投标限价≥3000万元的施工专业承包项目，</w:t>
            </w:r>
            <w:r>
              <w:rPr>
                <w:rFonts w:hint="eastAsia" w:ascii="宋体" w:hAnsi="宋体" w:eastAsia="宋体" w:cs="宋体"/>
                <w:b/>
                <w:bCs/>
                <w:color w:val="auto"/>
                <w:sz w:val="24"/>
                <w:highlight w:val="none"/>
              </w:rPr>
              <w:t>优良信息中的奖项和标准化工地应当按照下列规则选择评审数量</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国家级和省级</w:t>
            </w:r>
            <w:r>
              <w:rPr>
                <w:rFonts w:hint="eastAsia" w:ascii="宋体" w:hAnsi="宋体" w:eastAsia="宋体" w:cs="宋体"/>
                <w:b/>
                <w:bCs/>
                <w:color w:val="auto"/>
                <w:sz w:val="24"/>
                <w:highlight w:val="none"/>
              </w:rPr>
              <w:t>（省、自治区、直辖市，下同）</w:t>
            </w:r>
            <w:r>
              <w:rPr>
                <w:rFonts w:hint="eastAsia" w:ascii="宋体" w:hAnsi="宋体" w:eastAsia="宋体" w:cs="宋体"/>
                <w:color w:val="auto"/>
                <w:sz w:val="24"/>
                <w:highlight w:val="none"/>
              </w:rPr>
              <w:t>奖项可由招标人根据项目实际情况分别从1-3个中进行选择；</w:t>
            </w:r>
            <w:r>
              <w:rPr>
                <w:rFonts w:hint="eastAsia" w:ascii="宋体" w:hAnsi="宋体" w:eastAsia="宋体" w:cs="宋体"/>
                <w:color w:val="auto"/>
                <w:sz w:val="24"/>
                <w:highlight w:val="none"/>
                <w:lang w:val="en-US" w:eastAsia="zh-CN"/>
              </w:rPr>
              <w:t>国家</w:t>
            </w:r>
            <w:r>
              <w:rPr>
                <w:rFonts w:hint="eastAsia" w:ascii="宋体" w:hAnsi="宋体" w:eastAsia="宋体" w:cs="宋体"/>
                <w:b/>
                <w:bCs/>
                <w:color w:val="auto"/>
                <w:sz w:val="24"/>
                <w:highlight w:val="none"/>
              </w:rPr>
              <w:t>建设工程项目施工工地安全生产标准化学习交流项目</w:t>
            </w:r>
            <w:r>
              <w:rPr>
                <w:rFonts w:hint="eastAsia" w:ascii="宋体" w:hAnsi="宋体" w:eastAsia="宋体" w:cs="宋体"/>
                <w:color w:val="auto"/>
                <w:sz w:val="24"/>
                <w:highlight w:val="none"/>
              </w:rPr>
              <w:t>评审数量可由招标人根据项目实际情况从1-2个中进行选择；省级</w:t>
            </w:r>
            <w:r>
              <w:rPr>
                <w:rFonts w:hint="eastAsia" w:ascii="宋体" w:hAnsi="宋体" w:eastAsia="宋体" w:cs="宋体"/>
                <w:b/>
                <w:bCs/>
                <w:color w:val="auto"/>
                <w:sz w:val="24"/>
                <w:highlight w:val="none"/>
              </w:rPr>
              <w:t>建筑施工安全生产标准化年度项目考评优良工地评审数量可由招标人根据项目实际情况从10-20个中进行选择</w:t>
            </w:r>
            <w:r>
              <w:rPr>
                <w:rFonts w:hint="eastAsia" w:ascii="宋体" w:hAnsi="宋体" w:eastAsia="宋体" w:cs="宋体"/>
                <w:color w:val="auto"/>
                <w:sz w:val="24"/>
                <w:highlight w:val="none"/>
              </w:rPr>
              <w:t>；绿色科技创新相关指标评审数量可由招标人根据项目实际情况从0-3</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rPr>
              <w:t>中进行选择；</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5000万元≤最高投标限价＜20000万元的施工总承包项目、1500万元≤最高投标限价＜3000万元的施工专业承包项目，</w:t>
            </w:r>
            <w:r>
              <w:rPr>
                <w:rFonts w:hint="eastAsia" w:ascii="宋体" w:hAnsi="宋体" w:eastAsia="宋体" w:cs="宋体"/>
                <w:b/>
                <w:bCs/>
                <w:color w:val="auto"/>
                <w:sz w:val="24"/>
                <w:highlight w:val="none"/>
              </w:rPr>
              <w:t>优良信息中的奖项和标准化工地应当按照下列规则选择评审数量</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国家级和省级奖项可由招标人根据项目实际情况分别从0-2个中进行选择；国家</w:t>
            </w:r>
            <w:r>
              <w:rPr>
                <w:rFonts w:hint="eastAsia" w:ascii="宋体" w:hAnsi="宋体" w:eastAsia="宋体" w:cs="宋体"/>
                <w:b/>
                <w:bCs/>
                <w:color w:val="auto"/>
                <w:sz w:val="24"/>
                <w:highlight w:val="none"/>
              </w:rPr>
              <w:t>建设工程项目施工工地安全生产标准化学习交流项目</w:t>
            </w:r>
            <w:r>
              <w:rPr>
                <w:rFonts w:hint="eastAsia" w:ascii="宋体" w:hAnsi="宋体" w:eastAsia="宋体" w:cs="宋体"/>
                <w:color w:val="auto"/>
                <w:sz w:val="24"/>
                <w:highlight w:val="none"/>
              </w:rPr>
              <w:t>评审数量可由招标人根据项目实际情况从0-2个中进行选择；省级</w:t>
            </w:r>
            <w:r>
              <w:rPr>
                <w:rFonts w:hint="eastAsia" w:ascii="宋体" w:hAnsi="宋体" w:eastAsia="宋体" w:cs="宋体"/>
                <w:b/>
                <w:bCs/>
                <w:color w:val="auto"/>
                <w:sz w:val="24"/>
                <w:highlight w:val="none"/>
              </w:rPr>
              <w:t>建筑施工安全生产标准化年度项目考评优良工地评审数量可由招标人根据项目实际情况从0-10个中进行选择</w:t>
            </w:r>
            <w:r>
              <w:rPr>
                <w:rFonts w:hint="eastAsia" w:ascii="宋体" w:hAnsi="宋体" w:eastAsia="宋体" w:cs="宋体"/>
                <w:color w:val="auto"/>
                <w:sz w:val="24"/>
                <w:highlight w:val="none"/>
              </w:rPr>
              <w:t>；绿色科技创新相关指标评审数量可由招标人根据项目实际情况从0-2</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rPr>
              <w:t>中进行选择；</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最高投标限价＜5000万元的施工总承包项目、最高投标限价＜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00万元的施工专业承包项目，优良信息中的奖项、标准化工地和绿色科技创新指标不得列入评审计分范围</w:t>
            </w:r>
            <w:r>
              <w:rPr>
                <w:rFonts w:hint="eastAsia" w:ascii="宋体" w:hAnsi="宋体" w:eastAsia="宋体" w:cs="宋体"/>
                <w:b/>
                <w:bCs/>
                <w:color w:val="auto"/>
                <w:sz w:val="24"/>
                <w:highlight w:val="none"/>
              </w:rPr>
              <w:t>；</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对符合1.1.2条款规定的施工总承包项目，在选择国家级奖项列入评审计分范围时，须同时满足下述指标之一：（1）建筑面积5万平方米以上的住宅工程；（2）建筑面积2万平方米以上的其他单体建筑工程；（3）日供水10万吨以上的供水厂或日处理10万吨以上的污水处理厂；（4）路面面积20万平方米以上的城市道路工程或桥面面积3万平方米以上的城市立交桥工程；（5）</w:t>
            </w:r>
            <w:r>
              <w:rPr>
                <w:rFonts w:hint="eastAsia" w:ascii="宋体" w:hAnsi="宋体" w:eastAsia="宋体" w:cs="宋体"/>
                <w:bCs/>
                <w:color w:val="auto"/>
                <w:sz w:val="24"/>
                <w:highlight w:val="none"/>
              </w:rPr>
              <w:t>最高投标限价在10000万元以上的工程。</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绿色发展及科技创新加分规定</w:t>
            </w:r>
          </w:p>
          <w:p>
            <w:pPr>
              <w:keepNext w:val="0"/>
              <w:keepLines w:val="0"/>
              <w:suppressLineNumbers w:val="0"/>
              <w:snapToGrid w:val="0"/>
              <w:spacing w:before="0" w:beforeAutospacing="0" w:after="0" w:afterAutospacing="0"/>
              <w:ind w:left="0" w:right="0"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招标项目中包含绿色建筑</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装配式建筑</w:t>
            </w:r>
            <w:r>
              <w:rPr>
                <w:rFonts w:hint="eastAsia" w:ascii="宋体" w:hAnsi="宋体" w:eastAsia="宋体" w:cs="宋体"/>
                <w:bCs/>
                <w:color w:val="auto"/>
                <w:sz w:val="24"/>
                <w:highlight w:val="none"/>
                <w:lang w:val="en-US" w:eastAsia="zh-CN"/>
              </w:rPr>
              <w:t>或者绿色施工</w:t>
            </w:r>
            <w:r>
              <w:rPr>
                <w:rFonts w:hint="eastAsia" w:ascii="宋体" w:hAnsi="宋体" w:eastAsia="宋体" w:cs="宋体"/>
                <w:bCs/>
                <w:color w:val="auto"/>
                <w:sz w:val="24"/>
                <w:highlight w:val="none"/>
              </w:rPr>
              <w:t>内容要求的，招标人可</w:t>
            </w:r>
            <w:r>
              <w:rPr>
                <w:rFonts w:hint="eastAsia" w:ascii="宋体" w:hAnsi="宋体" w:eastAsia="宋体" w:cs="宋体"/>
                <w:bCs/>
                <w:color w:val="auto"/>
                <w:sz w:val="24"/>
                <w:highlight w:val="none"/>
                <w:lang w:val="en-US" w:eastAsia="zh-CN"/>
              </w:rPr>
              <w:t>按照1.1.1-1.1.3规定选择</w:t>
            </w:r>
            <w:r>
              <w:rPr>
                <w:rFonts w:hint="eastAsia" w:ascii="宋体" w:hAnsi="宋体" w:eastAsia="宋体" w:cs="宋体"/>
                <w:bCs/>
                <w:color w:val="auto"/>
                <w:sz w:val="24"/>
                <w:highlight w:val="none"/>
              </w:rPr>
              <w:t>绿色建筑</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三星级绿色建筑</w:t>
            </w:r>
            <w:r>
              <w:rPr>
                <w:rFonts w:hint="eastAsia" w:ascii="宋体" w:hAnsi="宋体" w:eastAsia="宋体" w:cs="宋体"/>
                <w:bCs/>
                <w:color w:val="auto"/>
                <w:sz w:val="24"/>
                <w:highlight w:val="none"/>
                <w:lang w:val="en-US" w:eastAsia="zh-CN"/>
              </w:rPr>
              <w:t>每个1分、二星级绿色建筑每个0.8分)、装配式建筑（</w:t>
            </w:r>
            <w:r>
              <w:rPr>
                <w:rFonts w:hint="eastAsia" w:ascii="宋体" w:hAnsi="宋体" w:eastAsia="宋体" w:cs="宋体"/>
                <w:bCs/>
                <w:color w:val="auto"/>
                <w:sz w:val="24"/>
                <w:highlight w:val="none"/>
              </w:rPr>
              <w:t>AAA级装配式建筑</w:t>
            </w:r>
            <w:r>
              <w:rPr>
                <w:rFonts w:hint="eastAsia" w:ascii="宋体" w:hAnsi="宋体" w:eastAsia="宋体" w:cs="宋体"/>
                <w:bCs/>
                <w:color w:val="auto"/>
                <w:sz w:val="24"/>
                <w:highlight w:val="none"/>
                <w:lang w:val="en-US" w:eastAsia="zh-CN"/>
              </w:rPr>
              <w:t>每个1分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AA级装配式建筑</w:t>
            </w:r>
            <w:r>
              <w:rPr>
                <w:rFonts w:hint="eastAsia" w:ascii="宋体" w:hAnsi="宋体" w:eastAsia="宋体" w:cs="宋体"/>
                <w:bCs/>
                <w:color w:val="auto"/>
                <w:sz w:val="24"/>
                <w:highlight w:val="none"/>
                <w:lang w:val="en-US" w:eastAsia="zh-CN"/>
              </w:rPr>
              <w:t>每个0.8分）、绿色施工（</w:t>
            </w:r>
            <w:r>
              <w:rPr>
                <w:rFonts w:hint="eastAsia" w:ascii="宋体" w:hAnsi="宋体" w:eastAsia="宋体" w:cs="宋体"/>
                <w:bCs/>
                <w:color w:val="auto"/>
                <w:sz w:val="24"/>
                <w:highlight w:val="none"/>
              </w:rPr>
              <w:t>省级绿色施工工程</w:t>
            </w:r>
            <w:r>
              <w:rPr>
                <w:rFonts w:hint="eastAsia" w:ascii="宋体" w:hAnsi="宋体" w:eastAsia="宋体" w:cs="宋体"/>
                <w:bCs/>
                <w:color w:val="auto"/>
                <w:sz w:val="24"/>
                <w:highlight w:val="none"/>
                <w:lang w:val="en-US" w:eastAsia="zh-CN"/>
              </w:rPr>
              <w:t>每个0.3分）加分，分别以</w:t>
            </w:r>
            <w:r>
              <w:rPr>
                <w:rFonts w:hint="eastAsia" w:ascii="宋体" w:hAnsi="宋体" w:eastAsia="宋体" w:cs="宋体"/>
                <w:bCs/>
                <w:color w:val="auto"/>
                <w:sz w:val="24"/>
                <w:highlight w:val="none"/>
              </w:rPr>
              <w:t>住房和城乡建设部</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省级住房和城乡建设部门</w:t>
            </w:r>
            <w:r>
              <w:rPr>
                <w:rFonts w:hint="eastAsia" w:ascii="宋体" w:hAnsi="宋体" w:eastAsia="宋体" w:cs="宋体"/>
                <w:bCs/>
                <w:color w:val="auto"/>
                <w:sz w:val="24"/>
                <w:highlight w:val="none"/>
                <w:lang w:val="en-US" w:eastAsia="zh-CN"/>
              </w:rPr>
              <w:t>公布文件为准。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期限和依据</w:t>
            </w:r>
          </w:p>
          <w:tbl>
            <w:tblPr>
              <w:tblStyle w:val="39"/>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364"/>
              <w:gridCol w:w="37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奖项名称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颁奖单位</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考核依据</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鲁班奖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（1）《关于公布〈20XX～20XX年度第X批中国建设工程鲁班奖（国家优质工程）入选名单〉的通知》</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w:t>
                  </w:r>
                  <w:r>
                    <w:rPr>
                      <w:rFonts w:hint="eastAsia" w:ascii="宋体" w:hAnsi="宋体" w:eastAsia="宋体" w:cs="宋体"/>
                      <w:sz w:val="20"/>
                      <w:szCs w:val="22"/>
                      <w:lang w:val="en-US" w:eastAsia="zh-CN"/>
                    </w:rPr>
                    <w:t>颁发</w:t>
                  </w:r>
                  <w:r>
                    <w:rPr>
                      <w:rFonts w:hint="eastAsia" w:ascii="宋体" w:hAnsi="宋体" w:eastAsia="宋体" w:cs="宋体"/>
                      <w:sz w:val="20"/>
                      <w:szCs w:val="22"/>
                    </w:rPr>
                    <w:t xml:space="preserve">〈20XX～20XX年度中国建设工程鲁班奖（国家优质工程）〉的决定》   </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国家优质工程奖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中国施工企业管理协会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（1）《20XX-20XX年度第X批国家优质工程奖入选工程名单公告》</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（2）《关于表彰20XX-20XX年度国家优质工程奖的决定》</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省内</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芙蓉奖</w:t>
                  </w:r>
                  <w:r>
                    <w:rPr>
                      <w:rFonts w:hint="eastAsia" w:ascii="宋体" w:hAnsi="宋体" w:eastAsia="宋体" w:cs="宋体"/>
                      <w:sz w:val="20"/>
                      <w:szCs w:val="22"/>
                      <w:lang w:eastAsia="zh-CN"/>
                    </w:rPr>
                    <w:t>）</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《关于公布20XX-20XX年度第X批湖南省建设工程芙蓉奖名单的通知》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省外</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val="en-US"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3.证明</w:t>
                  </w:r>
                  <w:r>
                    <w:rPr>
                      <w:rFonts w:hint="eastAsia" w:ascii="宋体" w:hAnsi="宋体" w:eastAsia="宋体" w:cs="宋体"/>
                      <w:sz w:val="20"/>
                      <w:szCs w:val="22"/>
                    </w:rPr>
                    <w:t>每年该综合工程质量奖项数量控制在 100 项以内 (含)的</w:t>
                  </w:r>
                  <w:r>
                    <w:rPr>
                      <w:rFonts w:hint="eastAsia" w:ascii="宋体" w:hAnsi="宋体" w:eastAsia="宋体" w:cs="宋体"/>
                      <w:sz w:val="20"/>
                      <w:szCs w:val="22"/>
                      <w:lang w:val="en-US" w:eastAsia="zh-CN"/>
                    </w:rPr>
                    <w:t>文件复印件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省内省级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奖（湖南省优质工程奖）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《关于公布20XX-20XX年度第X批湖南省优质工程名单的通知》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w:t>
                  </w:r>
                  <w:r>
                    <w:rPr>
                      <w:rFonts w:hint="eastAsia" w:ascii="宋体" w:hAnsi="宋体" w:cs="宋体"/>
                      <w:sz w:val="20"/>
                      <w:szCs w:val="22"/>
                      <w:lang w:val="en-US" w:eastAsia="zh-CN"/>
                    </w:rPr>
                    <w:t>外</w:t>
                  </w:r>
                  <w:r>
                    <w:rPr>
                      <w:rFonts w:hint="eastAsia" w:ascii="宋体" w:hAnsi="宋体" w:eastAsia="宋体" w:cs="宋体"/>
                      <w:sz w:val="20"/>
                      <w:szCs w:val="22"/>
                      <w:lang w:val="en-US" w:eastAsia="zh-CN"/>
                    </w:rPr>
                    <w:t>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val="en-US"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标准化工地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建设工程项目施工工地安全生产标准化学习交流项目</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中国建筑业协会建筑安全与机械分会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《关于公布20XX年建设工程项目施工工地安全生产标准化学习交流项目名单的通知》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省级建筑施工安全生产标准化年度项目考评优良工地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三星绿色建筑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以住房和城乡建设部授予的星级绿色建筑设计标识证书为准</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二星绿色建筑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kern w:val="0"/>
                      <w:sz w:val="20"/>
                      <w:szCs w:val="22"/>
                    </w:rPr>
                    <w:t>AAA级装配式建筑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2"/>
                    </w:rPr>
                  </w:pPr>
                  <w:r>
                    <w:rPr>
                      <w:rFonts w:hint="eastAsia" w:ascii="宋体" w:hAnsi="宋体" w:eastAsia="宋体" w:cs="宋体"/>
                      <w:kern w:val="0"/>
                      <w:sz w:val="20"/>
                      <w:szCs w:val="22"/>
                    </w:rPr>
                    <w:t>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绿色施工工程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中国人居环境范例奖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w:t>
                  </w:r>
                  <w:r>
                    <w:rPr>
                      <w:rFonts w:hint="eastAsia" w:ascii="宋体" w:hAnsi="宋体" w:eastAsia="宋体" w:cs="宋体"/>
                      <w:sz w:val="20"/>
                      <w:szCs w:val="22"/>
                      <w:lang w:val="en-US" w:eastAsia="zh-CN"/>
                    </w:rPr>
                    <w:t>公布</w:t>
                  </w:r>
                  <w:r>
                    <w:rPr>
                      <w:rFonts w:hint="eastAsia" w:ascii="宋体" w:hAnsi="宋体" w:eastAsia="宋体" w:cs="宋体"/>
                      <w:sz w:val="20"/>
                      <w:szCs w:val="22"/>
                    </w:rPr>
                    <w:t>20XX年中国人居环境奖获奖名单的通报》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园林绿化优质工程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bl>
          <w:p>
            <w:pPr>
              <w:keepNext w:val="0"/>
              <w:keepLines w:val="0"/>
              <w:suppressLineNumbers w:val="0"/>
              <w:spacing w:before="0" w:beforeAutospacing="0" w:after="0" w:afterAutospacing="0"/>
              <w:ind w:left="0" w:righ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获奖文件计分有效期以投标截止时间为时间节点，自获奖文件发文次日计算起、止时间。</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奖项和标准化工地</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依据以</w:t>
            </w:r>
            <w:r>
              <w:rPr>
                <w:rFonts w:hint="eastAsia" w:ascii="宋体" w:hAnsi="宋体" w:eastAsia="宋体" w:cs="宋体"/>
                <w:color w:val="auto"/>
                <w:sz w:val="24"/>
                <w:highlight w:val="none"/>
                <w:lang w:val="en-US" w:eastAsia="zh-CN"/>
              </w:rPr>
              <w:t>公布</w:t>
            </w:r>
            <w:r>
              <w:rPr>
                <w:rFonts w:hint="eastAsia" w:ascii="宋体" w:hAnsi="宋体" w:eastAsia="宋体" w:cs="宋体"/>
                <w:color w:val="auto"/>
                <w:sz w:val="24"/>
                <w:highlight w:val="none"/>
              </w:rPr>
              <w:t>的文件为准。省内省级综合工程质量奖为芙蓉奖，省级优质工程奖为湖南省优质工程奖。省外由省级建设行政主管部门或省级建筑业协会评定的综合工程质量奖项，在当地省级建设行政主管部门</w:t>
            </w:r>
            <w:r>
              <w:rPr>
                <w:rFonts w:hint="eastAsia" w:ascii="宋体" w:hAnsi="宋体" w:eastAsia="宋体" w:cs="宋体"/>
                <w:color w:val="auto"/>
                <w:sz w:val="24"/>
                <w:highlight w:val="none"/>
                <w:lang w:val="en-US" w:eastAsia="zh-CN"/>
              </w:rPr>
              <w:t>公布</w:t>
            </w:r>
            <w:r>
              <w:rPr>
                <w:rFonts w:hint="eastAsia" w:ascii="宋体" w:hAnsi="宋体" w:eastAsia="宋体" w:cs="宋体"/>
                <w:color w:val="auto"/>
                <w:sz w:val="24"/>
                <w:highlight w:val="none"/>
              </w:rPr>
              <w:t>的评标办法中加分的，按省级优质工程奖加分；投标人如能提供评奖当年省级优质工程奖项数量控制在 100 项以内 (含)的，则该获奖工程按省级综合工程质量奖加分。如该奖项年度内多批次公布的，奖项数量按上年度各批次累计总数为准。</w:t>
            </w:r>
          </w:p>
          <w:p>
            <w:pPr>
              <w:keepNext w:val="0"/>
              <w:keepLines w:val="0"/>
              <w:suppressLineNumbers w:val="0"/>
              <w:snapToGrid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2024年及以后省内省级建筑施工安全生产标准化年度项目考评优良工地指标为湖南省建筑施工安全质量标准化年度项目考评优良工地。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加分规则</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.1奖项</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项目为房屋建筑施工总承包或者市政施工总承包工程的，招标项目工程类型与获奖工程的工程类型不一致，则该获奖工程不予计分；以专业资质获得的奖项不予计分。同一标段承建单位有两个以上的，分别按照评审计分表中规定分值的1／2计取；</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招标工程为园林绿化工程的，</w:t>
            </w:r>
            <w:r>
              <w:rPr>
                <w:rFonts w:hint="eastAsia" w:ascii="宋体" w:hAnsi="宋体" w:eastAsia="宋体" w:cs="宋体"/>
                <w:color w:val="auto"/>
                <w:sz w:val="24"/>
                <w:highlight w:val="none"/>
              </w:rPr>
              <w:t>国家级奖项仅对中国人居环境范例奖（园林绿化获奖项目）加分（每个2分），以住房和城乡建设部公布文件为准；省级奖项仅对省级园林绿化优质工程加分（每个1分），以省级园林绿化协会公布文件为准。</w:t>
            </w:r>
            <w:r>
              <w:rPr>
                <w:rFonts w:hint="eastAsia" w:ascii="宋体" w:hAnsi="宋体" w:eastAsia="宋体" w:cs="宋体"/>
                <w:bCs/>
                <w:color w:val="auto"/>
                <w:sz w:val="24"/>
                <w:highlight w:val="none"/>
              </w:rPr>
              <w:t>国家级、省级奖项规定的个数和对应最高分不变</w:t>
            </w:r>
            <w:r>
              <w:rPr>
                <w:rFonts w:hint="eastAsia" w:ascii="宋体" w:hAnsi="宋体" w:eastAsia="宋体" w:cs="宋体"/>
                <w:color w:val="auto"/>
                <w:sz w:val="24"/>
                <w:highlight w:val="none"/>
              </w:rPr>
              <w:t>；优良信息中的标准化工地、绿化科技创新指标不加分。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（3）招标项目为专业工程的，仅对以同专业资质获得的相应奖项计分，以总承包资质获得的奖项不予计分。专业工程获奖项目参建单位有两个以上的，按照评审计分表中的计分规则计取。</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.2标准化工地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同一标段承建单位有两个以上的，分别按照评审计分表中规定分值的1／2计取；</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（2）招标项目为专业工程的，仅对以同专业资质获得的相应标准化工地计分。专业工程获奖项目承建（参建）单位有两个以上的，按照评审计分表中的计分规则计取。以总承包资质获得的奖项不予计分。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  同一工程的奖项、标准化工地、绿色科技创新指标，优先按照得分高的奖项、标准化工地、绿色科技创新指标</w:t>
            </w:r>
            <w:r>
              <w:rPr>
                <w:rFonts w:hint="eastAsia" w:ascii="宋体" w:hAnsi="宋体" w:eastAsia="宋体" w:cs="宋体"/>
                <w:color w:val="auto"/>
                <w:sz w:val="24"/>
                <w:highlight w:val="none"/>
                <w:lang w:val="en-US" w:eastAsia="zh-CN"/>
              </w:rPr>
              <w:t>分别</w:t>
            </w:r>
            <w:r>
              <w:rPr>
                <w:rFonts w:hint="eastAsia" w:ascii="宋体" w:hAnsi="宋体" w:eastAsia="宋体" w:cs="宋体"/>
                <w:color w:val="auto"/>
                <w:sz w:val="24"/>
                <w:highlight w:val="none"/>
              </w:rPr>
              <w:t>计算一次。</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获得奖项、标准化工地的专业类别认定。获奖文件能够分辨专业类别的，以获奖文件为准；获奖文件中无法分辨专业类别的，以奖项申报材料（须提供省级相应行政主管部门或省级协会盖章的相应材料）中载明的专业类别为准；仍然无法辨别专业类别的，须提供获奖项目的中标通知书或合同作为证明材料；以上证明材料均无法辨别项目专业类别的，该奖项、标准化工地等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投标人类似工程业绩</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招标人可以根据项目实际情况选取0-3个类似工程业绩纳入评审。</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 </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依据：以投标文件中提供的中标通知书（招标工程提交）、 合同和竣工验收资料以及本项目答疑文件明确可以作为</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依据的资料的复印件为准，并提供“湖南省智慧住建云—湖南省建筑市场监管公共服务平台”或者“全国建筑市场监管公共服务平台”上体现其作为相应承包人的项目网页截图。相关指标不一致时，依次按照中标通知书、合同、竣工验收资料、项目答疑文件明确可以作为评审依据的资料顺序认定。竣工验收资料是指竣工验收备案表（经建设工程质量监督部门签字或盖章确认，下同）或者竣工验收证明（由建设单位、施工单位、监理单位、设计单位签字或盖章认可，下同）。</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投标人提供的类似工程业绩同时包含多个工程类别（专业）的，其工程类别（专业）所对应的工程量应当依次按照中标通知书、合同、竣工验收资料、项目答疑文件明确可以作为评审依据的资料进行认定。</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以上资料均不能明确区分的，由评标委员会进行认定。</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 </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期限：3年，自工程竣工验收文件中建设单位签字或盖章之日起计算。类似工程业绩</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依据中竣工验收备案表未体现建设单位签字或盖章之日的，以竣工验收备案表“竣工验收日期”栏中注明的时间为准。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3．信用评价</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施工单位信用评价以“湖南省智慧住建云—湖南省建筑市场监管公共服务平台”最新公布的信息为准；无施工单位信用评价查询结果的，企业投标时按照施工单位信用评价得分处于末位的合格投标人的分值计取；省外企业无施工单位信用评价查询结果的，可以提供注册地省级住房和城乡建设部门提供的施工单位信用评价结果（百分制）作为评审依据。</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未参加信用评价存在信用评价不良信用信息的施工单位，按照下列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招标项目为专业工程、园林绿化工程的，评标时投标人的信用评价分值统一计100分。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4.施工项目季度考评综合优良率得分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F=(K/A)×4＋ [1-KP/（K+KP）] ×4＋（AP1×0.1+AP2×0.2+AP3×0.3+AP4×0.4）×2</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F：施工项目季度考评综合优良率得分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 企业季度考评在建工地宗数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K: 企业季度考评优良工地宗数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KP: 全省所有企业的季度考评优良工地平均数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AP1 、AP2 、AP3 、AP4：企业考评季度之前连续四个季度考评优良比例（K/A，K或者A为0时，该项数据计0分）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施工项目季度考评综合优良率得分以“湖南省智慧住建云—湖南省建筑市场监管公共服务平台”最新公布的信息为准，无查询结果的，投标时按照施工项目季度考评综合优良率得分处于末位的合格投标人的分值计取；省外企业无施工项目季度考评综合优良率得分查询结果的，可以提供注册地省级住房和城乡建设部门公开发布的用于计算施工项目季度考评综合优良率的相关基础数据作为评审依据。</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招标项目为专业工程、园林绿化工程的，评标时投标人的施工项目季度考评综合优良率统一计满分。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同一类型(专业)的施工企业组成的联合体,奖项、标准化工地、绿色科技创新指标、加分业绩、信用评价、综合优良率得分分别为该类型(专业)联合体各方得分的平均值。</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存在不同类型工程内容的,招标人应根据项目实际情况在招标文件中明确主要类型（专业）,奖项、标准化工地、绿色科技创新指标、加分业绩、信用评价、优良率得分均只考虑主要类型(专业),设置项目奖项、标准化工地、绿色科技创新指标、加分业绩的指标标准按照主要类型(专业)的规模,其他指标标准和相关要求按照整个招标项目的规模。奖项、标准化工地、绿色科技创新指标、加分业绩、信用评价、优良率得分为联合体主要类型(专业)单位的得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项目经理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6.1项目经理业绩：</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招标人可以根据项目实际情况选取0-1个项目经理类似工程业绩纳入评审。</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类似工程业绩以中标通知书（招标工程提交）、合同和竣工验收资料为准，并提供“湖南省智慧住建云—湖南省建筑市场监管公共服务平台”或者“全国建筑市场监管公共服务平台”上体现其作为项目经理的项目网页截图。项目经理姓名不一致时，依次按照竣工验收资料、合同和中标通知书的顺序认定。竣工验收资料、合同和中标通知书等任一评审依据上载明的项目经理超过一个的，仅对排序第一的项目经理计分。相关指标不一致时，依次按照中标通知书、合同、竣工验收资料的顺序认定。</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6.2评审期限：3年，按工程竣工验收文件中建设单位签字之日起计算。类似工程业绩评审依据中竣工验收备案表未体现建设单位签字之日的，以竣工验收备案表“竣工验收日期”栏中注明的时间为准。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6.3奖项：</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6.3.1 最高投标限价＜5000万元的施工总承包项目、最高投标限价＜1500万元的施工专业承包项目，项目经理奖项不得列入评审计分范围；5000万元≤最高投标限价＜20000万元的施工总承包项目、1500万元≤最高投标限价＜3000万元的施工专业承包项目，招标人根据项目实际情况选择0-1个省级奖项参与评审计分；最高投标限价≥20000万元的施工总承包项目、最高投标限价≥3000万元的施工专业承包项目，招标人根据项目实际情况选择0-1个奖项（国家级和省级奖项）参与评审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6.3.2 奖项评审依据和期限与投标企业奖项一致。</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(1)招标项目为房屋建筑施工总承包或者市政施工总承包工程的，招标项目工程类型应与获奖工程的工程类型一致;以专业资质获得的奖项和以参建单位获得的奖项均不予计分。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(2)招标工程为园林绿化工程的,仅对中国人居环境范例奖( 园林绿化获奖项目)省级园林绿化优质工程加分。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(3)招标项目为专业工程的，仅对以同专业资质获得的相应奖项计分，以总承包资质获得的奖项不予计分。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6.3.3 获奖文件中已载明项目经理姓名的，以获奖文件中载明的项目经理为准；获奖文件中未载明项目经理姓名的，以竣工验收资料中载明的项目经理为准；获奖文件或者竣工验收资料中载明的项目经理超过一个的，仅对排序第一的项目经理计分；竣工验收资料中未载明项目经理姓名，以及无法分辨工程类型的，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投标截止时间以前3年内，拟任项目经理在其他项目担任项目经理期间发生过变更撤换且在该项目完成合同约定工作量或合同约定本职工作之前，参与本项目投标的，不对该项目经理的类似工程业绩和奖项等计分；存在上述情形的，投标人应当在投标文件中如实说明，未如实说明的，招标人取消其中标候选人资格，并提请住房和城乡建设主管部门按规定予以信用评价扣分。（适用于：项目经理业绩、奖项加分的项目，且投标人在投标文件中已按招标文件规定提供符合加分的项目经理业绩或奖项证明材料的）</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6.5 拟任项目经理在建情况以投标截止时在“湖南省建筑工程监管信息平台”查询信息为准，有在其他项目任关键岗位人员情形的，评标委员会应当否决其投标。</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公示期满，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p>
            <w:pPr>
              <w:keepNext w:val="0"/>
              <w:keepLines w:val="0"/>
              <w:numPr>
                <w:ilvl w:val="0"/>
                <w:numId w:val="3"/>
              </w:numPr>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施工单位及拟任项目经理不良信用信息</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按照以下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评审依据及扣分有效期</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失信被执行人：以中国执行信息公开网公布的信息为准，自结果公布之日起6个月有效；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不良行为记录：湖南省行政区域内的不良行为记录以湖南省住房和城乡建设厅公布的结果为准，有效期按照《湖南省建筑市场责任主体不良行为记录》规定执行;湖南省行政区域外的不良行为记录以全国建筑市场监管公共服务平台公布的信息为准，按严重不良行为记录扣分，有效期按照平台中注明的有效期执行。</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行政处罚：以行政处罚决定书为准。罚款10万元以上处罚的，自结果公布之日起3个月有效；其他罚款以上行政处罚的，自结果公布之日起6个月有效；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刑事处罚：以刑事处罚决定书为准，自结果公布之日起1年有效；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严重失信行为名单：以省公管办或省住房和城乡建设厅公布的相关文件为准，自结果公布之日起1年有效。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上述同一违法违规事项受到刑事处罚、行政处罚、不良行为记录的，按照最高处罚决定的分值扣分。</w:t>
            </w:r>
          </w:p>
          <w:p>
            <w:pPr>
              <w:keepNext w:val="0"/>
              <w:keepLines w:val="0"/>
              <w:suppressLineNumbers w:val="0"/>
              <w:spacing w:before="0" w:beforeAutospacing="0" w:after="0" w:afterAutospacing="0"/>
              <w:ind w:left="0" w:right="0" w:firstLine="480" w:firstLineChars="200"/>
              <w:rPr>
                <w:rFonts w:hint="eastAsia" w:ascii="宋体" w:hAnsi="宋体" w:eastAsia="宋体" w:cs="宋体"/>
                <w:bCs/>
                <w:color w:val="auto"/>
                <w:szCs w:val="21"/>
                <w:highlight w:val="none"/>
              </w:rPr>
            </w:pPr>
            <w:r>
              <w:rPr>
                <w:rFonts w:hint="eastAsia" w:ascii="宋体" w:hAnsi="宋体" w:eastAsia="宋体" w:cs="宋体"/>
                <w:color w:val="auto"/>
                <w:sz w:val="24"/>
                <w:highlight w:val="none"/>
              </w:rPr>
              <w:t>8. 加分项目以投标文件中提供的相应证明材料为准，未提供相应材料或材料提供不全或不符合要求的，不加分。</w:t>
            </w:r>
          </w:p>
        </w:tc>
      </w:tr>
      <w:bookmarkEnd w:id="199"/>
    </w:tbl>
    <w:p>
      <w:pPr>
        <w:widowControl/>
        <w:jc w:val="left"/>
        <w:rPr>
          <w:color w:val="auto"/>
          <w:highlight w:val="none"/>
        </w:rPr>
      </w:pPr>
      <w:r>
        <w:rPr>
          <w:color w:val="auto"/>
          <w:highlight w:val="none"/>
        </w:rPr>
        <w:br w:type="page"/>
      </w:r>
    </w:p>
    <w:tbl>
      <w:tblPr>
        <w:tblStyle w:val="39"/>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266"/>
        <w:gridCol w:w="1930"/>
        <w:gridCol w:w="36"/>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9666"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lang w:val="en-US" w:eastAsia="zh-CN"/>
              </w:rPr>
              <w:t>33333333</w:t>
            </w: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投标报价＝基准价</w:t>
            </w:r>
          </w:p>
        </w:tc>
        <w:tc>
          <w:tcPr>
            <w:tcW w:w="1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4568" w:type="dxa"/>
            <w:gridSpan w:val="2"/>
            <w:vMerge w:val="continue"/>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0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投标报价＜基准价</w:t>
            </w:r>
          </w:p>
        </w:tc>
        <w:tc>
          <w:tcPr>
            <w:tcW w:w="1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100-100L</w:t>
            </w:r>
          </w:p>
        </w:tc>
        <w:tc>
          <w:tcPr>
            <w:tcW w:w="4568" w:type="dxa"/>
            <w:gridSpan w:val="2"/>
            <w:vMerge w:val="continue"/>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2.2.4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p>
        </w:tc>
        <w:tc>
          <w:tcPr>
            <w:tcW w:w="8764" w:type="dxa"/>
            <w:gridSpan w:val="4"/>
            <w:noWrap w:val="0"/>
            <w:vAlign w:val="center"/>
          </w:tcPr>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1基准价： Y= A×(1-α) ×60%+B×(1-β)×40%</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A——进入报价评审环节的有效投标报价中，大于或等于X（1－10%）的报价的算术平均值</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X——进入报价评审环节的有效投标报价算术平均值</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lang w:val="de-DE"/>
              </w:rPr>
            </w:pPr>
            <w:r>
              <w:rPr>
                <w:rFonts w:hint="eastAsia" w:ascii="宋体" w:hAnsi="宋体" w:cs="宋体"/>
                <w:color w:val="auto"/>
                <w:kern w:val="0"/>
                <w:highlight w:val="none"/>
                <w:lang w:val="de-DE" w:eastAsia="de-DE"/>
              </w:rPr>
              <w:t>X=</w:t>
            </w:r>
            <w:r>
              <w:rPr>
                <w:rFonts w:hint="eastAsia" w:ascii="宋体" w:hAnsi="宋体" w:cs="宋体"/>
                <w:color w:val="auto"/>
                <w:kern w:val="0"/>
                <w:highlight w:val="none"/>
                <w:lang w:val="de-DE"/>
              </w:rPr>
              <w:t>（</w:t>
            </w:r>
            <w:r>
              <w:rPr>
                <w:rFonts w:hint="eastAsia" w:ascii="宋体" w:hAnsi="宋体" w:cs="宋体"/>
                <w:color w:val="auto"/>
                <w:kern w:val="0"/>
                <w:highlight w:val="none"/>
                <w:lang w:val="de-DE" w:eastAsia="de-DE"/>
              </w:rPr>
              <w:t>X1+X2+……Xn-1+Xn</w:t>
            </w:r>
            <w:r>
              <w:rPr>
                <w:rFonts w:hint="eastAsia" w:ascii="宋体" w:hAnsi="宋体" w:cs="宋体"/>
                <w:color w:val="auto"/>
                <w:kern w:val="0"/>
                <w:highlight w:val="none"/>
                <w:lang w:val="de-DE"/>
              </w:rPr>
              <w:t>）</w:t>
            </w:r>
            <w:r>
              <w:rPr>
                <w:rFonts w:hint="eastAsia" w:ascii="宋体" w:hAnsi="宋体" w:cs="宋体"/>
                <w:color w:val="auto"/>
                <w:kern w:val="0"/>
                <w:highlight w:val="none"/>
                <w:lang w:val="de-DE" w:eastAsia="de-DE"/>
              </w:rPr>
              <w:t>／n</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lang w:val="de-DE" w:eastAsia="de-DE"/>
              </w:rPr>
              <w:t>n</w:t>
            </w:r>
            <w:r>
              <w:rPr>
                <w:rFonts w:hint="eastAsia" w:ascii="宋体" w:hAnsi="宋体" w:cs="宋体"/>
                <w:color w:val="auto"/>
                <w:kern w:val="0"/>
                <w:highlight w:val="none"/>
              </w:rPr>
              <w:t>——进入报价评审环节的有效投标报价个数</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lang w:val="de-DE" w:eastAsia="de-DE"/>
              </w:rPr>
              <w:t>X1、X2、Xn-1、Xn</w:t>
            </w:r>
            <w:r>
              <w:rPr>
                <w:rFonts w:hint="eastAsia" w:ascii="宋体" w:hAnsi="宋体" w:cs="宋体"/>
                <w:color w:val="auto"/>
                <w:kern w:val="0"/>
                <w:highlight w:val="none"/>
              </w:rPr>
              <w:t>——进入报价评审环节的有效投标报价</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B——最高投标限价</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α—— 0、1%、2%、3%、</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%，开标时随机抽取确定</w:t>
            </w:r>
          </w:p>
          <w:p>
            <w:pPr>
              <w:keepNext w:val="0"/>
              <w:keepLines w:val="0"/>
              <w:suppressLineNumbers w:val="0"/>
              <w:spacing w:before="0" w:beforeAutospacing="0" w:after="0" w:afterAutospacing="0"/>
              <w:ind w:left="0" w:right="0"/>
              <w:jc w:val="both"/>
              <w:rPr>
                <w:rFonts w:hint="eastAsia" w:ascii="宋体" w:hAnsi="宋体" w:cs="宋体"/>
                <w:bCs/>
                <w:color w:val="auto"/>
                <w:szCs w:val="21"/>
                <w:highlight w:val="none"/>
              </w:rPr>
            </w:pPr>
            <w:r>
              <w:rPr>
                <w:rFonts w:hint="eastAsia" w:ascii="宋体" w:hAnsi="宋体" w:cs="宋体"/>
                <w:color w:val="auto"/>
                <w:kern w:val="0"/>
                <w:highlight w:val="none"/>
              </w:rPr>
              <w:t>β—— 4%、5%、</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8</w:t>
            </w:r>
            <w:r>
              <w:rPr>
                <w:rFonts w:hint="eastAsia" w:ascii="宋体" w:hAnsi="宋体" w:cs="宋体"/>
                <w:color w:val="auto"/>
                <w:kern w:val="0"/>
                <w:highlight w:val="none"/>
              </w:rPr>
              <w:t>%，开标时随机抽取确定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评审标准</w:t>
            </w:r>
          </w:p>
        </w:tc>
        <w:tc>
          <w:tcPr>
            <w:tcW w:w="1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计分方式</w:t>
            </w:r>
          </w:p>
        </w:tc>
        <w:tc>
          <w:tcPr>
            <w:tcW w:w="45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投标报价＞基准价</w:t>
            </w:r>
          </w:p>
        </w:tc>
        <w:tc>
          <w:tcPr>
            <w:tcW w:w="1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100-100L</w:t>
            </w:r>
          </w:p>
        </w:tc>
        <w:tc>
          <w:tcPr>
            <w:tcW w:w="4532" w:type="dxa"/>
            <w:vMerge w:val="restart"/>
            <w:noWrap w:val="0"/>
            <w:vAlign w:val="top"/>
          </w:tcPr>
          <w:p>
            <w:pPr>
              <w:keepNext w:val="0"/>
              <w:keepLines w:val="0"/>
              <w:suppressLineNumbers w:val="0"/>
              <w:spacing w:before="157" w:beforeLines="50" w:beforeAutospacing="0" w:after="0" w:afterAutospacing="0"/>
              <w:ind w:left="0" w:right="0"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keepNext w:val="0"/>
              <w:keepLines w:val="0"/>
              <w:suppressLineNumbers w:val="0"/>
              <w:spacing w:before="157" w:beforeLines="50" w:beforeAutospacing="0" w:after="0" w:afterAutospacing="0"/>
              <w:ind w:left="0" w:right="0" w:firstLine="210" w:firstLineChars="100"/>
              <w:rPr>
                <w:rFonts w:hint="eastAsia"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1439545</wp:posOffset>
                      </wp:positionH>
                      <wp:positionV relativeFrom="paragraph">
                        <wp:posOffset>57785</wp:posOffset>
                      </wp:positionV>
                      <wp:extent cx="635" cy="504190"/>
                      <wp:effectExtent l="4445" t="0" r="5715" b="3175"/>
                      <wp:wrapNone/>
                      <wp:docPr id="6" name="自选图形 55"/>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 id="自选图形 55" o:spid="_x0000_s1026" o:spt="32" type="#_x0000_t32" style="position:absolute;left:0pt;margin-left:113.35pt;margin-top:4.55pt;height:39.7pt;width:0.05pt;z-index:251661312;mso-width-relative:page;mso-height-relative:page;" filled="f" stroked="t" coordsize="21600,21600" o:gfxdata="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sgyRPWAAAACAEAAA8AAAAAAAAAAQAgAAAAIgAAAGRycy9kb3ducmV2LnhtbFBLAQIUABQA&#10;AAAIAIdO4kAHcg7R8gEAAMUDAAAOAAAAAAAAAAEAIAAAACUBAABkcnMvZTJvRG9jLnhtbFBLBQYA&#10;AAAABgAGAFkBAACJBQAAAAA=&#10;">
                      <v:fill on="f" focussize="0,0"/>
                      <v:stroke weight="0.5pt" color="#000000" joinstyle="round"/>
                      <v:imagedata o:title=""/>
                      <o:lock v:ext="edit" aspectratio="f"/>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57785</wp:posOffset>
                      </wp:positionV>
                      <wp:extent cx="635" cy="504190"/>
                      <wp:effectExtent l="4445" t="0" r="5715" b="3175"/>
                      <wp:wrapNone/>
                      <wp:docPr id="5" name="自选图形 54"/>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 id="自选图形 54" o:spid="_x0000_s1026" o:spt="32" type="#_x0000_t32" style="position:absolute;left:0pt;margin-left:15.3pt;margin-top:4.55pt;height:39.7pt;width:0.05pt;z-index:251662336;mso-width-relative:page;mso-height-relative:page;" filled="f" stroked="t" coordsize="21600,21600" o:gfxdata="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cvwp9UAAAAGAQAADwAAAAAAAAABACAAAAAiAAAAZHJzL2Rvd25yZXYueG1sUEsBAhQAFAAA&#10;AAgAh07iQOoD2ePyAQAAxQMAAA4AAAAAAAAAAQAgAAAAJAEAAGRycy9lMm9Eb2MueG1sUEsFBgAA&#10;AAAGAAYAWQEAAIgFAAAAAA==&#10;">
                      <v:fill on="f" focussize="0,0"/>
                      <v:stroke weight="0.5pt" color="#000000" joinstyle="round"/>
                      <v:imagedata o:title=""/>
                      <o:lock v:ext="edit" aspectratio="f"/>
                    </v:shape>
                  </w:pict>
                </mc:Fallback>
              </mc:AlternateContent>
            </w:r>
            <w:r>
              <w:rPr>
                <w:rFonts w:hint="eastAsia" w:ascii="宋体" w:hAnsi="宋体" w:cs="宋体"/>
                <w:color w:val="auto"/>
                <w:szCs w:val="21"/>
                <w:highlight w:val="none"/>
              </w:rPr>
              <w:t xml:space="preserve">    投标报价-基准价</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80645</wp:posOffset>
                      </wp:positionV>
                      <wp:extent cx="1075690" cy="635"/>
                      <wp:effectExtent l="0" t="0" r="0" b="0"/>
                      <wp:wrapNone/>
                      <wp:docPr id="4" name="自选图形 53"/>
                      <wp:cNvGraphicFramePr/>
                      <a:graphic xmlns:a="http://schemas.openxmlformats.org/drawingml/2006/main">
                        <a:graphicData uri="http://schemas.microsoft.com/office/word/2010/wordprocessingShape">
                          <wps:wsp>
                            <wps:cNvCnPr>
                              <a:cxnSpLocks noChangeShapeType="1"/>
                            </wps:cNvCnPr>
                            <wps:spPr bwMode="auto">
                              <a:xfrm>
                                <a:off x="0" y="0"/>
                                <a:ext cx="1075690" cy="635"/>
                              </a:xfrm>
                              <a:prstGeom prst="straightConnector1">
                                <a:avLst/>
                              </a:prstGeom>
                              <a:noFill/>
                              <a:ln w="9525">
                                <a:solidFill>
                                  <a:srgbClr val="000000"/>
                                </a:solidFill>
                                <a:round/>
                              </a:ln>
                              <a:effectLst/>
                            </wps:spPr>
                            <wps:bodyPr/>
                          </wps:wsp>
                        </a:graphicData>
                      </a:graphic>
                    </wp:anchor>
                  </w:drawing>
                </mc:Choice>
                <mc:Fallback>
                  <w:pict>
                    <v:shape id="自选图形 53" o:spid="_x0000_s1026" o:spt="32" type="#_x0000_t32" style="position:absolute;left:0pt;margin-left:22.7pt;margin-top:6.35pt;height:0.05pt;width:84.7pt;z-index:251660288;mso-width-relative:page;mso-height-relative:page;" filled="f" stroked="t" coordsize="21600,21600" o:gfxdata="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rcYLWAAAACAEAAA8AAAAAAAAAAQAgAAAAIgAAAGRycy9kb3ducmV2LnhtbFBLAQIU&#10;ABQAAAAIAIdO4kBK1aDm9QEAAMYDAAAOAAAAAAAAAAEAIAAAACUBAABkcnMvZTJvRG9jLnhtbFBL&#10;BQYAAAAABgAGAFkBAACMBQAAAAA=&#10;">
                      <v:fill on="f" focussize="0,0"/>
                      <v:stroke color="#000000" joinstyle="round"/>
                      <v:imagedata o:title=""/>
                      <o:lock v:ext="edit" aspectratio="f"/>
                    </v:shape>
                  </w:pict>
                </mc:Fallback>
              </mc:AlternateContent>
            </w:r>
            <w:r>
              <w:rPr>
                <w:rFonts w:hint="eastAsia" w:ascii="宋体" w:hAnsi="宋体" w:cs="宋体"/>
                <w:color w:val="auto"/>
                <w:szCs w:val="21"/>
                <w:highlight w:val="none"/>
              </w:rPr>
              <w:t>L=                        ×100%</w:t>
            </w:r>
          </w:p>
          <w:p>
            <w:pPr>
              <w:keepNext w:val="0"/>
              <w:keepLines w:val="0"/>
              <w:suppressLineNumbers w:val="0"/>
              <w:spacing w:before="0" w:beforeAutospacing="0" w:after="0" w:afterAutospacing="0"/>
              <w:ind w:left="0" w:right="0" w:firstLine="945" w:firstLineChars="450"/>
              <w:rPr>
                <w:rFonts w:hint="eastAsia" w:ascii="宋体" w:hAnsi="宋体" w:cs="宋体"/>
                <w:bCs/>
                <w:color w:val="auto"/>
                <w:szCs w:val="21"/>
                <w:highlight w:val="none"/>
              </w:rPr>
            </w:pPr>
            <w:r>
              <w:rPr>
                <w:rFonts w:hint="eastAsia" w:ascii="宋体" w:hAnsi="宋体" w:cs="宋体"/>
                <w:color w:val="auto"/>
                <w:szCs w:val="21"/>
                <w:highlight w:val="none"/>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投标报价＝基准价</w:t>
            </w:r>
          </w:p>
        </w:tc>
        <w:tc>
          <w:tcPr>
            <w:tcW w:w="1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100</w:t>
            </w:r>
          </w:p>
        </w:tc>
        <w:tc>
          <w:tcPr>
            <w:tcW w:w="45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投标报价＜基准价</w:t>
            </w:r>
          </w:p>
        </w:tc>
        <w:tc>
          <w:tcPr>
            <w:tcW w:w="1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100-</w:t>
            </w:r>
            <w:r>
              <w:rPr>
                <w:rFonts w:hint="default" w:ascii="宋体" w:hAnsi="宋体" w:cs="宋体"/>
                <w:color w:val="auto"/>
                <w:szCs w:val="21"/>
                <w:highlight w:val="none"/>
              </w:rPr>
              <w:t>0.5</w:t>
            </w:r>
            <w:r>
              <w:rPr>
                <w:rFonts w:hint="eastAsia" w:ascii="宋体" w:hAnsi="宋体" w:cs="宋体"/>
                <w:color w:val="auto"/>
                <w:szCs w:val="21"/>
                <w:highlight w:val="none"/>
              </w:rPr>
              <w:t>×100L</w:t>
            </w:r>
          </w:p>
        </w:tc>
        <w:tc>
          <w:tcPr>
            <w:tcW w:w="45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16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6498"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3</w:t>
            </w: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评标详细程序</w:t>
            </w:r>
          </w:p>
        </w:tc>
        <w:tc>
          <w:tcPr>
            <w:tcW w:w="6498" w:type="dxa"/>
            <w:gridSpan w:val="3"/>
            <w:noWrap w:val="0"/>
            <w:vAlign w:val="center"/>
          </w:tcPr>
          <w:p>
            <w:pPr>
              <w:keepNext w:val="0"/>
              <w:keepLines w:val="0"/>
              <w:suppressLineNumbers w:val="0"/>
              <w:spacing w:before="0" w:beforeAutospacing="0" w:after="0" w:afterAutospacing="0"/>
              <w:ind w:left="0" w:right="0" w:firstLine="210" w:firstLineChars="100"/>
              <w:rPr>
                <w:rFonts w:hint="eastAsia" w:ascii="宋体" w:hAnsi="宋体" w:cs="宋体"/>
                <w:bCs/>
                <w:color w:val="auto"/>
                <w:szCs w:val="21"/>
                <w:highlight w:val="none"/>
              </w:rPr>
            </w:pPr>
            <w:r>
              <w:rPr>
                <w:rFonts w:hint="eastAsia" w:ascii="宋体" w:hAnsi="宋体" w:cs="宋体"/>
                <w:color w:val="auto"/>
                <w:szCs w:val="21"/>
                <w:highlight w:val="none"/>
              </w:rPr>
              <w:t>详见本章附件3-1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3.1.2</w:t>
            </w:r>
          </w:p>
        </w:tc>
        <w:tc>
          <w:tcPr>
            <w:tcW w:w="2266" w:type="dxa"/>
            <w:noWrap w:val="0"/>
            <w:vAlign w:val="center"/>
          </w:tcPr>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 xml:space="preserve">      否决投标情形</w:t>
            </w:r>
          </w:p>
        </w:tc>
        <w:tc>
          <w:tcPr>
            <w:tcW w:w="6498"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详见第二章附件2-2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3.2.2</w:t>
            </w: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判断投标人是否</w:t>
            </w:r>
          </w:p>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低于成本报价</w:t>
            </w:r>
          </w:p>
        </w:tc>
        <w:tc>
          <w:tcPr>
            <w:tcW w:w="6498"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详见第二章附件2-3，投标报价成本评审办法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进入</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评审阶段投标人数量的确定方式</w:t>
            </w:r>
          </w:p>
        </w:tc>
        <w:tc>
          <w:tcPr>
            <w:tcW w:w="6498"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详见投标人须知前附表</w:t>
            </w:r>
          </w:p>
        </w:tc>
      </w:tr>
    </w:tbl>
    <w:p>
      <w:pPr>
        <w:rPr>
          <w:color w:val="auto"/>
          <w:highlight w:val="none"/>
        </w:rPr>
      </w:pPr>
    </w:p>
    <w:p>
      <w:pPr>
        <w:widowControl/>
        <w:jc w:val="center"/>
        <w:rPr>
          <w:rFonts w:eastAsia="黑体"/>
          <w:bCs/>
          <w:color w:val="auto"/>
          <w:sz w:val="30"/>
          <w:highlight w:val="none"/>
        </w:rPr>
      </w:pPr>
    </w:p>
    <w:p>
      <w:pPr>
        <w:widowControl/>
        <w:jc w:val="center"/>
        <w:rPr>
          <w:rFonts w:eastAsia="黑体"/>
          <w:bCs/>
          <w:color w:val="auto"/>
          <w:sz w:val="30"/>
          <w:highlight w:val="none"/>
        </w:rPr>
      </w:pPr>
      <w:r>
        <w:rPr>
          <w:rFonts w:eastAsia="黑体"/>
          <w:bCs/>
          <w:color w:val="auto"/>
          <w:sz w:val="30"/>
          <w:highlight w:val="none"/>
        </w:rPr>
        <w:br w:type="page"/>
      </w:r>
    </w:p>
    <w:p>
      <w:pPr>
        <w:widowControl/>
        <w:jc w:val="center"/>
        <w:rPr>
          <w:rFonts w:eastAsia="黑体"/>
          <w:bCs/>
          <w:color w:val="auto"/>
          <w:sz w:val="30"/>
          <w:highlight w:val="none"/>
        </w:rPr>
      </w:pPr>
      <w:r>
        <w:rPr>
          <w:rFonts w:eastAsia="黑体"/>
          <w:bCs/>
          <w:color w:val="auto"/>
          <w:sz w:val="30"/>
          <w:highlight w:val="none"/>
        </w:rPr>
        <w:t>评标办法（综合评估法）</w:t>
      </w:r>
    </w:p>
    <w:p>
      <w:pPr>
        <w:spacing w:line="360" w:lineRule="auto"/>
        <w:rPr>
          <w:color w:val="auto"/>
          <w:szCs w:val="21"/>
          <w:highlight w:val="none"/>
        </w:rPr>
      </w:pPr>
      <w:r>
        <w:rPr>
          <w:rFonts w:hint="eastAsia"/>
          <w:color w:val="auto"/>
          <w:szCs w:val="21"/>
          <w:highlight w:val="none"/>
        </w:rPr>
        <w:t xml:space="preserve">    </w:t>
      </w:r>
      <w:r>
        <w:rPr>
          <w:color w:val="auto"/>
          <w:szCs w:val="21"/>
          <w:highlight w:val="none"/>
        </w:rPr>
        <w:t>本次评标采用</w:t>
      </w:r>
      <w:r>
        <w:rPr>
          <w:color w:val="auto"/>
          <w:highlight w:val="none"/>
        </w:rPr>
        <w:t>综合评估法。评标委员会对满足招标文件实质要求的投标文件，根据规定的评分标准进行评审计分，</w:t>
      </w:r>
      <w:r>
        <w:rPr>
          <w:color w:val="auto"/>
          <w:szCs w:val="21"/>
          <w:highlight w:val="none"/>
        </w:rPr>
        <w:t>并按评标总得分由高到低的顺序推荐中标候选人。</w:t>
      </w:r>
    </w:p>
    <w:p>
      <w:pPr>
        <w:pStyle w:val="3"/>
        <w:spacing w:before="0" w:after="0" w:line="360" w:lineRule="auto"/>
        <w:rPr>
          <w:rFonts w:ascii="Times New Roman" w:hAnsi="Times New Roman" w:eastAsia="黑体"/>
          <w:b w:val="0"/>
          <w:bCs w:val="0"/>
          <w:color w:val="auto"/>
          <w:sz w:val="30"/>
          <w:highlight w:val="none"/>
        </w:rPr>
      </w:pPr>
      <w:bookmarkStart w:id="200" w:name="_Toc9178532"/>
      <w:bookmarkStart w:id="201" w:name="_Toc80006104"/>
      <w:bookmarkStart w:id="202" w:name="_Toc80006214"/>
      <w:r>
        <w:rPr>
          <w:rFonts w:ascii="Times New Roman" w:hAnsi="Times New Roman" w:eastAsia="黑体"/>
          <w:b w:val="0"/>
          <w:bCs w:val="0"/>
          <w:color w:val="auto"/>
          <w:sz w:val="30"/>
          <w:highlight w:val="none"/>
        </w:rPr>
        <w:t>1.评审标准</w:t>
      </w:r>
      <w:bookmarkEnd w:id="200"/>
      <w:bookmarkEnd w:id="201"/>
      <w:bookmarkEnd w:id="202"/>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1.1 评审标准</w:t>
      </w:r>
    </w:p>
    <w:p>
      <w:pPr>
        <w:spacing w:line="348" w:lineRule="auto"/>
        <w:ind w:firstLine="420" w:firstLineChars="200"/>
        <w:rPr>
          <w:rFonts w:ascii="Times New Roman" w:hAnsi="Times New Roman" w:eastAsia="宋体" w:cs="Times New Roman"/>
          <w:color w:val="auto"/>
          <w:highlight w:val="none"/>
        </w:rPr>
      </w:pPr>
      <w:bookmarkStart w:id="203" w:name="_Toc80006215"/>
      <w:bookmarkStart w:id="204" w:name="_Toc9178533"/>
      <w:bookmarkStart w:id="205" w:name="_Toc80006105"/>
      <w:r>
        <w:rPr>
          <w:rFonts w:ascii="Times New Roman" w:hAnsi="Times New Roman" w:eastAsia="宋体" w:cs="Times New Roman"/>
          <w:color w:val="auto"/>
          <w:highlight w:val="none"/>
        </w:rPr>
        <w:t>1.1</w:t>
      </w:r>
      <w:r>
        <w:rPr>
          <w:rFonts w:hint="eastAsia" w:ascii="Times New Roman" w:hAnsi="Times New Roman" w:eastAsia="宋体" w:cs="Times New Roman"/>
          <w:color w:val="auto"/>
          <w:highlight w:val="none"/>
          <w:lang w:val="en-US" w:eastAsia="zh-CN"/>
        </w:rPr>
        <w:t>.1</w:t>
      </w:r>
      <w:r>
        <w:rPr>
          <w:rFonts w:ascii="Times New Roman" w:hAnsi="Times New Roman" w:eastAsia="宋体" w:cs="Times New Roman"/>
          <w:color w:val="auto"/>
          <w:highlight w:val="none"/>
        </w:rPr>
        <w:t xml:space="preserve"> 形式评审标准：见评标办法前附表。</w:t>
      </w:r>
    </w:p>
    <w:p>
      <w:pPr>
        <w:spacing w:line="348"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ascii="Times New Roman" w:hAnsi="Times New Roman" w:eastAsia="宋体" w:cs="Times New Roman"/>
          <w:color w:val="auto"/>
          <w:highlight w:val="none"/>
        </w:rPr>
        <w:t>.1.2 资格评审标准：见评标办法前附表</w:t>
      </w:r>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已进行资格预审的，见本招标项目资格预审文件第三章“资格审查办法”详细审查标准</w:t>
      </w:r>
      <w:r>
        <w:rPr>
          <w:rFonts w:hint="eastAsia" w:ascii="Times New Roman" w:hAnsi="Times New Roman" w:eastAsia="宋体" w:cs="Times New Roman"/>
          <w:color w:val="auto"/>
          <w:highlight w:val="none"/>
        </w:rPr>
        <w:t>。</w:t>
      </w:r>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1.1.3 响应性评审标准：见评标办法前附表。</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ascii="Times New Roman" w:hAnsi="Times New Roman" w:eastAsia="宋体" w:cs="Times New Roman"/>
          <w:color w:val="auto"/>
          <w:highlight w:val="none"/>
        </w:rPr>
        <w:t>.1</w:t>
      </w:r>
      <w:r>
        <w:rPr>
          <w:rFonts w:hint="eastAsia" w:ascii="Times New Roman" w:hAnsi="Times New Roman" w:eastAsia="宋体" w:cs="Times New Roman"/>
          <w:color w:val="auto"/>
          <w:szCs w:val="21"/>
          <w:highlight w:val="none"/>
          <w:lang w:val="en-US" w:eastAsia="zh-CN"/>
        </w:rPr>
        <w:t>.4施工组织设计</w:t>
      </w:r>
      <w:r>
        <w:rPr>
          <w:rFonts w:hint="eastAsia" w:ascii="Times New Roman" w:hAnsi="Times New Roman" w:eastAsia="宋体" w:cs="Times New Roman"/>
          <w:color w:val="auto"/>
          <w:szCs w:val="21"/>
          <w:highlight w:val="none"/>
        </w:rPr>
        <w:t>评审标准</w:t>
      </w:r>
      <w:r>
        <w:rPr>
          <w:rFonts w:ascii="Times New Roman" w:hAnsi="Times New Roman" w:eastAsia="宋体" w:cs="Times New Roman"/>
          <w:color w:val="auto"/>
          <w:szCs w:val="21"/>
          <w:highlight w:val="none"/>
        </w:rPr>
        <w:t>：见评标办法前附表；</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ascii="Times New Roman" w:hAnsi="Times New Roman" w:eastAsia="宋体" w:cs="Times New Roman"/>
          <w:color w:val="auto"/>
          <w:highlight w:val="none"/>
        </w:rPr>
        <w:t>.1</w:t>
      </w:r>
      <w:r>
        <w:rPr>
          <w:rFonts w:hint="eastAsia" w:ascii="Times New Roman" w:hAnsi="Times New Roman" w:eastAsia="宋体" w:cs="Times New Roman"/>
          <w:color w:val="auto"/>
          <w:szCs w:val="21"/>
          <w:highlight w:val="none"/>
          <w:lang w:val="en-US" w:eastAsia="zh-CN"/>
        </w:rPr>
        <w:t>.5</w:t>
      </w:r>
      <w:r>
        <w:rPr>
          <w:rFonts w:hint="eastAsia" w:ascii="宋体" w:hAnsi="宋体" w:eastAsia="宋体" w:cs="Times New Roman"/>
          <w:color w:val="auto"/>
          <w:szCs w:val="21"/>
          <w:highlight w:val="none"/>
        </w:rPr>
        <w:t>企业资信及履约能力评审标准</w:t>
      </w:r>
      <w:r>
        <w:rPr>
          <w:rFonts w:ascii="Times New Roman" w:hAnsi="Times New Roman" w:eastAsia="宋体" w:cs="Times New Roman"/>
          <w:color w:val="auto"/>
          <w:szCs w:val="21"/>
          <w:highlight w:val="none"/>
        </w:rPr>
        <w:t>：见评标办法前附表；</w:t>
      </w:r>
    </w:p>
    <w:p>
      <w:p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ascii="Times New Roman" w:hAnsi="Times New Roman" w:eastAsia="宋体" w:cs="Times New Roman"/>
          <w:color w:val="auto"/>
          <w:highlight w:val="none"/>
        </w:rPr>
        <w:t>.1</w:t>
      </w:r>
      <w:r>
        <w:rPr>
          <w:rFonts w:hint="eastAsia" w:ascii="Times New Roman" w:hAnsi="Times New Roman" w:eastAsia="宋体" w:cs="Times New Roman"/>
          <w:color w:val="auto"/>
          <w:szCs w:val="21"/>
          <w:highlight w:val="none"/>
          <w:lang w:val="en-US" w:eastAsia="zh-CN"/>
        </w:rPr>
        <w:t>.6</w:t>
      </w:r>
      <w:r>
        <w:rPr>
          <w:rFonts w:ascii="Times New Roman" w:hAnsi="Times New Roman" w:eastAsia="宋体" w:cs="Times New Roman"/>
          <w:color w:val="auto"/>
          <w:szCs w:val="21"/>
          <w:highlight w:val="none"/>
        </w:rPr>
        <w:t>投标报价</w:t>
      </w:r>
      <w:r>
        <w:rPr>
          <w:rFonts w:hint="eastAsia" w:ascii="Times New Roman" w:hAnsi="Times New Roman" w:eastAsia="宋体" w:cs="Times New Roman"/>
          <w:color w:val="auto"/>
          <w:szCs w:val="21"/>
          <w:highlight w:val="none"/>
        </w:rPr>
        <w:t>评审标准</w:t>
      </w:r>
      <w:r>
        <w:rPr>
          <w:rFonts w:ascii="Times New Roman" w:hAnsi="Times New Roman" w:eastAsia="宋体" w:cs="Times New Roman"/>
          <w:color w:val="auto"/>
          <w:szCs w:val="21"/>
          <w:highlight w:val="none"/>
        </w:rPr>
        <w:t>：见评标办法前附表。</w:t>
      </w:r>
    </w:p>
    <w:p>
      <w:pPr>
        <w:pStyle w:val="3"/>
        <w:spacing w:before="0" w:after="0" w:line="360" w:lineRule="auto"/>
        <w:rPr>
          <w:rFonts w:hint="default" w:ascii="Times New Roman" w:hAnsi="Times New Roman" w:eastAsia="黑体"/>
          <w:b w:val="0"/>
          <w:bCs w:val="0"/>
          <w:color w:val="auto"/>
          <w:sz w:val="30"/>
          <w:highlight w:val="none"/>
          <w:lang w:val="en-US" w:eastAsia="zh-CN"/>
        </w:rPr>
      </w:pPr>
      <w:r>
        <w:rPr>
          <w:rFonts w:ascii="Times New Roman" w:hAnsi="Times New Roman" w:eastAsia="黑体"/>
          <w:b w:val="0"/>
          <w:bCs w:val="0"/>
          <w:color w:val="auto"/>
          <w:sz w:val="30"/>
          <w:highlight w:val="none"/>
        </w:rPr>
        <w:t>2.评审程序</w:t>
      </w:r>
      <w:bookmarkEnd w:id="203"/>
      <w:bookmarkEnd w:id="204"/>
      <w:bookmarkEnd w:id="205"/>
      <w:r>
        <w:rPr>
          <w:rFonts w:hint="eastAsia" w:ascii="Times New Roman" w:hAnsi="Times New Roman" w:eastAsia="黑体"/>
          <w:b w:val="0"/>
          <w:bCs w:val="0"/>
          <w:color w:val="auto"/>
          <w:sz w:val="30"/>
          <w:highlight w:val="none"/>
          <w:lang w:val="en-US" w:eastAsia="zh-CN"/>
        </w:rPr>
        <w:t>及澄清</w:t>
      </w:r>
    </w:p>
    <w:p>
      <w:pPr>
        <w:pStyle w:val="5"/>
        <w:rPr>
          <w:rFonts w:ascii="Times New Roman" w:hAnsi="Times New Roman" w:eastAsia="黑体" w:cs="Times New Roman"/>
          <w:b w:val="0"/>
          <w:bCs w:val="0"/>
          <w:color w:val="auto"/>
          <w:sz w:val="24"/>
          <w:highlight w:val="none"/>
        </w:rPr>
      </w:pPr>
      <w:r>
        <w:rPr>
          <w:rFonts w:ascii="Times New Roman" w:hAnsi="Times New Roman" w:eastAsia="黑体"/>
          <w:b w:val="0"/>
          <w:bCs w:val="0"/>
          <w:color w:val="auto"/>
          <w:sz w:val="24"/>
          <w:highlight w:val="none"/>
        </w:rPr>
        <w:t xml:space="preserve">2.1 </w:t>
      </w:r>
      <w:r>
        <w:rPr>
          <w:rFonts w:ascii="Times New Roman" w:hAnsi="Times New Roman" w:eastAsia="黑体" w:cs="Times New Roman"/>
          <w:b w:val="0"/>
          <w:bCs w:val="0"/>
          <w:color w:val="auto"/>
          <w:sz w:val="24"/>
          <w:highlight w:val="none"/>
          <w:lang w:val="en-US"/>
        </w:rPr>
        <w:t>评审</w:t>
      </w:r>
      <w:r>
        <w:rPr>
          <w:rFonts w:hint="eastAsia" w:ascii="Times New Roman" w:hAnsi="Times New Roman" w:eastAsia="黑体" w:cs="Times New Roman"/>
          <w:b w:val="0"/>
          <w:bCs w:val="0"/>
          <w:color w:val="auto"/>
          <w:sz w:val="24"/>
          <w:highlight w:val="none"/>
          <w:lang w:val="en-US" w:eastAsia="zh-CN"/>
        </w:rPr>
        <w:t>程序</w:t>
      </w:r>
    </w:p>
    <w:p>
      <w:pPr>
        <w:shd w:val="clear" w:color="auto" w:fill="FFFFFF"/>
        <w:ind w:firstLine="420" w:firstLineChars="200"/>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1．</w:t>
      </w:r>
      <w:r>
        <w:rPr>
          <w:rFonts w:hint="eastAsia" w:ascii="Times New Roman" w:hAnsi="Times New Roman" w:eastAsia="宋体" w:cs="Times New Roman"/>
          <w:color w:val="auto"/>
          <w:kern w:val="0"/>
          <w:szCs w:val="32"/>
          <w:highlight w:val="none"/>
          <w:lang w:val="en-US" w:eastAsia="zh-CN"/>
        </w:rPr>
        <w:t>施工组织设计</w:t>
      </w:r>
      <w:r>
        <w:rPr>
          <w:rFonts w:ascii="Times New Roman" w:hAnsi="Times New Roman" w:eastAsia="宋体" w:cs="Times New Roman"/>
          <w:color w:val="auto"/>
          <w:kern w:val="0"/>
          <w:szCs w:val="32"/>
          <w:highlight w:val="none"/>
        </w:rPr>
        <w:t>评审。</w:t>
      </w:r>
    </w:p>
    <w:p>
      <w:pPr>
        <w:shd w:val="clear" w:color="auto" w:fill="FFFFFF"/>
        <w:ind w:firstLine="420" w:firstLineChars="200"/>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2．</w:t>
      </w:r>
      <w:r>
        <w:rPr>
          <w:rFonts w:hint="eastAsia" w:ascii="Times New Roman" w:hAnsi="Times New Roman" w:eastAsia="宋体" w:cs="Times New Roman"/>
          <w:color w:val="auto"/>
          <w:kern w:val="0"/>
          <w:szCs w:val="32"/>
          <w:highlight w:val="none"/>
          <w:lang w:val="en-US" w:eastAsia="zh-CN"/>
        </w:rPr>
        <w:t>形式、资格、响应性评审</w:t>
      </w:r>
      <w:r>
        <w:rPr>
          <w:rFonts w:ascii="Times New Roman" w:hAnsi="Times New Roman" w:eastAsia="宋体" w:cs="Times New Roman"/>
          <w:color w:val="auto"/>
          <w:kern w:val="0"/>
          <w:szCs w:val="32"/>
          <w:highlight w:val="none"/>
        </w:rPr>
        <w:t>。</w:t>
      </w:r>
    </w:p>
    <w:p>
      <w:pPr>
        <w:shd w:val="clear" w:color="auto" w:fill="FFFFFF"/>
        <w:ind w:firstLine="420" w:firstLineChars="200"/>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3.</w:t>
      </w:r>
      <w:r>
        <w:rPr>
          <w:rFonts w:hint="eastAsia" w:ascii="Times New Roman" w:hAnsi="Times New Roman" w:eastAsia="宋体" w:cs="Times New Roman"/>
          <w:color w:val="auto"/>
          <w:kern w:val="0"/>
          <w:szCs w:val="32"/>
          <w:highlight w:val="none"/>
          <w:lang w:val="en-US" w:eastAsia="zh-CN"/>
        </w:rPr>
        <w:t xml:space="preserve"> </w:t>
      </w:r>
      <w:r>
        <w:rPr>
          <w:rFonts w:ascii="Times New Roman" w:hAnsi="Times New Roman" w:eastAsia="宋体" w:cs="Times New Roman"/>
          <w:color w:val="auto"/>
          <w:kern w:val="0"/>
          <w:szCs w:val="32"/>
          <w:highlight w:val="none"/>
        </w:rPr>
        <w:t>企业资信及履约能力评审。</w:t>
      </w:r>
    </w:p>
    <w:p>
      <w:pPr>
        <w:shd w:val="clear" w:color="auto" w:fill="FFFFFF"/>
        <w:ind w:firstLine="420" w:firstLineChars="200"/>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4</w:t>
      </w:r>
      <w:r>
        <w:rPr>
          <w:rFonts w:hint="eastAsia" w:ascii="Times New Roman" w:hAnsi="Times New Roman" w:eastAsia="宋体" w:cs="Times New Roman"/>
          <w:color w:val="auto"/>
          <w:kern w:val="0"/>
          <w:szCs w:val="32"/>
          <w:highlight w:val="none"/>
        </w:rPr>
        <w:t>．确定</w:t>
      </w:r>
      <w:r>
        <w:rPr>
          <w:rFonts w:hint="eastAsia" w:ascii="Times New Roman" w:hAnsi="Times New Roman" w:eastAsia="宋体" w:cs="Times New Roman"/>
          <w:color w:val="auto"/>
          <w:kern w:val="0"/>
          <w:szCs w:val="32"/>
          <w:highlight w:val="none"/>
          <w:lang w:val="en-US" w:eastAsia="zh-CN"/>
        </w:rPr>
        <w:t>进入报价评审的</w:t>
      </w:r>
      <w:r>
        <w:rPr>
          <w:rFonts w:ascii="Times New Roman" w:hAnsi="Times New Roman" w:eastAsia="宋体" w:cs="Times New Roman"/>
          <w:color w:val="auto"/>
          <w:kern w:val="0"/>
          <w:szCs w:val="32"/>
          <w:highlight w:val="none"/>
        </w:rPr>
        <w:t>投标人。</w:t>
      </w:r>
    </w:p>
    <w:p>
      <w:pPr>
        <w:shd w:val="clear" w:color="auto" w:fill="FFFFFF"/>
        <w:ind w:firstLine="420" w:firstLineChars="200"/>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5</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报价评审。</w:t>
      </w:r>
    </w:p>
    <w:p>
      <w:pPr>
        <w:shd w:val="clear" w:color="auto" w:fill="FFFFFF"/>
        <w:ind w:firstLine="420" w:firstLineChars="200"/>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6</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汇总评分结果。</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2.2 投标文件的澄清和补正</w:t>
      </w:r>
    </w:p>
    <w:p>
      <w:pPr>
        <w:spacing w:line="348" w:lineRule="auto"/>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lang w:val="en-US" w:eastAsia="zh-CN"/>
        </w:rPr>
        <w:t>2</w:t>
      </w:r>
      <w:r>
        <w:rPr>
          <w:color w:val="auto"/>
          <w:highlight w:val="none"/>
        </w:rPr>
        <w:t>.1在评标过程中，评标委员会可以书面形式要求投标人对所提交的投标文件中不明确的内容进行澄清或说明，或者对细微偏差进行补正。评标委员会不接受投标人主动提出的澄清、说明或补正。</w:t>
      </w:r>
    </w:p>
    <w:p>
      <w:pPr>
        <w:spacing w:line="348" w:lineRule="auto"/>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lang w:val="en-US" w:eastAsia="zh-CN"/>
        </w:rPr>
        <w:t>2</w:t>
      </w:r>
      <w:r>
        <w:rPr>
          <w:color w:val="auto"/>
          <w:highlight w:val="none"/>
        </w:rPr>
        <w:t>.2 澄清、说明和补正不得改变投标文件的实质性内容（算术性错误修正的除外）。投标人的澄清、说明和补正属于投标文件的组成部分。</w:t>
      </w:r>
    </w:p>
    <w:p>
      <w:pPr>
        <w:spacing w:line="348" w:lineRule="auto"/>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lang w:val="en-US" w:eastAsia="zh-CN"/>
        </w:rPr>
        <w:t>2</w:t>
      </w:r>
      <w:r>
        <w:rPr>
          <w:color w:val="auto"/>
          <w:highlight w:val="none"/>
        </w:rPr>
        <w:t>.3 评标委员会对投标人提交的澄清、说明或补正有疑问的，可以要求投标人进一步澄清、说明或补正，直至满足评标委员会的要求。</w:t>
      </w:r>
    </w:p>
    <w:p>
      <w:pPr>
        <w:spacing w:line="348" w:lineRule="auto"/>
        <w:ind w:firstLine="420" w:firstLineChars="200"/>
        <w:rPr>
          <w:color w:val="auto"/>
          <w:highlight w:val="none"/>
        </w:rPr>
      </w:pPr>
      <w:r>
        <w:rPr>
          <w:rFonts w:hint="eastAsia" w:ascii="Times New Roman" w:hAnsi="Times New Roman" w:eastAsia="宋体" w:cs="Times New Roman"/>
          <w:bCs/>
          <w:color w:val="auto"/>
          <w:szCs w:val="21"/>
          <w:highlight w:val="none"/>
          <w:lang w:val="en-US" w:eastAsia="zh-CN"/>
        </w:rPr>
        <w:t xml:space="preserve">2.2.4 </w:t>
      </w:r>
      <w:r>
        <w:rPr>
          <w:rFonts w:hint="eastAsia" w:ascii="Times New Roman" w:hAnsi="Times New Roman" w:eastAsia="宋体" w:cs="Times New Roman"/>
          <w:bCs/>
          <w:color w:val="auto"/>
          <w:szCs w:val="21"/>
          <w:highlight w:val="none"/>
        </w:rPr>
        <w:t>评审过程中，评标委员会</w:t>
      </w:r>
      <w:r>
        <w:rPr>
          <w:rFonts w:hint="eastAsia" w:ascii="Times New Roman" w:hAnsi="Times New Roman" w:eastAsia="宋体" w:cs="Times New Roman"/>
          <w:bCs/>
          <w:color w:val="auto"/>
          <w:szCs w:val="21"/>
          <w:highlight w:val="none"/>
          <w:lang w:val="en-US" w:eastAsia="zh-CN"/>
        </w:rPr>
        <w:t>拟作出否决投标决定的</w:t>
      </w:r>
      <w:r>
        <w:rPr>
          <w:rFonts w:hint="eastAsia" w:ascii="Times New Roman" w:hAnsi="Times New Roman" w:eastAsia="宋体" w:cs="Times New Roman"/>
          <w:bCs/>
          <w:color w:val="auto"/>
          <w:szCs w:val="21"/>
          <w:highlight w:val="none"/>
        </w:rPr>
        <w:t>，应</w:t>
      </w:r>
      <w:r>
        <w:rPr>
          <w:rFonts w:hint="eastAsia" w:ascii="Times New Roman" w:hAnsi="Times New Roman" w:eastAsia="宋体" w:cs="Times New Roman"/>
          <w:bCs/>
          <w:color w:val="auto"/>
          <w:szCs w:val="21"/>
          <w:highlight w:val="none"/>
          <w:lang w:val="en-US" w:eastAsia="zh-CN"/>
        </w:rPr>
        <w:t>要求投标人进行书面澄清、说明或补正（</w:t>
      </w:r>
      <w:r>
        <w:rPr>
          <w:rFonts w:hint="eastAsia"/>
          <w:bCs/>
          <w:color w:val="auto"/>
          <w:szCs w:val="21"/>
          <w:highlight w:val="none"/>
          <w:lang w:val="en-US" w:eastAsia="zh-CN"/>
        </w:rPr>
        <w:t>施工组织设计采用暗标的除外</w:t>
      </w:r>
      <w:r>
        <w:rPr>
          <w:rFonts w:hint="eastAsia" w:ascii="Times New Roman" w:hAnsi="Times New Roman" w:eastAsia="宋体" w:cs="Times New Roman"/>
          <w:bCs/>
          <w:color w:val="auto"/>
          <w:szCs w:val="21"/>
          <w:highlight w:val="none"/>
          <w:lang w:val="en-US" w:eastAsia="zh-CN"/>
        </w:rPr>
        <w:t>），未进行该程序的，不得作出否决投标决定，投标人未按要求进行回复的除外。</w:t>
      </w:r>
    </w:p>
    <w:p>
      <w:pPr>
        <w:pStyle w:val="3"/>
        <w:spacing w:before="0" w:after="0" w:line="360" w:lineRule="auto"/>
        <w:rPr>
          <w:rFonts w:ascii="Times New Roman" w:hAnsi="Times New Roman" w:eastAsia="黑体"/>
          <w:b w:val="0"/>
          <w:bCs w:val="0"/>
          <w:color w:val="auto"/>
          <w:sz w:val="30"/>
          <w:highlight w:val="none"/>
        </w:rPr>
      </w:pPr>
      <w:bookmarkStart w:id="206" w:name="_Toc80006106"/>
      <w:bookmarkStart w:id="207" w:name="_Toc80006216"/>
      <w:r>
        <w:rPr>
          <w:rFonts w:ascii="Times New Roman" w:hAnsi="Times New Roman" w:eastAsia="黑体"/>
          <w:b w:val="0"/>
          <w:bCs w:val="0"/>
          <w:color w:val="auto"/>
          <w:sz w:val="30"/>
          <w:highlight w:val="none"/>
        </w:rPr>
        <w:t>3</w:t>
      </w:r>
      <w:r>
        <w:rPr>
          <w:rFonts w:hint="eastAsia" w:ascii="Times New Roman" w:hAnsi="Times New Roman" w:eastAsia="黑体"/>
          <w:b w:val="0"/>
          <w:bCs w:val="0"/>
          <w:color w:val="auto"/>
          <w:sz w:val="30"/>
          <w:highlight w:val="none"/>
        </w:rPr>
        <w:t>.</w:t>
      </w:r>
      <w:r>
        <w:rPr>
          <w:rFonts w:ascii="Times New Roman" w:hAnsi="Times New Roman" w:eastAsia="黑体"/>
          <w:b w:val="0"/>
          <w:bCs w:val="0"/>
          <w:color w:val="auto"/>
          <w:sz w:val="30"/>
          <w:highlight w:val="none"/>
        </w:rPr>
        <w:t>评标结果</w:t>
      </w:r>
      <w:bookmarkEnd w:id="206"/>
      <w:bookmarkEnd w:id="207"/>
    </w:p>
    <w:p>
      <w:pPr>
        <w:spacing w:line="360" w:lineRule="auto"/>
        <w:ind w:firstLine="420" w:firstLineChars="200"/>
        <w:rPr>
          <w:color w:val="auto"/>
          <w:szCs w:val="21"/>
          <w:highlight w:val="none"/>
        </w:rPr>
      </w:pPr>
      <w:r>
        <w:rPr>
          <w:color w:val="auto"/>
          <w:szCs w:val="21"/>
          <w:highlight w:val="none"/>
        </w:rPr>
        <w:t>3.1 评标委员会按照评标总得分由高到低的顺序推荐中标候选人。投标人评标总得分相同时，按照其投标报价由低至高排序</w:t>
      </w:r>
      <w:r>
        <w:rPr>
          <w:rFonts w:hint="eastAsia"/>
          <w:color w:val="auto"/>
          <w:szCs w:val="21"/>
          <w:highlight w:val="none"/>
        </w:rPr>
        <w:t>。投标报价也相同时，依次按企业资信及履约能力、</w:t>
      </w:r>
      <w:r>
        <w:rPr>
          <w:rFonts w:hint="eastAsia"/>
          <w:color w:val="auto"/>
          <w:szCs w:val="21"/>
          <w:highlight w:val="none"/>
          <w:lang w:val="en-US" w:eastAsia="zh-CN"/>
        </w:rPr>
        <w:t>施工组织设计</w:t>
      </w:r>
      <w:r>
        <w:rPr>
          <w:rFonts w:hint="eastAsia"/>
          <w:color w:val="auto"/>
          <w:szCs w:val="21"/>
          <w:highlight w:val="none"/>
        </w:rPr>
        <w:t>评审得分由高到低确定排序。以上都相同时，由评标委员会投票确定排序。</w:t>
      </w:r>
    </w:p>
    <w:p>
      <w:pPr>
        <w:spacing w:line="348" w:lineRule="auto"/>
        <w:ind w:firstLine="420" w:firstLineChars="200"/>
        <w:rPr>
          <w:color w:val="auto"/>
          <w:highlight w:val="none"/>
        </w:rPr>
      </w:pPr>
      <w:r>
        <w:rPr>
          <w:color w:val="auto"/>
          <w:highlight w:val="none"/>
        </w:rPr>
        <w:t>3.2 评标委员会完成评标后，向招标人提交书面评标报告。</w:t>
      </w:r>
    </w:p>
    <w:p>
      <w:pPr>
        <w:spacing w:line="348" w:lineRule="auto"/>
        <w:ind w:firstLine="420" w:firstLineChars="200"/>
        <w:rPr>
          <w:color w:val="auto"/>
          <w:highlight w:val="none"/>
        </w:rPr>
      </w:pPr>
    </w:p>
    <w:p>
      <w:pPr>
        <w:spacing w:line="348" w:lineRule="auto"/>
        <w:ind w:firstLine="420" w:firstLineChars="200"/>
        <w:rPr>
          <w:rFonts w:hint="eastAsia"/>
          <w:color w:val="auto"/>
          <w:highlight w:val="none"/>
        </w:rPr>
      </w:pPr>
    </w:p>
    <w:p>
      <w:pPr>
        <w:spacing w:line="348" w:lineRule="auto"/>
        <w:rPr>
          <w:bCs/>
          <w:color w:val="auto"/>
          <w:szCs w:val="21"/>
          <w:highlight w:val="none"/>
        </w:rPr>
      </w:pPr>
    </w:p>
    <w:p>
      <w:pPr>
        <w:widowControl/>
        <w:jc w:val="left"/>
        <w:rPr>
          <w:bCs/>
          <w:color w:val="auto"/>
          <w:szCs w:val="21"/>
          <w:highlight w:val="none"/>
        </w:rPr>
      </w:pPr>
      <w:r>
        <w:rPr>
          <w:bCs/>
          <w:color w:val="auto"/>
          <w:szCs w:val="21"/>
          <w:highlight w:val="none"/>
        </w:rPr>
        <w:br w:type="page"/>
      </w:r>
    </w:p>
    <w:p>
      <w:pPr>
        <w:spacing w:line="348" w:lineRule="auto"/>
        <w:rPr>
          <w:color w:val="auto"/>
          <w:highlight w:val="none"/>
        </w:rPr>
      </w:pPr>
      <w:bookmarkStart w:id="208" w:name="_Toc300678103"/>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pPr>
        <w:spacing w:after="157"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pPr>
        <w:spacing w:line="360" w:lineRule="auto"/>
        <w:rPr>
          <w:rFonts w:eastAsia="黑体"/>
          <w:color w:val="auto"/>
          <w:sz w:val="24"/>
          <w:highlight w:val="none"/>
        </w:rPr>
      </w:pPr>
    </w:p>
    <w:p>
      <w:pPr>
        <w:spacing w:line="360" w:lineRule="auto"/>
        <w:ind w:firstLine="420" w:firstLineChars="200"/>
        <w:rPr>
          <w:color w:val="auto"/>
          <w:highlight w:val="none"/>
        </w:rPr>
      </w:pPr>
      <w:r>
        <w:rPr>
          <w:color w:val="auto"/>
          <w:highlight w:val="none"/>
        </w:rPr>
        <w:t>本附件是评标办法的组成部分，是对本评标办法规定的评审程序的进一步细化，评标委员会应当按照本附件规定开展评标工作。</w:t>
      </w:r>
    </w:p>
    <w:p>
      <w:pPr>
        <w:spacing w:line="360" w:lineRule="auto"/>
        <w:ind w:firstLine="240" w:firstLineChars="100"/>
        <w:rPr>
          <w:rFonts w:eastAsia="黑体"/>
          <w:color w:val="auto"/>
          <w:sz w:val="24"/>
          <w:highlight w:val="none"/>
        </w:rPr>
      </w:pPr>
      <w:r>
        <w:rPr>
          <w:rFonts w:eastAsia="黑体"/>
          <w:color w:val="auto"/>
          <w:sz w:val="24"/>
          <w:highlight w:val="none"/>
        </w:rPr>
        <w:t>1.基本程序</w:t>
      </w:r>
    </w:p>
    <w:p>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评标活动将按以下</w:t>
      </w:r>
      <w:r>
        <w:rPr>
          <w:rFonts w:hint="eastAsia" w:ascii="Times New Roman" w:hAnsi="Times New Roman" w:eastAsia="宋体" w:cs="Times New Roman"/>
          <w:color w:val="auto"/>
          <w:highlight w:val="none"/>
          <w:lang w:val="en-US" w:eastAsia="zh-CN"/>
        </w:rPr>
        <w:t>六</w:t>
      </w:r>
      <w:r>
        <w:rPr>
          <w:rFonts w:ascii="Times New Roman" w:hAnsi="Times New Roman" w:eastAsia="宋体" w:cs="Times New Roman"/>
          <w:color w:val="auto"/>
          <w:highlight w:val="none"/>
        </w:rPr>
        <w:t>个步骤进行：</w:t>
      </w:r>
    </w:p>
    <w:p>
      <w:pPr>
        <w:numPr>
          <w:ilvl w:val="0"/>
          <w:numId w:val="0"/>
        </w:num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评标准备；</w:t>
      </w:r>
    </w:p>
    <w:p>
      <w:pPr>
        <w:numPr>
          <w:ilvl w:val="0"/>
          <w:numId w:val="0"/>
        </w:num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（2）施工组织设计评审；</w:t>
      </w:r>
    </w:p>
    <w:p>
      <w:pPr>
        <w:spacing w:line="360" w:lineRule="auto"/>
        <w:ind w:firstLine="420" w:firstLineChars="200"/>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3</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形式、资格、响应性</w:t>
      </w:r>
      <w:r>
        <w:rPr>
          <w:rFonts w:ascii="Times New Roman" w:hAnsi="Times New Roman" w:eastAsia="宋体" w:cs="Times New Roman"/>
          <w:color w:val="auto"/>
          <w:highlight w:val="none"/>
        </w:rPr>
        <w:t>评审</w:t>
      </w:r>
      <w:r>
        <w:rPr>
          <w:rFonts w:hint="eastAsia" w:ascii="Times New Roman" w:hAnsi="Times New Roman" w:eastAsia="宋体" w:cs="Times New Roman"/>
          <w:color w:val="auto"/>
          <w:highlight w:val="none"/>
          <w:lang w:eastAsia="zh-CN"/>
        </w:rPr>
        <w:t>；</w:t>
      </w:r>
    </w:p>
    <w:p>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4）企业资信及履约能力评审；</w:t>
      </w: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（5）投标报价</w:t>
      </w:r>
      <w:r>
        <w:rPr>
          <w:rFonts w:ascii="Times New Roman" w:hAnsi="Times New Roman" w:eastAsia="宋体" w:cs="Times New Roman"/>
          <w:color w:val="auto"/>
          <w:highlight w:val="none"/>
        </w:rPr>
        <w:t>评审</w:t>
      </w:r>
      <w:r>
        <w:rPr>
          <w:rFonts w:hint="eastAsia" w:ascii="Times New Roman" w:hAnsi="Times New Roman" w:eastAsia="宋体" w:cs="Times New Roman"/>
          <w:color w:val="auto"/>
          <w:highlight w:val="none"/>
          <w:lang w:val="en-US" w:eastAsia="zh-CN"/>
        </w:rPr>
        <w:t>；</w:t>
      </w:r>
    </w:p>
    <w:p>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6</w:t>
      </w:r>
      <w:r>
        <w:rPr>
          <w:rFonts w:ascii="Times New Roman" w:hAnsi="Times New Roman" w:eastAsia="宋体" w:cs="Times New Roman"/>
          <w:color w:val="auto"/>
          <w:highlight w:val="none"/>
        </w:rPr>
        <w:t>）推荐中标候选人及提交评标报告。</w:t>
      </w:r>
    </w:p>
    <w:p>
      <w:pPr>
        <w:spacing w:line="360" w:lineRule="auto"/>
        <w:ind w:firstLine="240" w:firstLineChars="100"/>
        <w:rPr>
          <w:rFonts w:eastAsia="黑体"/>
          <w:color w:val="auto"/>
          <w:sz w:val="24"/>
          <w:highlight w:val="none"/>
        </w:rPr>
      </w:pPr>
      <w:r>
        <w:rPr>
          <w:rFonts w:eastAsia="黑体"/>
          <w:color w:val="auto"/>
          <w:sz w:val="24"/>
          <w:highlight w:val="none"/>
        </w:rPr>
        <w:t>2.评标准备</w:t>
      </w:r>
    </w:p>
    <w:p>
      <w:pPr>
        <w:spacing w:line="360" w:lineRule="auto"/>
        <w:ind w:firstLine="420" w:firstLineChars="200"/>
        <w:rPr>
          <w:color w:val="auto"/>
          <w:szCs w:val="21"/>
          <w:highlight w:val="none"/>
        </w:rPr>
      </w:pPr>
      <w:r>
        <w:rPr>
          <w:color w:val="auto"/>
          <w:szCs w:val="21"/>
          <w:highlight w:val="none"/>
        </w:rPr>
        <w:t>2.1 评标委员会成员签到</w:t>
      </w:r>
    </w:p>
    <w:p>
      <w:pPr>
        <w:spacing w:line="360" w:lineRule="auto"/>
        <w:ind w:firstLine="420" w:firstLineChars="200"/>
        <w:rPr>
          <w:color w:val="auto"/>
          <w:highlight w:val="none"/>
        </w:rPr>
      </w:pPr>
      <w:r>
        <w:rPr>
          <w:color w:val="auto"/>
          <w:highlight w:val="none"/>
        </w:rPr>
        <w:t>评标委员会成员到达评标现场时应在签到表上签到以证明其出席。</w:t>
      </w:r>
    </w:p>
    <w:p>
      <w:pPr>
        <w:spacing w:line="360" w:lineRule="auto"/>
        <w:ind w:firstLine="420" w:firstLineChars="200"/>
        <w:rPr>
          <w:color w:val="auto"/>
          <w:szCs w:val="21"/>
          <w:highlight w:val="none"/>
        </w:rPr>
      </w:pPr>
      <w:r>
        <w:rPr>
          <w:color w:val="auto"/>
          <w:szCs w:val="21"/>
          <w:highlight w:val="none"/>
        </w:rPr>
        <w:t>2.2 评标委员会的分工</w:t>
      </w:r>
    </w:p>
    <w:p>
      <w:pPr>
        <w:spacing w:line="360" w:lineRule="auto"/>
        <w:ind w:firstLine="420" w:firstLineChars="200"/>
        <w:rPr>
          <w:color w:val="auto"/>
          <w:highlight w:val="none"/>
        </w:rPr>
      </w:pPr>
      <w:r>
        <w:rPr>
          <w:color w:val="auto"/>
          <w:highlight w:val="none"/>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pPr>
        <w:spacing w:line="360" w:lineRule="auto"/>
        <w:ind w:firstLine="420" w:firstLineChars="200"/>
        <w:rPr>
          <w:color w:val="auto"/>
          <w:szCs w:val="21"/>
          <w:highlight w:val="none"/>
        </w:rPr>
      </w:pPr>
      <w:r>
        <w:rPr>
          <w:color w:val="auto"/>
          <w:szCs w:val="21"/>
          <w:highlight w:val="none"/>
        </w:rPr>
        <w:t>2.3 熟悉文件资料</w:t>
      </w:r>
    </w:p>
    <w:p>
      <w:pPr>
        <w:spacing w:line="360" w:lineRule="auto"/>
        <w:ind w:firstLine="420" w:firstLineChars="200"/>
        <w:rPr>
          <w:color w:val="auto"/>
          <w:highlight w:val="none"/>
        </w:rPr>
      </w:pPr>
      <w:r>
        <w:rPr>
          <w:color w:val="auto"/>
          <w:highlight w:val="none"/>
        </w:rPr>
        <w:t>2.3.1 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pPr>
        <w:spacing w:line="360" w:lineRule="auto"/>
        <w:ind w:firstLine="420" w:firstLineChars="200"/>
        <w:rPr>
          <w:color w:val="auto"/>
          <w:highlight w:val="none"/>
        </w:rPr>
      </w:pPr>
      <w:r>
        <w:rPr>
          <w:color w:val="auto"/>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color w:val="auto"/>
          <w:szCs w:val="21"/>
          <w:highlight w:val="none"/>
        </w:rPr>
      </w:pPr>
      <w:r>
        <w:rPr>
          <w:color w:val="auto"/>
          <w:szCs w:val="21"/>
          <w:highlight w:val="none"/>
        </w:rPr>
        <w:t xml:space="preserve">2.4 </w:t>
      </w:r>
      <w:r>
        <w:rPr>
          <w:rFonts w:hint="eastAsia"/>
          <w:color w:val="auto"/>
          <w:szCs w:val="21"/>
          <w:highlight w:val="none"/>
        </w:rPr>
        <w:t>施工组织设计（</w:t>
      </w:r>
      <w:r>
        <w:rPr>
          <w:color w:val="auto"/>
          <w:szCs w:val="21"/>
          <w:highlight w:val="none"/>
        </w:rPr>
        <w:t>暗标</w:t>
      </w:r>
      <w:r>
        <w:rPr>
          <w:rFonts w:hint="eastAsia"/>
          <w:color w:val="auto"/>
          <w:szCs w:val="21"/>
          <w:highlight w:val="none"/>
        </w:rPr>
        <w:t>）</w:t>
      </w:r>
      <w:r>
        <w:rPr>
          <w:color w:val="auto"/>
          <w:szCs w:val="21"/>
          <w:highlight w:val="none"/>
        </w:rPr>
        <w:t>编号</w:t>
      </w:r>
    </w:p>
    <w:p>
      <w:pPr>
        <w:adjustRightInd w:val="0"/>
        <w:snapToGrid w:val="0"/>
        <w:spacing w:line="360" w:lineRule="auto"/>
        <w:ind w:firstLine="420" w:firstLineChars="200"/>
        <w:rPr>
          <w:color w:val="auto"/>
          <w:szCs w:val="21"/>
          <w:highlight w:val="none"/>
        </w:rPr>
      </w:pPr>
      <w:r>
        <w:rPr>
          <w:rFonts w:hint="eastAsia"/>
          <w:color w:val="auto"/>
          <w:szCs w:val="21"/>
          <w:highlight w:val="none"/>
        </w:rPr>
        <w:t>第二章投标人须知前附表要求对施工组织设计采用“暗标”评审方式的，按照随机方式对投标人的施工组织设计进行编号。</w:t>
      </w:r>
    </w:p>
    <w:p>
      <w:pPr>
        <w:spacing w:line="360" w:lineRule="auto"/>
        <w:ind w:firstLine="420" w:firstLineChars="200"/>
        <w:rPr>
          <w:color w:val="auto"/>
          <w:szCs w:val="21"/>
          <w:highlight w:val="none"/>
        </w:rPr>
      </w:pPr>
      <w:r>
        <w:rPr>
          <w:color w:val="auto"/>
          <w:szCs w:val="21"/>
          <w:highlight w:val="none"/>
        </w:rPr>
        <w:t>2.5 对投标文件进行基础性数据分析和整理工作（以下简称：清标）</w:t>
      </w:r>
    </w:p>
    <w:p>
      <w:pPr>
        <w:spacing w:line="360" w:lineRule="auto"/>
        <w:ind w:firstLine="420" w:firstLineChars="200"/>
        <w:rPr>
          <w:color w:val="auto"/>
          <w:highlight w:val="none"/>
        </w:rPr>
      </w:pPr>
      <w:r>
        <w:rPr>
          <w:color w:val="auto"/>
          <w:highlight w:val="none"/>
        </w:rPr>
        <w:t>2.5.1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澄清、说明或补正的问题，形成质疑问卷，向投标人发出问题澄清通知或者质疑问卷。</w:t>
      </w:r>
    </w:p>
    <w:p>
      <w:pPr>
        <w:spacing w:line="360" w:lineRule="auto"/>
        <w:ind w:firstLine="420" w:firstLineChars="200"/>
        <w:rPr>
          <w:color w:val="auto"/>
          <w:highlight w:val="none"/>
        </w:rPr>
      </w:pPr>
      <w:r>
        <w:rPr>
          <w:color w:val="auto"/>
          <w:highlight w:val="none"/>
        </w:rPr>
        <w:t>2.5.2 投标人应当按照评标委员会的要求，</w:t>
      </w:r>
      <w:r>
        <w:rPr>
          <w:rFonts w:hint="eastAsia"/>
          <w:color w:val="auto"/>
          <w:highlight w:val="none"/>
        </w:rPr>
        <w:t>在规定的时间内通过电子交易平台提供加盖公章或法定代表人（或其委托代理人）</w:t>
      </w:r>
      <w:r>
        <w:rPr>
          <w:rFonts w:hint="eastAsia"/>
          <w:color w:val="auto"/>
          <w:highlight w:val="none"/>
          <w:lang w:eastAsia="zh-CN"/>
        </w:rPr>
        <w:t>签字或盖章</w:t>
      </w:r>
      <w:r>
        <w:rPr>
          <w:rFonts w:hint="eastAsia"/>
          <w:color w:val="auto"/>
          <w:highlight w:val="none"/>
        </w:rPr>
        <w:t>的澄清、说明或者补正资料。</w:t>
      </w:r>
    </w:p>
    <w:p>
      <w:pPr>
        <w:spacing w:line="360" w:lineRule="auto"/>
        <w:ind w:firstLine="0" w:firstLineChars="0"/>
        <w:rPr>
          <w:rFonts w:ascii="Times New Roman" w:hAnsi="Times New Roman" w:eastAsia="黑体" w:cs="Times New Roman"/>
          <w:color w:val="auto"/>
          <w:sz w:val="24"/>
          <w:szCs w:val="24"/>
          <w:highlight w:val="none"/>
        </w:rPr>
      </w:pPr>
      <w:r>
        <w:rPr>
          <w:rFonts w:eastAsia="黑体"/>
          <w:color w:val="auto"/>
          <w:sz w:val="24"/>
          <w:highlight w:val="none"/>
        </w:rPr>
        <w:t>3.</w:t>
      </w:r>
      <w:r>
        <w:rPr>
          <w:rFonts w:hint="eastAsia" w:ascii="Times New Roman" w:hAnsi="Times New Roman" w:eastAsia="黑体" w:cs="Times New Roman"/>
          <w:color w:val="auto"/>
          <w:sz w:val="24"/>
          <w:szCs w:val="24"/>
          <w:highlight w:val="none"/>
          <w:lang w:val="en-US" w:eastAsia="zh-CN"/>
        </w:rPr>
        <w:t>施工组织设计</w:t>
      </w:r>
      <w:r>
        <w:rPr>
          <w:rFonts w:ascii="Times New Roman" w:hAnsi="Times New Roman" w:eastAsia="黑体" w:cs="Times New Roman"/>
          <w:color w:val="auto"/>
          <w:sz w:val="24"/>
          <w:szCs w:val="24"/>
          <w:highlight w:val="none"/>
        </w:rPr>
        <w:t>评审</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评标委员会对所有投标人提交的施工组织设计进行评审。</w:t>
      </w:r>
    </w:p>
    <w:p>
      <w:pPr>
        <w:spacing w:line="360" w:lineRule="auto"/>
        <w:rPr>
          <w:rFonts w:eastAsia="黑体"/>
          <w:color w:val="auto"/>
          <w:sz w:val="24"/>
          <w:highlight w:val="none"/>
        </w:rPr>
      </w:pPr>
      <w:r>
        <w:rPr>
          <w:rFonts w:hint="eastAsia" w:eastAsia="黑体"/>
          <w:color w:val="auto"/>
          <w:sz w:val="24"/>
          <w:highlight w:val="none"/>
          <w:lang w:val="en-US" w:eastAsia="zh-CN"/>
        </w:rPr>
        <w:t>4.形式、资格、响应性</w:t>
      </w:r>
      <w:r>
        <w:rPr>
          <w:rFonts w:eastAsia="黑体"/>
          <w:color w:val="auto"/>
          <w:sz w:val="24"/>
          <w:highlight w:val="none"/>
        </w:rPr>
        <w:t>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评标委员会依据评标办法的规定对投标文件进行评审。有一项不符合评审标准的，应当予以否决。</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4.1 形式评审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评标委员会根据评标办法前附表中规定的评审因素和评审标准，对投标人的投标文件进行形式评审。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4.2 资格评审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□4.2.1未进行资格预审的，由评标委员会根据评标办法前附表规定的评审因素和评审标准，对投标人的投标文件进行资格评审。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已进行资格预审的，评标委员会一般不再对投标人资格进行评审。投标人资格预审申请文件的内容发生重大变化的，由评标委员会依据资格预审文件规定的标准和方法，对照投标人资格预审申请文件中的资料以及开标前更新的资料，对其更新的资料进行评审，其变化后的资格条件不得低于原有资格条件要求。</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 xml:space="preserve">4.2.2 资格评审过程中，评标委员会发现投标人提交的资格审查资料不全时，应当听取该投标人的说明。  </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4.3 响应性评审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4.3.1 评标委员会根据评标办法前附表中规定的评审因素和评审标准，对投标人的投标文件进行响应性评审。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4.3.2 招标文件设定了最高投标限价的，投标人投标价格不得超出（不含等于）“投标人须知”前附表载明的最高投标限价。</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4.4 算术错误修正</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评标委员会检查投标人投标报价是否有算术错误，算术性错误分析和修正按以下原则进行，修正的价格经投标人通过电子交易平台进行确认后具有约束力。投标人不接受修正价格的，应当否决其投标。</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（1）投标文件中的大写金额与小写金额不一致的，以大写金额为准；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（2）总价金额与依据单价计算出的结果不一致的，以单价金额为准修正总价，但单价金额小数点有明显错误的除外。</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根据算术错误修正结果计算评标价。评标委员会对算术错误的修正应向投标人作澄清。投标人对修正结果应通过电子交易平台进行确认。投标人对修正结果有不同意见或未通过电子交易平台进行确认的，评标委员会应重新复核修正结果，再次按上述程序分别进行确认、复核。</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4.5是否予以否决投标</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4.5.1评标委员会在评标过程中，依据第二章附件2-2中规定的否决投标情形，判断是否对投标人的投标予以否决。</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4.5.2 第二章附件2-2集中列示的否决投标情形如果与第二章投标人须知和本章列示的否决投标条款相互抵触和矛盾时，以附件2-2集中列示的为准。</w:t>
      </w:r>
    </w:p>
    <w:p>
      <w:pPr>
        <w:spacing w:line="360" w:lineRule="auto"/>
        <w:rPr>
          <w:rFonts w:hint="eastAsia" w:eastAsia="黑体"/>
          <w:color w:val="auto"/>
          <w:sz w:val="24"/>
          <w:highlight w:val="none"/>
          <w:lang w:val="en-US" w:eastAsia="zh-CN"/>
        </w:rPr>
      </w:pPr>
      <w:r>
        <w:rPr>
          <w:rFonts w:hint="eastAsia" w:eastAsia="黑体"/>
          <w:color w:val="auto"/>
          <w:sz w:val="24"/>
          <w:highlight w:val="none"/>
          <w:lang w:val="en-US" w:eastAsia="zh-CN"/>
        </w:rPr>
        <w:t>5.企业资信及履约能力评审、投标报价评审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评标委员会按照规定的评审因素和标准进行评审计分。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5.1企业资信及履约能力评审计分；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5.2投标报价评审按下列程序进行：</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5.2.1是否以低于成本报价竞争</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评标委员会应当对低于报价评审警戒线的投标人的报价进行评审，以判断投标报价是否低于成本。投标报价成本评审按照第二章附件2-3中的规定进行，对低于成本竞标的投标人予以否决。</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 xml:space="preserve">5.2.2对投标总报价进行评审。 </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&lt;1&gt;按照评标办法前附表的规定</w:t>
      </w:r>
      <w:r>
        <w:rPr>
          <w:rFonts w:hint="default"/>
          <w:color w:val="auto"/>
          <w:szCs w:val="21"/>
          <w:highlight w:val="none"/>
          <w:lang w:val="en-US" w:eastAsia="zh-CN"/>
        </w:rPr>
        <w:t>计算本次</w:t>
      </w:r>
      <w:r>
        <w:rPr>
          <w:rFonts w:hint="eastAsia"/>
          <w:color w:val="auto"/>
          <w:szCs w:val="21"/>
          <w:highlight w:val="none"/>
          <w:lang w:val="en-US" w:eastAsia="zh-CN"/>
        </w:rPr>
        <w:t>招标投标人基准价</w:t>
      </w:r>
      <w:r>
        <w:rPr>
          <w:rFonts w:hint="default"/>
          <w:color w:val="auto"/>
          <w:szCs w:val="21"/>
          <w:highlight w:val="none"/>
          <w:lang w:val="en-US" w:eastAsia="zh-CN"/>
        </w:rPr>
        <w:t>及各投标人</w:t>
      </w:r>
      <w:r>
        <w:rPr>
          <w:rFonts w:hint="eastAsia"/>
          <w:color w:val="auto"/>
          <w:szCs w:val="21"/>
          <w:highlight w:val="none"/>
          <w:lang w:val="en-US" w:eastAsia="zh-CN"/>
        </w:rPr>
        <w:t>投标报价得分。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&lt;2&gt;投标报价小于基准价92%的，</w:t>
      </w:r>
      <w:r>
        <w:rPr>
          <w:rFonts w:hint="default"/>
          <w:color w:val="auto"/>
          <w:szCs w:val="21"/>
          <w:highlight w:val="none"/>
          <w:lang w:val="en-US" w:eastAsia="zh-CN"/>
        </w:rPr>
        <w:t>其</w:t>
      </w:r>
      <w:r>
        <w:rPr>
          <w:rFonts w:hint="eastAsia"/>
          <w:color w:val="auto"/>
          <w:szCs w:val="21"/>
          <w:highlight w:val="none"/>
          <w:lang w:val="en-US" w:eastAsia="zh-CN"/>
        </w:rPr>
        <w:t>投标报价评审得分</w:t>
      </w:r>
      <w:r>
        <w:rPr>
          <w:rFonts w:hint="default"/>
          <w:color w:val="auto"/>
          <w:szCs w:val="21"/>
          <w:highlight w:val="none"/>
          <w:lang w:val="en-US" w:eastAsia="zh-CN"/>
        </w:rPr>
        <w:t>计0分</w:t>
      </w:r>
      <w:r>
        <w:rPr>
          <w:rFonts w:hint="eastAsia"/>
          <w:color w:val="auto"/>
          <w:szCs w:val="21"/>
          <w:highlight w:val="none"/>
          <w:lang w:val="en-US" w:eastAsia="zh-CN"/>
        </w:rPr>
        <w:t>。</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&lt;3&gt;计算报价得分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按照评标办法前附表中规定的方法，计算各个进入报价评审环节并且经过评审认定为不低于其成本的投标报价的“偏差率”。</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按照评标办法前附表中规定的评分标准，对照投标报价的偏差率，分别对各个投标报价进行计分。</w:t>
      </w:r>
    </w:p>
    <w:p>
      <w:pPr>
        <w:spacing w:line="440" w:lineRule="exact"/>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5.3</w:t>
      </w:r>
      <w:r>
        <w:rPr>
          <w:rFonts w:ascii="Times New Roman" w:hAnsi="Times New Roman" w:eastAsia="宋体" w:cs="Times New Roman"/>
          <w:color w:val="auto"/>
          <w:szCs w:val="21"/>
          <w:highlight w:val="none"/>
        </w:rPr>
        <w:t xml:space="preserve"> 澄清、说明或补正</w:t>
      </w:r>
    </w:p>
    <w:p>
      <w:pPr>
        <w:adjustRightInd w:val="0"/>
        <w:snapToGrid w:val="0"/>
        <w:spacing w:line="440"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在评审过程中，评标委员会应当就投标文件中不明确的内容要求投标人进行澄清、说明或者补正。投标人应当以书面形式予以澄清、说明或者补正。澄清、说明或补正</w:t>
      </w:r>
      <w:r>
        <w:rPr>
          <w:rFonts w:hint="eastAsia" w:ascii="Times New Roman" w:hAnsi="Times New Roman" w:eastAsia="宋体" w:cs="Times New Roman"/>
          <w:color w:val="auto"/>
          <w:szCs w:val="21"/>
          <w:highlight w:val="none"/>
        </w:rPr>
        <w:t>按照</w:t>
      </w:r>
      <w:r>
        <w:rPr>
          <w:rFonts w:ascii="Times New Roman" w:hAnsi="Times New Roman" w:eastAsia="宋体" w:cs="Times New Roman"/>
          <w:color w:val="auto"/>
          <w:szCs w:val="21"/>
          <w:highlight w:val="none"/>
        </w:rPr>
        <w:t>评标办法</w:t>
      </w:r>
      <w:r>
        <w:rPr>
          <w:rFonts w:hint="eastAsia" w:ascii="Times New Roman" w:hAnsi="Times New Roman" w:eastAsia="宋体" w:cs="Times New Roman"/>
          <w:color w:val="auto"/>
          <w:szCs w:val="21"/>
          <w:highlight w:val="none"/>
        </w:rPr>
        <w:t>正文第2.3项</w:t>
      </w:r>
      <w:r>
        <w:rPr>
          <w:rFonts w:ascii="Times New Roman" w:hAnsi="Times New Roman" w:eastAsia="宋体" w:cs="Times New Roman"/>
          <w:color w:val="auto"/>
          <w:szCs w:val="21"/>
          <w:highlight w:val="none"/>
        </w:rPr>
        <w:t>执行。</w:t>
      </w:r>
    </w:p>
    <w:p>
      <w:pPr>
        <w:spacing w:line="440" w:lineRule="exact"/>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5.4</w:t>
      </w:r>
      <w:r>
        <w:rPr>
          <w:rFonts w:ascii="Times New Roman" w:hAnsi="Times New Roman" w:eastAsia="宋体" w:cs="Times New Roman"/>
          <w:bCs/>
          <w:color w:val="auto"/>
          <w:szCs w:val="21"/>
          <w:highlight w:val="none"/>
        </w:rPr>
        <w:t>汇总评分结果</w:t>
      </w:r>
    </w:p>
    <w:p>
      <w:pPr>
        <w:adjustRightInd w:val="0"/>
        <w:snapToGrid w:val="0"/>
        <w:spacing w:line="440" w:lineRule="exact"/>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评审工作全部结束后，汇总评审计分结果，并按照</w:t>
      </w:r>
      <w:r>
        <w:rPr>
          <w:rFonts w:hint="eastAsia" w:ascii="Times New Roman" w:hAnsi="Times New Roman" w:eastAsia="宋体" w:cs="Times New Roman"/>
          <w:bCs/>
          <w:color w:val="auto"/>
          <w:szCs w:val="21"/>
          <w:highlight w:val="none"/>
        </w:rPr>
        <w:t>评标总得分</w:t>
      </w:r>
      <w:r>
        <w:rPr>
          <w:rFonts w:ascii="Times New Roman" w:hAnsi="Times New Roman" w:eastAsia="宋体" w:cs="Times New Roman"/>
          <w:bCs/>
          <w:color w:val="auto"/>
          <w:szCs w:val="21"/>
          <w:highlight w:val="none"/>
        </w:rPr>
        <w:t>由高至低的次序对投标人进行排序。</w:t>
      </w:r>
    </w:p>
    <w:p>
      <w:pPr>
        <w:shd w:val="clear" w:color="auto" w:fill="FFFFFF"/>
        <w:adjustRightInd w:val="0"/>
        <w:snapToGrid w:val="0"/>
        <w:spacing w:line="440" w:lineRule="exact"/>
        <w:ind w:firstLine="630" w:firstLineChars="300"/>
        <w:rPr>
          <w:rFonts w:hint="eastAsia" w:ascii="宋体" w:hAnsi="宋体" w:eastAsia="宋体" w:cs="仿宋"/>
          <w:color w:val="auto"/>
          <w:kern w:val="0"/>
          <w:szCs w:val="21"/>
          <w:highlight w:val="none"/>
        </w:rPr>
      </w:pPr>
      <w:r>
        <w:rPr>
          <w:rFonts w:hint="eastAsia" w:ascii="宋体" w:hAnsi="宋体" w:eastAsia="宋体" w:cs="Times New Roman"/>
          <w:bCs/>
          <w:color w:val="auto"/>
          <w:kern w:val="0"/>
          <w:szCs w:val="21"/>
          <w:highlight w:val="none"/>
        </w:rPr>
        <w:t>C=J</w:t>
      </w:r>
      <w:r>
        <w:rPr>
          <w:rFonts w:hint="eastAsia" w:ascii="宋体" w:hAnsi="宋体" w:eastAsia="宋体" w:cs="Times New Roman"/>
          <w:bCs/>
          <w:color w:val="auto"/>
          <w:kern w:val="0"/>
          <w:szCs w:val="21"/>
          <w:highlight w:val="none"/>
          <w:vertAlign w:val="subscript"/>
        </w:rPr>
        <w:t>1</w:t>
      </w:r>
      <w:r>
        <w:rPr>
          <w:rFonts w:hint="eastAsia" w:ascii="宋体" w:hAnsi="宋体" w:eastAsia="宋体" w:cs="Times New Roman"/>
          <w:bCs/>
          <w:color w:val="auto"/>
          <w:kern w:val="0"/>
          <w:szCs w:val="21"/>
          <w:highlight w:val="none"/>
        </w:rPr>
        <w:t>×D+J</w:t>
      </w:r>
      <w:r>
        <w:rPr>
          <w:rFonts w:hint="eastAsia" w:ascii="宋体" w:hAnsi="宋体" w:eastAsia="宋体" w:cs="Times New Roman"/>
          <w:bCs/>
          <w:color w:val="auto"/>
          <w:kern w:val="0"/>
          <w:szCs w:val="21"/>
          <w:highlight w:val="none"/>
          <w:vertAlign w:val="subscript"/>
        </w:rPr>
        <w:t>2</w:t>
      </w:r>
      <w:r>
        <w:rPr>
          <w:rFonts w:hint="eastAsia" w:ascii="宋体" w:hAnsi="宋体" w:eastAsia="宋体" w:cs="Times New Roman"/>
          <w:bCs/>
          <w:color w:val="auto"/>
          <w:kern w:val="0"/>
          <w:szCs w:val="21"/>
          <w:highlight w:val="none"/>
        </w:rPr>
        <w:t>×E+J</w:t>
      </w:r>
      <w:r>
        <w:rPr>
          <w:rFonts w:hint="eastAsia" w:ascii="宋体" w:hAnsi="宋体" w:eastAsia="宋体" w:cs="Times New Roman"/>
          <w:bCs/>
          <w:color w:val="auto"/>
          <w:kern w:val="0"/>
          <w:szCs w:val="21"/>
          <w:highlight w:val="none"/>
          <w:vertAlign w:val="subscript"/>
        </w:rPr>
        <w:t>3</w:t>
      </w:r>
      <w:r>
        <w:rPr>
          <w:rFonts w:hint="eastAsia" w:ascii="宋体" w:hAnsi="宋体" w:eastAsia="宋体" w:cs="Times New Roman"/>
          <w:bCs/>
          <w:color w:val="auto"/>
          <w:kern w:val="0"/>
          <w:szCs w:val="21"/>
          <w:highlight w:val="none"/>
        </w:rPr>
        <w:t>×F</w:t>
      </w:r>
      <w:r>
        <w:rPr>
          <w:rFonts w:hint="eastAsia" w:ascii="宋体" w:hAnsi="宋体" w:eastAsia="宋体" w:cs="仿宋"/>
          <w:i/>
          <w:iCs/>
          <w:color w:val="auto"/>
          <w:kern w:val="0"/>
          <w:szCs w:val="21"/>
          <w:highlight w:val="none"/>
        </w:rPr>
        <w:t xml:space="preserve"> </w:t>
      </w:r>
    </w:p>
    <w:p>
      <w:pPr>
        <w:shd w:val="clear" w:color="auto" w:fill="FFFFFF"/>
        <w:adjustRightInd w:val="0"/>
        <w:snapToGri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仿宋"/>
          <w:color w:val="auto"/>
          <w:kern w:val="0"/>
          <w:szCs w:val="21"/>
          <w:highlight w:val="none"/>
        </w:rPr>
        <w:t>其中:</w:t>
      </w:r>
      <w:r>
        <w:rPr>
          <w:rFonts w:hint="eastAsia" w:ascii="宋体" w:hAnsi="宋体" w:eastAsia="宋体" w:cs="Times New Roman"/>
          <w:color w:val="auto"/>
          <w:kern w:val="0"/>
          <w:szCs w:val="21"/>
          <w:highlight w:val="none"/>
        </w:rPr>
        <w:t>C——评标总得分</w:t>
      </w:r>
      <w:r>
        <w:rPr>
          <w:rFonts w:hint="eastAsia" w:ascii="宋体" w:hAnsi="宋体" w:eastAsia="宋体" w:cs="Times New Roman"/>
          <w:color w:val="auto"/>
          <w:szCs w:val="21"/>
          <w:highlight w:val="none"/>
        </w:rPr>
        <w:t>；</w:t>
      </w:r>
    </w:p>
    <w:p>
      <w:pPr>
        <w:shd w:val="clear" w:color="auto" w:fill="FFFFFF"/>
        <w:adjustRightInd w:val="0"/>
        <w:snapToGrid w:val="0"/>
        <w:spacing w:line="440" w:lineRule="exact"/>
        <w:ind w:firstLine="630" w:firstLineChars="3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D——</w:t>
      </w:r>
      <w:r>
        <w:rPr>
          <w:rFonts w:hint="eastAsia" w:ascii="宋体" w:hAnsi="宋体" w:cs="Times New Roman"/>
          <w:color w:val="auto"/>
          <w:kern w:val="0"/>
          <w:szCs w:val="21"/>
          <w:highlight w:val="none"/>
          <w:lang w:eastAsia="zh-CN"/>
        </w:rPr>
        <w:t>施工组织设计</w:t>
      </w:r>
      <w:r>
        <w:rPr>
          <w:rFonts w:hint="eastAsia" w:ascii="宋体" w:hAnsi="宋体" w:eastAsia="宋体" w:cs="Times New Roman"/>
          <w:color w:val="auto"/>
          <w:kern w:val="0"/>
          <w:szCs w:val="21"/>
          <w:highlight w:val="none"/>
        </w:rPr>
        <w:t>评审得分</w:t>
      </w:r>
      <w:r>
        <w:rPr>
          <w:rFonts w:hint="eastAsia" w:ascii="宋体" w:hAnsi="宋体" w:eastAsia="宋体" w:cs="Times New Roman"/>
          <w:color w:val="auto"/>
          <w:szCs w:val="21"/>
          <w:highlight w:val="none"/>
        </w:rPr>
        <w:t>；</w:t>
      </w:r>
    </w:p>
    <w:p>
      <w:pPr>
        <w:shd w:val="clear" w:color="auto" w:fill="FFFFFF"/>
        <w:adjustRightInd w:val="0"/>
        <w:snapToGrid w:val="0"/>
        <w:spacing w:line="440" w:lineRule="exact"/>
        <w:ind w:firstLine="630" w:firstLineChars="3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E——企业资信及履约能力</w:t>
      </w:r>
      <w:r>
        <w:rPr>
          <w:rFonts w:hint="eastAsia" w:ascii="宋体" w:hAnsi="宋体" w:eastAsia="宋体" w:cs="仿宋_GB2312"/>
          <w:color w:val="auto"/>
          <w:kern w:val="0"/>
          <w:szCs w:val="21"/>
          <w:highlight w:val="none"/>
        </w:rPr>
        <w:t>评审</w:t>
      </w:r>
      <w:r>
        <w:rPr>
          <w:rFonts w:hint="eastAsia" w:ascii="宋体" w:hAnsi="宋体" w:eastAsia="宋体" w:cs="Times New Roman"/>
          <w:color w:val="auto"/>
          <w:szCs w:val="21"/>
          <w:highlight w:val="none"/>
        </w:rPr>
        <w:t>得分；</w:t>
      </w:r>
    </w:p>
    <w:p>
      <w:pPr>
        <w:shd w:val="clear" w:color="auto" w:fill="FFFFFF"/>
        <w:adjustRightInd w:val="0"/>
        <w:snapToGrid w:val="0"/>
        <w:spacing w:line="440" w:lineRule="exact"/>
        <w:ind w:firstLine="630" w:firstLineChars="300"/>
        <w:rPr>
          <w:rFonts w:hint="eastAsia"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F——</w:t>
      </w:r>
      <w:r>
        <w:rPr>
          <w:rFonts w:hint="eastAsia" w:ascii="宋体" w:hAnsi="宋体" w:eastAsia="宋体" w:cs="Times New Roman"/>
          <w:color w:val="auto"/>
          <w:szCs w:val="21"/>
          <w:highlight w:val="none"/>
        </w:rPr>
        <w:t>投标报价评审得分。</w:t>
      </w:r>
    </w:p>
    <w:p>
      <w:pPr>
        <w:shd w:val="clear" w:color="auto" w:fill="FFFFFF"/>
        <w:adjustRightInd w:val="0"/>
        <w:snapToGrid w:val="0"/>
        <w:spacing w:line="440" w:lineRule="exact"/>
        <w:ind w:firstLine="630" w:firstLineChars="300"/>
        <w:rPr>
          <w:rFonts w:hint="eastAsia" w:ascii="Times New Roman" w:hAnsi="Times New Roman" w:eastAsia="宋体" w:cs="Times New Roman"/>
          <w:bCs/>
          <w:color w:val="auto"/>
          <w:szCs w:val="21"/>
          <w:highlight w:val="none"/>
        </w:rPr>
      </w:pPr>
      <w:r>
        <w:rPr>
          <w:rFonts w:hint="eastAsia" w:ascii="宋体" w:hAnsi="宋体" w:eastAsia="宋体" w:cs="Times New Roman"/>
          <w:color w:val="auto"/>
          <w:szCs w:val="21"/>
          <w:highlight w:val="none"/>
        </w:rPr>
        <w:t>J</w:t>
      </w:r>
      <w:r>
        <w:rPr>
          <w:rFonts w:hint="eastAsia" w:ascii="宋体" w:hAnsi="宋体" w:eastAsia="宋体" w:cs="Times New Roman"/>
          <w:bCs/>
          <w:color w:val="auto"/>
          <w:kern w:val="0"/>
          <w:szCs w:val="21"/>
          <w:highlight w:val="none"/>
          <w:vertAlign w:val="subscript"/>
        </w:rPr>
        <w:t>1</w:t>
      </w:r>
      <w:r>
        <w:rPr>
          <w:rFonts w:hint="eastAsia" w:ascii="宋体" w:hAnsi="宋体" w:eastAsia="宋体" w:cs="Times New Roman"/>
          <w:color w:val="auto"/>
          <w:szCs w:val="21"/>
          <w:highlight w:val="none"/>
        </w:rPr>
        <w:t>、J</w:t>
      </w:r>
      <w:r>
        <w:rPr>
          <w:rFonts w:hint="eastAsia" w:ascii="宋体" w:hAnsi="宋体" w:eastAsia="宋体" w:cs="Times New Roman"/>
          <w:bCs/>
          <w:color w:val="auto"/>
          <w:kern w:val="0"/>
          <w:szCs w:val="21"/>
          <w:highlight w:val="none"/>
          <w:vertAlign w:val="subscript"/>
        </w:rPr>
        <w:t>2</w:t>
      </w:r>
      <w:r>
        <w:rPr>
          <w:rFonts w:hint="eastAsia" w:ascii="宋体" w:hAnsi="宋体" w:eastAsia="宋体" w:cs="Times New Roman"/>
          <w:color w:val="auto"/>
          <w:szCs w:val="21"/>
          <w:highlight w:val="none"/>
        </w:rPr>
        <w:t>、J</w:t>
      </w:r>
      <w:r>
        <w:rPr>
          <w:rFonts w:hint="eastAsia" w:ascii="宋体" w:hAnsi="宋体" w:eastAsia="宋体" w:cs="Times New Roman"/>
          <w:bCs/>
          <w:color w:val="auto"/>
          <w:kern w:val="0"/>
          <w:szCs w:val="21"/>
          <w:highlight w:val="none"/>
          <w:vertAlign w:val="subscript"/>
        </w:rPr>
        <w:t>3</w:t>
      </w:r>
      <w:r>
        <w:rPr>
          <w:rFonts w:hint="eastAsia" w:ascii="宋体" w:hAnsi="宋体" w:eastAsia="宋体" w:cs="Times New Roman"/>
          <w:color w:val="auto"/>
          <w:szCs w:val="21"/>
          <w:highlight w:val="none"/>
        </w:rPr>
        <w:t>——各项评审因素的权重</w:t>
      </w:r>
    </w:p>
    <w:p>
      <w:pPr>
        <w:adjustRightInd w:val="0"/>
        <w:snapToGrid w:val="0"/>
        <w:spacing w:line="440" w:lineRule="exact"/>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5.5</w:t>
      </w:r>
      <w:r>
        <w:rPr>
          <w:rFonts w:ascii="Times New Roman" w:hAnsi="Times New Roman" w:eastAsia="宋体" w:cs="Times New Roman"/>
          <w:color w:val="auto"/>
          <w:szCs w:val="21"/>
          <w:highlight w:val="none"/>
        </w:rPr>
        <w:t>评分分值计算保留小数点后两位，小数点后第三位“四舍五入”。</w:t>
      </w:r>
    </w:p>
    <w:p>
      <w:pPr>
        <w:adjustRightInd w:val="0"/>
        <w:snapToGrid w:val="0"/>
        <w:spacing w:before="63" w:beforeLines="20" w:line="360" w:lineRule="auto"/>
        <w:rPr>
          <w:rFonts w:eastAsia="黑体"/>
          <w:bCs/>
          <w:color w:val="auto"/>
          <w:sz w:val="24"/>
          <w:szCs w:val="21"/>
          <w:highlight w:val="none"/>
        </w:rPr>
      </w:pPr>
      <w:r>
        <w:rPr>
          <w:rFonts w:hint="eastAsia" w:eastAsia="黑体"/>
          <w:bCs/>
          <w:color w:val="auto"/>
          <w:sz w:val="24"/>
          <w:szCs w:val="21"/>
          <w:highlight w:val="none"/>
          <w:lang w:val="en-US" w:eastAsia="zh-CN"/>
        </w:rPr>
        <w:t>6</w:t>
      </w:r>
      <w:r>
        <w:rPr>
          <w:rFonts w:eastAsia="黑体"/>
          <w:bCs/>
          <w:color w:val="auto"/>
          <w:sz w:val="24"/>
          <w:szCs w:val="21"/>
          <w:highlight w:val="none"/>
        </w:rPr>
        <w:t>.中标人</w:t>
      </w:r>
      <w:r>
        <w:rPr>
          <w:rFonts w:hint="eastAsia" w:eastAsia="黑体"/>
          <w:bCs/>
          <w:color w:val="auto"/>
          <w:sz w:val="24"/>
          <w:szCs w:val="21"/>
          <w:highlight w:val="none"/>
        </w:rPr>
        <w:t>的</w:t>
      </w:r>
      <w:r>
        <w:rPr>
          <w:rFonts w:eastAsia="黑体"/>
          <w:bCs/>
          <w:color w:val="auto"/>
          <w:sz w:val="24"/>
          <w:szCs w:val="21"/>
          <w:highlight w:val="none"/>
        </w:rPr>
        <w:t>确定</w:t>
      </w:r>
    </w:p>
    <w:p>
      <w:pPr>
        <w:adjustRightInd w:val="0"/>
        <w:snapToGrid w:val="0"/>
        <w:spacing w:line="440" w:lineRule="exact"/>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w:t>
      </w:r>
      <w:r>
        <w:rPr>
          <w:rFonts w:hint="eastAsia"/>
          <w:color w:val="auto"/>
          <w:szCs w:val="21"/>
          <w:highlight w:val="none"/>
        </w:rPr>
        <w:t>推荐中标候选人</w:t>
      </w:r>
    </w:p>
    <w:p>
      <w:pPr>
        <w:adjustRightInd w:val="0"/>
        <w:snapToGrid w:val="0"/>
        <w:spacing w:line="440" w:lineRule="exact"/>
        <w:ind w:firstLine="420" w:firstLineChars="200"/>
        <w:rPr>
          <w:rFonts w:hint="eastAsia"/>
          <w:color w:val="auto"/>
          <w:szCs w:val="21"/>
          <w:highlight w:val="none"/>
        </w:rPr>
      </w:pPr>
      <w:r>
        <w:rPr>
          <w:rFonts w:hint="eastAsia"/>
          <w:color w:val="auto"/>
          <w:szCs w:val="21"/>
          <w:highlight w:val="none"/>
          <w:lang w:val="en-US" w:eastAsia="zh-CN"/>
        </w:rPr>
        <w:t>6</w:t>
      </w:r>
      <w:r>
        <w:rPr>
          <w:color w:val="auto"/>
          <w:szCs w:val="21"/>
          <w:highlight w:val="none"/>
        </w:rPr>
        <w:t>.1.1</w:t>
      </w:r>
      <w:r>
        <w:rPr>
          <w:rFonts w:hint="eastAsia"/>
          <w:color w:val="auto"/>
          <w:szCs w:val="21"/>
          <w:highlight w:val="none"/>
        </w:rPr>
        <w:t xml:space="preserve"> 评定分离法，即：评标委员会推荐不超过3个不排序的中标候选人，由招标人确定中标人。</w:t>
      </w:r>
    </w:p>
    <w:p>
      <w:pPr>
        <w:adjustRightInd w:val="0"/>
        <w:snapToGrid w:val="0"/>
        <w:spacing w:line="440" w:lineRule="exact"/>
        <w:ind w:firstLine="420" w:firstLineChars="200"/>
        <w:rPr>
          <w:rFonts w:hint="eastAsia"/>
          <w:color w:val="auto"/>
          <w:szCs w:val="21"/>
          <w:highlight w:val="none"/>
        </w:rPr>
      </w:pPr>
      <w:r>
        <w:rPr>
          <w:rFonts w:hint="eastAsia"/>
          <w:color w:val="auto"/>
          <w:szCs w:val="21"/>
          <w:highlight w:val="none"/>
          <w:lang w:val="en-US" w:eastAsia="zh-CN"/>
        </w:rPr>
        <w:t>6</w:t>
      </w:r>
      <w:r>
        <w:rPr>
          <w:rFonts w:hint="eastAsia"/>
          <w:color w:val="auto"/>
          <w:szCs w:val="21"/>
          <w:highlight w:val="none"/>
        </w:rPr>
        <w:t>.1.2 排序法，即：评标委员会推荐不超过3个有排序的中标候选人，招标人按照中标候选人的排序确定中标人。</w:t>
      </w:r>
    </w:p>
    <w:p>
      <w:pPr>
        <w:adjustRightInd w:val="0"/>
        <w:snapToGrid w:val="0"/>
        <w:spacing w:line="440" w:lineRule="exact"/>
        <w:ind w:firstLine="420" w:firstLineChars="200"/>
        <w:rPr>
          <w:color w:val="auto"/>
          <w:szCs w:val="21"/>
          <w:highlight w:val="none"/>
        </w:rPr>
      </w:pPr>
      <w:r>
        <w:rPr>
          <w:rFonts w:hint="eastAsia"/>
          <w:color w:val="auto"/>
          <w:szCs w:val="21"/>
          <w:highlight w:val="none"/>
          <w:lang w:val="en-US" w:eastAsia="zh-CN"/>
        </w:rPr>
        <w:t>6</w:t>
      </w:r>
      <w:r>
        <w:rPr>
          <w:rFonts w:hint="eastAsia"/>
          <w:color w:val="auto"/>
          <w:szCs w:val="21"/>
          <w:highlight w:val="none"/>
        </w:rPr>
        <w:t>.1.3</w:t>
      </w:r>
      <w:r>
        <w:rPr>
          <w:color w:val="auto"/>
          <w:szCs w:val="21"/>
          <w:highlight w:val="none"/>
        </w:rPr>
        <w:t>评标委员会在推荐中标候选人时，应遵照以下原则:</w:t>
      </w:r>
    </w:p>
    <w:p>
      <w:pPr>
        <w:adjustRightInd w:val="0"/>
        <w:snapToGrid w:val="0"/>
        <w:spacing w:line="440" w:lineRule="exact"/>
        <w:ind w:firstLine="420" w:firstLineChars="200"/>
        <w:rPr>
          <w:color w:val="auto"/>
          <w:szCs w:val="21"/>
          <w:highlight w:val="none"/>
        </w:rPr>
      </w:pPr>
      <w:r>
        <w:rPr>
          <w:color w:val="auto"/>
          <w:szCs w:val="21"/>
          <w:highlight w:val="none"/>
        </w:rPr>
        <w:t>（1） 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pPr>
        <w:adjustRightInd w:val="0"/>
        <w:snapToGrid w:val="0"/>
        <w:spacing w:line="440" w:lineRule="exact"/>
        <w:ind w:firstLine="420" w:firstLineChars="200"/>
        <w:rPr>
          <w:color w:val="auto"/>
          <w:szCs w:val="21"/>
          <w:highlight w:val="none"/>
        </w:rPr>
      </w:pPr>
      <w:r>
        <w:rPr>
          <w:color w:val="auto"/>
          <w:szCs w:val="21"/>
          <w:highlight w:val="none"/>
        </w:rPr>
        <w:t>（2）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pPr>
        <w:adjustRightInd w:val="0"/>
        <w:snapToGrid w:val="0"/>
        <w:spacing w:line="440" w:lineRule="exact"/>
        <w:ind w:firstLine="420" w:firstLineChars="200"/>
        <w:rPr>
          <w:color w:val="auto"/>
          <w:highlight w:val="none"/>
        </w:rPr>
      </w:pPr>
      <w:r>
        <w:rPr>
          <w:rFonts w:hint="eastAsia"/>
          <w:color w:val="auto"/>
          <w:highlight w:val="none"/>
          <w:lang w:val="en-US" w:eastAsia="zh-CN"/>
        </w:rPr>
        <w:t>6</w:t>
      </w:r>
      <w:r>
        <w:rPr>
          <w:rFonts w:hint="eastAsia"/>
          <w:color w:val="auto"/>
          <w:highlight w:val="none"/>
        </w:rPr>
        <w:t>.2 中标人的确定</w:t>
      </w:r>
    </w:p>
    <w:p>
      <w:pPr>
        <w:pStyle w:val="15"/>
        <w:spacing w:line="440" w:lineRule="exact"/>
        <w:ind w:firstLine="420" w:firstLineChars="200"/>
        <w:rPr>
          <w:color w:val="auto"/>
          <w:szCs w:val="21"/>
          <w:highlight w:val="none"/>
        </w:rPr>
      </w:pPr>
      <w:r>
        <w:rPr>
          <w:rFonts w:hint="eastAsia"/>
          <w:color w:val="auto"/>
          <w:highlight w:val="none"/>
          <w:lang w:val="en-US" w:eastAsia="zh-CN"/>
        </w:rPr>
        <w:t>6</w:t>
      </w:r>
      <w:r>
        <w:rPr>
          <w:rFonts w:hint="eastAsia"/>
          <w:color w:val="auto"/>
          <w:highlight w:val="none"/>
        </w:rPr>
        <w:t>.2.1 采用评定分离法确定中标人的，由招标人对不排序的中标候选人进行公示。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公示期间，对评标结果有异议或投诉的，将按照相关规定进行处理。异议或投诉处理完毕之后方可组织开展定标工作。定标工作按照第二章</w:t>
      </w:r>
      <w:r>
        <w:rPr>
          <w:rFonts w:hint="eastAsia"/>
          <w:color w:val="auto"/>
          <w:szCs w:val="21"/>
          <w:highlight w:val="none"/>
        </w:rPr>
        <w:t>附件</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评定分离工作方案执行。</w:t>
      </w:r>
    </w:p>
    <w:p>
      <w:pPr>
        <w:spacing w:line="440" w:lineRule="exact"/>
        <w:ind w:firstLine="420" w:firstLineChars="200"/>
        <w:rPr>
          <w:color w:val="auto"/>
          <w:szCs w:val="21"/>
          <w:highlight w:val="none"/>
        </w:rPr>
      </w:pPr>
      <w:r>
        <w:rPr>
          <w:rFonts w:hint="eastAsia"/>
          <w:color w:val="auto"/>
          <w:highlight w:val="none"/>
          <w:lang w:val="en-US" w:eastAsia="zh-CN"/>
        </w:rPr>
        <w:t>6</w:t>
      </w:r>
      <w:r>
        <w:rPr>
          <w:rFonts w:hint="eastAsia"/>
          <w:color w:val="auto"/>
          <w:highlight w:val="none"/>
        </w:rPr>
        <w:t>.2.1采用排序法确定中标人的，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.3 编制评标报告</w:t>
      </w:r>
    </w:p>
    <w:p>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pPr>
        <w:adjustRightInd w:val="0"/>
        <w:snapToGrid w:val="0"/>
        <w:spacing w:before="94" w:beforeLines="30" w:line="300" w:lineRule="auto"/>
        <w:ind w:firstLine="420" w:firstLineChars="200"/>
        <w:jc w:val="left"/>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（8）经评审的投标人排序；</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（9）推荐的中标候选人名单与签订合同前要处理的事宜；</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（10）澄清、说明、补正事项纪要。</w:t>
      </w:r>
    </w:p>
    <w:p>
      <w:pPr>
        <w:adjustRightInd w:val="0"/>
        <w:snapToGrid w:val="0"/>
        <w:spacing w:before="63" w:beforeLines="20" w:after="63" w:afterLines="20" w:line="360" w:lineRule="auto"/>
        <w:rPr>
          <w:rFonts w:eastAsia="黑体"/>
          <w:bCs/>
          <w:color w:val="auto"/>
          <w:sz w:val="24"/>
          <w:szCs w:val="21"/>
          <w:highlight w:val="none"/>
        </w:rPr>
      </w:pPr>
      <w:r>
        <w:rPr>
          <w:rFonts w:hint="eastAsia" w:eastAsia="黑体"/>
          <w:bCs/>
          <w:color w:val="auto"/>
          <w:sz w:val="24"/>
          <w:szCs w:val="21"/>
          <w:highlight w:val="none"/>
          <w:lang w:val="en-US" w:eastAsia="zh-CN"/>
        </w:rPr>
        <w:t>7</w:t>
      </w:r>
      <w:r>
        <w:rPr>
          <w:rFonts w:eastAsia="黑体"/>
          <w:bCs/>
          <w:color w:val="auto"/>
          <w:sz w:val="24"/>
          <w:szCs w:val="21"/>
          <w:highlight w:val="none"/>
        </w:rPr>
        <w:t>．特殊情况的处置程序</w:t>
      </w:r>
    </w:p>
    <w:p>
      <w:pPr>
        <w:widowControl/>
        <w:spacing w:line="440" w:lineRule="exact"/>
        <w:ind w:left="210" w:leftChars="100" w:firstLine="210" w:firstLineChars="100"/>
        <w:jc w:val="left"/>
        <w:rPr>
          <w:rFonts w:hint="eastAsia"/>
          <w:color w:val="auto"/>
          <w:szCs w:val="21"/>
          <w:highlight w:val="none"/>
        </w:rPr>
      </w:pPr>
      <w:r>
        <w:rPr>
          <w:rFonts w:hint="eastAsia"/>
          <w:color w:val="auto"/>
          <w:szCs w:val="21"/>
          <w:highlight w:val="none"/>
          <w:lang w:val="en-US" w:eastAsia="zh-CN"/>
        </w:rPr>
        <w:t>7</w:t>
      </w:r>
      <w:r>
        <w:rPr>
          <w:color w:val="auto"/>
          <w:szCs w:val="21"/>
          <w:highlight w:val="none"/>
        </w:rPr>
        <w:t>.1 施工组织设计（暗标）的评审</w:t>
      </w:r>
      <w:r>
        <w:rPr>
          <w:color w:val="auto"/>
          <w:szCs w:val="21"/>
          <w:highlight w:val="none"/>
        </w:rPr>
        <w:br w:type="textWrapping"/>
      </w:r>
      <w:r>
        <w:rPr>
          <w:rFonts w:hint="eastAsia"/>
          <w:color w:val="auto"/>
          <w:szCs w:val="21"/>
          <w:highlight w:val="none"/>
          <w:lang w:val="en-US" w:eastAsia="zh-CN"/>
        </w:rPr>
        <w:t>企业资信及履约能力评审</w:t>
      </w:r>
      <w:r>
        <w:rPr>
          <w:rFonts w:hint="eastAsia"/>
          <w:color w:val="auto"/>
          <w:szCs w:val="21"/>
          <w:highlight w:val="none"/>
        </w:rPr>
        <w:t>完成之后</w:t>
      </w:r>
      <w:r>
        <w:rPr>
          <w:color w:val="auto"/>
          <w:szCs w:val="21"/>
          <w:highlight w:val="none"/>
        </w:rPr>
        <w:t>，将</w:t>
      </w:r>
      <w:r>
        <w:rPr>
          <w:rFonts w:hint="eastAsia"/>
          <w:color w:val="auto"/>
          <w:szCs w:val="21"/>
          <w:highlight w:val="none"/>
          <w:lang w:val="en-US" w:eastAsia="zh-CN"/>
        </w:rPr>
        <w:t>施工组织设计</w:t>
      </w:r>
      <w:r>
        <w:rPr>
          <w:color w:val="auto"/>
          <w:szCs w:val="21"/>
          <w:highlight w:val="none"/>
        </w:rPr>
        <w:t>编号与投标人名称</w:t>
      </w:r>
      <w:r>
        <w:rPr>
          <w:rFonts w:hint="eastAsia"/>
          <w:color w:val="auto"/>
          <w:szCs w:val="21"/>
          <w:highlight w:val="none"/>
        </w:rPr>
        <w:t>逐一</w:t>
      </w:r>
      <w:r>
        <w:rPr>
          <w:color w:val="auto"/>
          <w:szCs w:val="21"/>
          <w:highlight w:val="none"/>
        </w:rPr>
        <w:t>对应。</w:t>
      </w:r>
      <w:r>
        <w:rPr>
          <w:rFonts w:hint="eastAsia"/>
          <w:color w:val="auto"/>
          <w:szCs w:val="21"/>
          <w:highlight w:val="none"/>
        </w:rPr>
        <w:t>评标委员会全体成员对评审结果进行汇总和签字确认。</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 关于评标活动暂停</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.2.1 评标委员会应当执行连续评标的原则，按评标办法中规定的程序、内容、方法、标准完成全部评标工作。除特殊情况外，评标活动不得暂停。</w:t>
      </w:r>
    </w:p>
    <w:p>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.2.2 发生评标暂停情况时，评标委员会应当封存全部投标文件和评标记录，待特殊情况的影响结束且具备继续评标的条件时，由原评标委员会继续评标。</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.3 关于评标中途更换评委</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.3.1 除非发生下列情况之一，不得在评标中途更换评标委员会成员：</w:t>
      </w:r>
    </w:p>
    <w:p>
      <w:pPr>
        <w:adjustRightInd w:val="0"/>
        <w:snapToGrid w:val="0"/>
        <w:spacing w:line="360" w:lineRule="auto"/>
        <w:ind w:firstLine="420" w:firstLineChars="200"/>
        <w:rPr>
          <w:color w:val="auto"/>
          <w:szCs w:val="21"/>
          <w:highlight w:val="none"/>
        </w:rPr>
      </w:pPr>
      <w:r>
        <w:rPr>
          <w:color w:val="auto"/>
          <w:szCs w:val="21"/>
          <w:highlight w:val="none"/>
        </w:rPr>
        <w:t>（1）因不可抗拒的原因，评标委员会成员不能到场或需在评标中途退出评标活动。</w:t>
      </w:r>
    </w:p>
    <w:p>
      <w:pPr>
        <w:adjustRightInd w:val="0"/>
        <w:snapToGrid w:val="0"/>
        <w:spacing w:line="360" w:lineRule="auto"/>
        <w:ind w:firstLine="420" w:firstLineChars="200"/>
        <w:rPr>
          <w:color w:val="auto"/>
          <w:szCs w:val="21"/>
          <w:highlight w:val="none"/>
        </w:rPr>
      </w:pPr>
      <w:r>
        <w:rPr>
          <w:color w:val="auto"/>
          <w:szCs w:val="21"/>
          <w:highlight w:val="none"/>
        </w:rPr>
        <w:t>（2）根据法律法规规定，某个或某几个评标委员会成员需要回避。</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.3.2 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.4 记名投票</w:t>
      </w:r>
    </w:p>
    <w:p>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pPr>
        <w:spacing w:line="360" w:lineRule="auto"/>
        <w:ind w:firstLine="240" w:firstLineChars="100"/>
        <w:rPr>
          <w:rFonts w:eastAsia="黑体"/>
          <w:color w:val="auto"/>
          <w:sz w:val="24"/>
          <w:highlight w:val="none"/>
        </w:rPr>
      </w:pPr>
      <w:r>
        <w:rPr>
          <w:rFonts w:hint="eastAsia" w:eastAsia="黑体"/>
          <w:color w:val="auto"/>
          <w:sz w:val="24"/>
          <w:highlight w:val="none"/>
          <w:lang w:val="en-US" w:eastAsia="zh-CN"/>
        </w:rPr>
        <w:t>8</w:t>
      </w:r>
      <w:r>
        <w:rPr>
          <w:rFonts w:eastAsia="黑体"/>
          <w:color w:val="auto"/>
          <w:sz w:val="24"/>
          <w:highlight w:val="none"/>
        </w:rPr>
        <w:t>.补充条款</w:t>
      </w:r>
    </w:p>
    <w:bookmarkEnd w:id="208"/>
    <w:p>
      <w:pPr>
        <w:adjustRightInd w:val="0"/>
        <w:snapToGrid w:val="0"/>
        <w:spacing w:line="360" w:lineRule="auto"/>
        <w:ind w:firstLine="420" w:firstLineChars="200"/>
        <w:rPr>
          <w:rFonts w:hint="eastAsia"/>
          <w:color w:val="auto"/>
          <w:szCs w:val="21"/>
          <w:highlight w:val="none"/>
        </w:rPr>
      </w:pPr>
      <w:bookmarkStart w:id="209" w:name="_Toc300678220"/>
      <w:r>
        <w:rPr>
          <w:rFonts w:hint="eastAsia"/>
          <w:color w:val="auto"/>
          <w:szCs w:val="21"/>
          <w:highlight w:val="none"/>
          <w:lang w:val="en-US" w:eastAsia="zh-CN"/>
        </w:rPr>
        <w:t>8</w:t>
      </w:r>
      <w:r>
        <w:rPr>
          <w:color w:val="auto"/>
          <w:szCs w:val="21"/>
          <w:highlight w:val="none"/>
        </w:rPr>
        <w:t>.1</w:t>
      </w:r>
      <w:r>
        <w:rPr>
          <w:rFonts w:hint="eastAsia"/>
          <w:color w:val="auto"/>
          <w:szCs w:val="21"/>
          <w:highlight w:val="none"/>
        </w:rPr>
        <w:t>评标过程中，评标委员会成员对法律法规及相关政策文件理解不一致或者不熟悉的问题，应当在现场提请行政监管部门解释。对招标文件中存在的其他问题应当提请招标人澄清。</w:t>
      </w:r>
    </w:p>
    <w:p>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lang w:val="en-US" w:eastAsia="zh-CN"/>
        </w:rPr>
        <w:t>8</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pPr>
        <w:adjustRightInd w:val="0"/>
        <w:snapToGrid w:val="0"/>
        <w:spacing w:line="360" w:lineRule="auto"/>
        <w:ind w:firstLine="420" w:firstLineChars="200"/>
        <w:rPr>
          <w:color w:val="auto"/>
          <w:highlight w:val="none"/>
        </w:rPr>
      </w:pPr>
    </w:p>
    <w:p>
      <w:pPr>
        <w:adjustRightInd w:val="0"/>
        <w:snapToGrid w:val="0"/>
        <w:spacing w:line="360" w:lineRule="auto"/>
        <w:ind w:firstLine="420" w:firstLineChars="200"/>
        <w:rPr>
          <w:bCs/>
          <w:color w:val="auto"/>
          <w:kern w:val="0"/>
          <w:highlight w:val="none"/>
        </w:rPr>
      </w:pPr>
      <w:r>
        <w:rPr>
          <w:color w:val="auto"/>
          <w:highlight w:val="none"/>
        </w:rPr>
        <w:t>……</w:t>
      </w:r>
      <w:r>
        <w:rPr>
          <w:color w:val="auto"/>
          <w:highlight w:val="none"/>
        </w:rPr>
        <w:br w:type="page"/>
      </w:r>
    </w:p>
    <w:bookmarkEnd w:id="209"/>
    <w:p>
      <w:pPr>
        <w:spacing w:line="360" w:lineRule="auto"/>
        <w:outlineLvl w:val="0"/>
        <w:rPr>
          <w:rFonts w:hint="eastAsia" w:ascii="黑体" w:hAnsi="黑体" w:eastAsia="黑体" w:cs="黑体"/>
          <w:color w:val="auto"/>
          <w:sz w:val="24"/>
          <w:highlight w:val="none"/>
        </w:rPr>
      </w:pPr>
      <w:bookmarkStart w:id="210" w:name="_Toc9189314"/>
      <w:bookmarkStart w:id="211" w:name="_Toc9178536"/>
      <w:bookmarkStart w:id="212" w:name="_Toc21505411"/>
      <w:bookmarkStart w:id="213" w:name="_Toc80006107"/>
      <w:bookmarkStart w:id="214" w:name="_Toc80006217"/>
      <w:bookmarkStart w:id="215" w:name="_Toc9188898"/>
      <w:r>
        <w:rPr>
          <w:rFonts w:hint="eastAsia" w:ascii="黑体" w:hAnsi="黑体" w:eastAsia="黑体" w:cs="黑体"/>
          <w:color w:val="auto"/>
          <w:sz w:val="24"/>
          <w:highlight w:val="none"/>
        </w:rPr>
        <w:t>附件3-2“评定分离”工作规则</w:t>
      </w:r>
      <w:bookmarkEnd w:id="210"/>
      <w:bookmarkEnd w:id="211"/>
      <w:bookmarkEnd w:id="212"/>
      <w:bookmarkEnd w:id="213"/>
      <w:bookmarkEnd w:id="214"/>
      <w:bookmarkEnd w:id="215"/>
    </w:p>
    <w:p>
      <w:pPr>
        <w:pStyle w:val="4"/>
        <w:keepLines/>
        <w:widowControl w:val="0"/>
        <w:jc w:val="center"/>
        <w:rPr>
          <w:rFonts w:hint="eastAsia" w:eastAsia="黑体"/>
          <w:b w:val="0"/>
          <w:bCs w:val="0"/>
          <w:color w:val="auto"/>
          <w:sz w:val="28"/>
          <w:szCs w:val="28"/>
          <w:highlight w:val="none"/>
        </w:rPr>
      </w:pPr>
      <w:bookmarkStart w:id="216" w:name="_Toc80006218"/>
      <w:bookmarkStart w:id="217" w:name="_Toc21505412"/>
      <w:bookmarkStart w:id="218" w:name="_Toc9189315"/>
      <w:bookmarkStart w:id="219" w:name="_Toc80006108"/>
      <w:bookmarkStart w:id="220" w:name="_Toc9178537"/>
      <w:bookmarkStart w:id="221" w:name="_Toc9188899"/>
      <w:r>
        <w:rPr>
          <w:rFonts w:hint="eastAsia" w:eastAsia="黑体"/>
          <w:b w:val="0"/>
          <w:bCs w:val="0"/>
          <w:color w:val="auto"/>
          <w:sz w:val="28"/>
          <w:szCs w:val="28"/>
          <w:highlight w:val="none"/>
        </w:rPr>
        <w:t>“评定分离”工作规则</w:t>
      </w:r>
      <w:bookmarkEnd w:id="216"/>
      <w:bookmarkEnd w:id="217"/>
      <w:bookmarkEnd w:id="218"/>
      <w:bookmarkEnd w:id="219"/>
      <w:bookmarkEnd w:id="220"/>
      <w:bookmarkEnd w:id="221"/>
    </w:p>
    <w:p>
      <w:pPr>
        <w:spacing w:line="57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pPr>
        <w:spacing w:line="57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1.评定分离的具体方法</w:t>
      </w:r>
    </w:p>
    <w:p>
      <w:pPr>
        <w:spacing w:line="57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1.1票决法：通过票决方式确定中标人的方法。</w:t>
      </w:r>
    </w:p>
    <w:p>
      <w:pPr>
        <w:snapToGrid w:val="0"/>
        <w:spacing w:line="341"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1.2报价竞争法：通过比对投标报价确定中标人的方法。具体方法为：最低投标价法。</w:t>
      </w:r>
    </w:p>
    <w:p>
      <w:pPr>
        <w:spacing w:line="57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因素法：通过比对某些评审因素得分情况确定中标人的方法。具体方法为：方式一，施工组织设计和企业资信及履约能力两项得分之和由高至低排序确定；方式二，企业资信及履约能力得分由高至低排序确定。评审因素得分之和相同时，按照评标总得分的由高至低排序确定中标人。</w:t>
      </w:r>
    </w:p>
    <w:p>
      <w:pPr>
        <w:pStyle w:val="15"/>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2.具体要求</w:t>
      </w:r>
    </w:p>
    <w:p>
      <w:pPr>
        <w:pStyle w:val="15"/>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2.1招标人应当在编制招标文件的同时，研究制定相应的定标工作方案，不临时动议，不临时改变既定规则。</w:t>
      </w:r>
    </w:p>
    <w:p>
      <w:pPr>
        <w:pStyle w:val="15"/>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2.2采用评定分离法确定中标人的，应当在第二章投标人须知前附表中明确。</w:t>
      </w:r>
    </w:p>
    <w:p>
      <w:pPr>
        <w:pStyle w:val="15"/>
        <w:spacing w:line="360" w:lineRule="auto"/>
        <w:ind w:firstLine="420" w:firstLineChars="200"/>
        <w:rPr>
          <w:rFonts w:hint="eastAsia" w:ascii="宋体" w:hAnsi="宋体" w:cs="黑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 xml:space="preserve"> 评标委员会向招标人推荐不排序的中标候选人,应当按照相关规定进行公示。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r>
        <w:rPr>
          <w:rFonts w:hint="eastAsia" w:ascii="宋体" w:hAnsi="宋体" w:cs="宋体"/>
          <w:color w:val="auto"/>
          <w:szCs w:val="21"/>
          <w:highlight w:val="none"/>
        </w:rPr>
        <w:t>招标人应当在中标候选人公示期满</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确定中标人</w:t>
      </w:r>
      <w:r>
        <w:rPr>
          <w:rFonts w:hint="eastAsia" w:ascii="宋体" w:hAnsi="宋体" w:cs="宋体"/>
          <w:color w:val="auto"/>
          <w:szCs w:val="21"/>
          <w:highlight w:val="none"/>
        </w:rPr>
        <w:t>。</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定标会议召开前，招标人发现</w:t>
      </w:r>
      <w:r>
        <w:rPr>
          <w:rFonts w:hint="eastAsia" w:ascii="宋体" w:hAnsi="宋体" w:cs="宋体"/>
          <w:bCs/>
          <w:color w:val="auto"/>
          <w:szCs w:val="21"/>
          <w:highlight w:val="none"/>
        </w:rPr>
        <w:t>中标候选人的投标业绩、奖项等弄虚作假，或是经营、财务状况发生较大变化或者存在违法行为，可能影响其履约能力等情形的，应如实记录并作为定标参考。</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采用票决定标法的，应当组建定标委员会，定标委员会由5人或以上单数组成。定标委员会成员应当遵循择优与价格竞争的原则，独立行使投票权。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招标人应当保留所有必要的定标工作相关资料，以便追溯查询。</w:t>
      </w:r>
    </w:p>
    <w:p>
      <w:pPr>
        <w:rPr>
          <w:color w:val="auto"/>
          <w:highlight w:val="none"/>
        </w:rPr>
        <w:sectPr>
          <w:footerReference r:id="rId10" w:type="first"/>
          <w:footerReference r:id="rId9" w:type="default"/>
          <w:pgSz w:w="11906" w:h="16838"/>
          <w:pgMar w:top="1417" w:right="1440" w:bottom="1417" w:left="1440" w:header="850" w:footer="850" w:gutter="0"/>
          <w:pgNumType w:fmt="decimal"/>
          <w:cols w:space="720" w:num="1"/>
          <w:titlePg/>
          <w:docGrid w:type="lines" w:linePitch="315" w:charSpace="0"/>
        </w:sectPr>
      </w:pPr>
    </w:p>
    <w:p>
      <w:pPr>
        <w:pStyle w:val="2"/>
        <w:spacing w:before="0" w:after="0"/>
        <w:jc w:val="center"/>
        <w:rPr>
          <w:rFonts w:ascii="Times New Roman" w:hAnsi="Times New Roman"/>
          <w:b w:val="0"/>
          <w:color w:val="auto"/>
          <w:highlight w:val="none"/>
        </w:rPr>
      </w:pPr>
      <w:bookmarkStart w:id="222" w:name="_Toc80006109"/>
      <w:bookmarkStart w:id="223" w:name="_Toc80006219"/>
      <w:r>
        <w:rPr>
          <w:rFonts w:ascii="Times New Roman" w:hAnsi="Times New Roman" w:eastAsia="黑体"/>
          <w:b w:val="0"/>
          <w:bCs w:val="0"/>
          <w:color w:val="auto"/>
          <w:highlight w:val="none"/>
        </w:rPr>
        <w:t>第四章  合同条款及格式</w:t>
      </w:r>
      <w:bookmarkEnd w:id="222"/>
      <w:bookmarkEnd w:id="223"/>
      <w:bookmarkStart w:id="224" w:name="_Toc337558727"/>
      <w:r>
        <w:rPr>
          <w:rFonts w:ascii="Times New Roman" w:hAnsi="Times New Roman"/>
          <w:b w:val="0"/>
          <w:color w:val="auto"/>
          <w:highlight w:val="none"/>
        </w:rPr>
        <w:t xml:space="preserve"> </w:t>
      </w:r>
    </w:p>
    <w:p>
      <w:pPr>
        <w:spacing w:line="480" w:lineRule="exact"/>
        <w:ind w:firstLine="420" w:firstLineChars="150"/>
        <w:rPr>
          <w:color w:val="auto"/>
          <w:sz w:val="28"/>
          <w:szCs w:val="28"/>
          <w:highlight w:val="none"/>
          <w:lang w:val="zh-CN"/>
        </w:rPr>
      </w:pPr>
    </w:p>
    <w:p>
      <w:pPr>
        <w:spacing w:line="480" w:lineRule="exact"/>
        <w:ind w:firstLine="315" w:firstLineChars="150"/>
        <w:rPr>
          <w:color w:val="auto"/>
          <w:szCs w:val="21"/>
          <w:highlight w:val="none"/>
        </w:rPr>
      </w:pPr>
      <w:r>
        <w:rPr>
          <w:rFonts w:hint="eastAsia"/>
          <w:color w:val="auto"/>
          <w:szCs w:val="21"/>
          <w:highlight w:val="none"/>
        </w:rPr>
        <w:t>说明：</w:t>
      </w:r>
      <w:r>
        <w:rPr>
          <w:color w:val="auto"/>
          <w:szCs w:val="21"/>
          <w:highlight w:val="none"/>
        </w:rPr>
        <w:t>合同条款及格式</w:t>
      </w:r>
      <w:r>
        <w:rPr>
          <w:rFonts w:hint="eastAsia"/>
          <w:color w:val="auto"/>
          <w:szCs w:val="21"/>
          <w:highlight w:val="none"/>
        </w:rPr>
        <w:t>应当作为</w:t>
      </w:r>
      <w:r>
        <w:rPr>
          <w:color w:val="auto"/>
          <w:szCs w:val="21"/>
          <w:highlight w:val="none"/>
        </w:rPr>
        <w:t>招标文件的组成部分，</w:t>
      </w:r>
      <w:r>
        <w:rPr>
          <w:rFonts w:hint="eastAsia" w:ascii="宋体" w:hAnsi="宋体" w:cs="宋体"/>
          <w:color w:val="auto"/>
          <w:szCs w:val="21"/>
          <w:highlight w:val="none"/>
        </w:rPr>
        <w:t>合同条款及格式推荐采用</w:t>
      </w:r>
      <w:r>
        <w:rPr>
          <w:color w:val="auto"/>
          <w:szCs w:val="21"/>
          <w:highlight w:val="none"/>
        </w:rPr>
        <w:t>《建设工程施工合同（示范文本）》（GF-2017-0201）。</w:t>
      </w:r>
    </w:p>
    <w:p>
      <w:pPr>
        <w:spacing w:line="480" w:lineRule="exact"/>
        <w:jc w:val="center"/>
        <w:rPr>
          <w:color w:val="auto"/>
          <w:sz w:val="24"/>
          <w:highlight w:val="none"/>
        </w:rPr>
      </w:pPr>
    </w:p>
    <w:bookmarkEnd w:id="224"/>
    <w:p>
      <w:pPr>
        <w:spacing w:line="480" w:lineRule="exact"/>
        <w:jc w:val="center"/>
        <w:rPr>
          <w:color w:val="auto"/>
          <w:sz w:val="32"/>
          <w:szCs w:val="32"/>
          <w:highlight w:val="none"/>
        </w:rPr>
      </w:pPr>
      <w:bookmarkStart w:id="225" w:name="_Toc351203632"/>
    </w:p>
    <w:p>
      <w:pPr>
        <w:spacing w:line="480" w:lineRule="exact"/>
        <w:jc w:val="center"/>
        <w:rPr>
          <w:color w:val="auto"/>
          <w:sz w:val="32"/>
          <w:szCs w:val="32"/>
          <w:highlight w:val="none"/>
        </w:rPr>
      </w:pPr>
    </w:p>
    <w:p>
      <w:pPr>
        <w:pStyle w:val="3"/>
        <w:spacing w:line="360" w:lineRule="auto"/>
        <w:jc w:val="center"/>
        <w:rPr>
          <w:rFonts w:ascii="Times New Roman" w:hAnsi="Times New Roman" w:eastAsia="黑体"/>
          <w:b w:val="0"/>
          <w:bCs w:val="0"/>
          <w:color w:val="auto"/>
          <w:sz w:val="30"/>
          <w:highlight w:val="none"/>
        </w:rPr>
      </w:pPr>
      <w:bookmarkStart w:id="226" w:name="_Toc296503025"/>
      <w:bookmarkStart w:id="227" w:name="_Toc80006220"/>
      <w:bookmarkStart w:id="228" w:name="_Toc296890982"/>
      <w:bookmarkStart w:id="229" w:name="_Toc351203480"/>
      <w:bookmarkStart w:id="230" w:name="_Toc80006110"/>
      <w:r>
        <w:rPr>
          <w:rFonts w:ascii="Times New Roman" w:hAnsi="Times New Roman" w:eastAsia="黑体"/>
          <w:b w:val="0"/>
          <w:bCs w:val="0"/>
          <w:color w:val="auto"/>
          <w:sz w:val="30"/>
          <w:highlight w:val="none"/>
        </w:rPr>
        <w:t>第一</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合同协议书</w:t>
      </w:r>
      <w:bookmarkEnd w:id="226"/>
      <w:bookmarkEnd w:id="227"/>
      <w:bookmarkEnd w:id="228"/>
      <w:bookmarkEnd w:id="229"/>
      <w:bookmarkEnd w:id="230"/>
    </w:p>
    <w:p>
      <w:pPr>
        <w:spacing w:line="480" w:lineRule="exact"/>
        <w:rPr>
          <w:rFonts w:hint="eastAsia" w:ascii="宋体" w:hAnsi="宋体"/>
          <w:color w:val="auto"/>
          <w:sz w:val="24"/>
          <w:highlight w:val="none"/>
        </w:rPr>
      </w:pPr>
    </w:p>
    <w:p>
      <w:pPr>
        <w:spacing w:line="480" w:lineRule="exact"/>
        <w:rPr>
          <w:rFonts w:ascii="宋体" w:hAnsi="宋体"/>
          <w:color w:val="auto"/>
          <w:szCs w:val="21"/>
          <w:highlight w:val="none"/>
          <w:u w:val="single"/>
        </w:rPr>
      </w:pPr>
      <w:r>
        <w:rPr>
          <w:rFonts w:ascii="宋体" w:hAnsi="宋体"/>
          <w:color w:val="auto"/>
          <w:szCs w:val="21"/>
          <w:highlight w:val="none"/>
        </w:rPr>
        <w:t>发包人（全称）：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480" w:lineRule="exact"/>
        <w:rPr>
          <w:rFonts w:ascii="宋体" w:hAnsi="宋体"/>
          <w:color w:val="auto"/>
          <w:szCs w:val="21"/>
          <w:highlight w:val="none"/>
          <w:u w:val="single"/>
        </w:rPr>
      </w:pPr>
      <w:r>
        <w:rPr>
          <w:rFonts w:ascii="宋体" w:hAnsi="宋体"/>
          <w:color w:val="auto"/>
          <w:szCs w:val="21"/>
          <w:highlight w:val="none"/>
        </w:rPr>
        <w:t>承包人（全称）：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》、《中华人民共和国建筑法》及有关法律规定，遵循平等、自愿、公平和诚实信用的原则，双方就</w:t>
      </w:r>
      <w:r>
        <w:rPr>
          <w:rFonts w:ascii="宋体" w:hAnsi="宋体"/>
          <w:color w:val="auto"/>
          <w:szCs w:val="21"/>
          <w:highlight w:val="none"/>
          <w:u w:val="single"/>
        </w:rPr>
        <w:t xml:space="preserve">                       </w:t>
      </w:r>
      <w:r>
        <w:rPr>
          <w:rFonts w:ascii="宋体" w:hAnsi="宋体"/>
          <w:color w:val="auto"/>
          <w:szCs w:val="21"/>
          <w:highlight w:val="none"/>
        </w:rPr>
        <w:t>工程施工及有关事项协商一致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pPr>
        <w:spacing w:line="480" w:lineRule="exact"/>
        <w:ind w:firstLine="420" w:firstLineChars="200"/>
        <w:rPr>
          <w:rFonts w:ascii="宋体" w:hAnsi="宋体"/>
          <w:color w:val="auto"/>
          <w:szCs w:val="21"/>
          <w:highlight w:val="none"/>
        </w:rPr>
      </w:pPr>
      <w:bookmarkStart w:id="231" w:name="_Toc351203481"/>
      <w:r>
        <w:rPr>
          <w:rFonts w:ascii="宋体" w:hAnsi="宋体"/>
          <w:color w:val="auto"/>
          <w:szCs w:val="21"/>
          <w:highlight w:val="none"/>
        </w:rPr>
        <w:t>一、工程概况</w:t>
      </w:r>
      <w:bookmarkEnd w:id="231"/>
    </w:p>
    <w:p>
      <w:pPr>
        <w:spacing w:line="48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pPr>
        <w:spacing w:line="480" w:lineRule="exact"/>
        <w:ind w:firstLine="411" w:firstLineChars="196"/>
        <w:rPr>
          <w:rFonts w:hint="eastAsia" w:ascii="宋体" w:hAnsi="宋体"/>
          <w:bCs/>
          <w:color w:val="auto"/>
          <w:szCs w:val="21"/>
          <w:highlight w:val="none"/>
        </w:rPr>
      </w:pPr>
      <w:r>
        <w:rPr>
          <w:rFonts w:ascii="宋体" w:hAnsi="宋体"/>
          <w:bCs/>
          <w:color w:val="auto"/>
          <w:szCs w:val="21"/>
          <w:highlight w:val="none"/>
        </w:rPr>
        <w:t>4.资金来源：</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pPr>
        <w:spacing w:line="480" w:lineRule="exact"/>
        <w:ind w:firstLine="411" w:firstLineChars="196"/>
        <w:rPr>
          <w:rFonts w:hint="eastAsia" w:ascii="宋体" w:hAnsi="宋体"/>
          <w:bCs/>
          <w:color w:val="auto"/>
          <w:szCs w:val="21"/>
          <w:highlight w:val="none"/>
        </w:rPr>
      </w:pPr>
      <w:r>
        <w:rPr>
          <w:rFonts w:hint="eastAsia" w:ascii="宋体" w:hAnsi="宋体"/>
          <w:bCs/>
          <w:color w:val="auto"/>
          <w:szCs w:val="21"/>
          <w:highlight w:val="none"/>
        </w:rPr>
        <w:t>5.工程内容：</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pPr>
        <w:spacing w:line="480" w:lineRule="exact"/>
        <w:ind w:firstLine="411" w:firstLineChars="196"/>
        <w:rPr>
          <w:rFonts w:ascii="宋体" w:hAnsi="宋体"/>
          <w:bCs/>
          <w:color w:val="auto"/>
          <w:szCs w:val="21"/>
          <w:highlight w:val="none"/>
        </w:rPr>
      </w:pPr>
      <w:r>
        <w:rPr>
          <w:rFonts w:hint="eastAsia" w:ascii="宋体" w:hAnsi="宋体"/>
          <w:color w:val="auto"/>
          <w:szCs w:val="21"/>
          <w:highlight w:val="none"/>
        </w:rPr>
        <w:t>群体工程应附《</w:t>
      </w:r>
      <w:r>
        <w:rPr>
          <w:rFonts w:ascii="宋体" w:hAnsi="宋体"/>
          <w:color w:val="auto"/>
          <w:szCs w:val="21"/>
          <w:highlight w:val="none"/>
        </w:rPr>
        <w:t>承包人承揽工程项目一览表</w:t>
      </w:r>
      <w:r>
        <w:rPr>
          <w:rFonts w:hint="eastAsia" w:ascii="宋体" w:hAnsi="宋体"/>
          <w:color w:val="auto"/>
          <w:szCs w:val="21"/>
          <w:highlight w:val="none"/>
        </w:rPr>
        <w:t>》（附件1）。</w:t>
      </w:r>
    </w:p>
    <w:p>
      <w:pPr>
        <w:spacing w:line="480" w:lineRule="exact"/>
        <w:ind w:firstLine="411" w:firstLineChars="196"/>
        <w:rPr>
          <w:rFonts w:ascii="宋体" w:hAnsi="宋体"/>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.工程承包范围：</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2" w:name="_Toc351203482"/>
      <w:r>
        <w:rPr>
          <w:rFonts w:ascii="宋体" w:hAnsi="宋体"/>
          <w:color w:val="auto"/>
          <w:szCs w:val="21"/>
          <w:highlight w:val="none"/>
        </w:rPr>
        <w:t>二、合同工期</w:t>
      </w:r>
      <w:bookmarkEnd w:id="232"/>
    </w:p>
    <w:p>
      <w:pPr>
        <w:spacing w:line="480" w:lineRule="exact"/>
        <w:ind w:firstLine="459"/>
        <w:rPr>
          <w:rFonts w:ascii="宋体" w:hAnsi="宋体"/>
          <w:color w:val="auto"/>
          <w:szCs w:val="21"/>
          <w:highlight w:val="none"/>
        </w:rPr>
      </w:pPr>
      <w:r>
        <w:rPr>
          <w:rFonts w:ascii="宋体" w:hAnsi="宋体"/>
          <w:color w:val="auto"/>
          <w:szCs w:val="21"/>
          <w:highlight w:val="none"/>
        </w:rPr>
        <w:t>计划开工日期：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pPr>
        <w:spacing w:line="480" w:lineRule="exact"/>
        <w:ind w:firstLine="459"/>
        <w:rPr>
          <w:rFonts w:ascii="宋体" w:hAnsi="宋体"/>
          <w:color w:val="auto"/>
          <w:szCs w:val="21"/>
          <w:highlight w:val="none"/>
        </w:rPr>
      </w:pPr>
      <w:r>
        <w:rPr>
          <w:rFonts w:ascii="宋体" w:hAnsi="宋体"/>
          <w:color w:val="auto"/>
          <w:szCs w:val="21"/>
          <w:highlight w:val="none"/>
        </w:rPr>
        <w:t>计划竣工日期：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pPr>
        <w:spacing w:line="480" w:lineRule="exact"/>
        <w:ind w:firstLine="459"/>
        <w:rPr>
          <w:rFonts w:ascii="宋体" w:hAnsi="宋体"/>
          <w:color w:val="auto"/>
          <w:szCs w:val="21"/>
          <w:highlight w:val="none"/>
        </w:rPr>
      </w:pPr>
      <w:r>
        <w:rPr>
          <w:rFonts w:ascii="宋体" w:hAnsi="宋体"/>
          <w:color w:val="auto"/>
          <w:szCs w:val="21"/>
          <w:highlight w:val="none"/>
        </w:rPr>
        <w:t>工期总日历天数：</w:t>
      </w:r>
      <w:r>
        <w:rPr>
          <w:rFonts w:ascii="宋体" w:hAnsi="宋体"/>
          <w:color w:val="auto"/>
          <w:szCs w:val="21"/>
          <w:highlight w:val="none"/>
          <w:u w:val="single"/>
        </w:rPr>
        <w:t></w:t>
      </w:r>
      <w:r>
        <w:rPr>
          <w:rFonts w:ascii="宋体" w:hAnsi="宋体"/>
          <w:color w:val="auto"/>
          <w:szCs w:val="21"/>
          <w:highlight w:val="none"/>
        </w:rPr>
        <w:t>天。工期总日历天数与根据前述计划开竣工日期计算的工期天数不一致的，以工期总日历天数为准。</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3" w:name="_Toc351203483"/>
      <w:r>
        <w:rPr>
          <w:rFonts w:ascii="宋体" w:hAnsi="宋体"/>
          <w:color w:val="auto"/>
          <w:szCs w:val="21"/>
          <w:highlight w:val="none"/>
        </w:rPr>
        <w:t>三、质量标准</w:t>
      </w:r>
      <w:bookmarkEnd w:id="233"/>
    </w:p>
    <w:p>
      <w:pPr>
        <w:spacing w:line="480" w:lineRule="exact"/>
        <w:ind w:firstLine="459"/>
        <w:rPr>
          <w:rFonts w:ascii="宋体" w:hAnsi="宋体"/>
          <w:color w:val="auto"/>
          <w:szCs w:val="21"/>
          <w:highlight w:val="none"/>
        </w:rPr>
      </w:pPr>
      <w:r>
        <w:rPr>
          <w:rFonts w:ascii="宋体" w:hAnsi="宋体"/>
          <w:color w:val="auto"/>
          <w:szCs w:val="21"/>
          <w:highlight w:val="none"/>
        </w:rPr>
        <w:t>工程质量符合</w:t>
      </w:r>
      <w:r>
        <w:rPr>
          <w:rFonts w:ascii="宋体" w:hAnsi="宋体"/>
          <w:color w:val="auto"/>
          <w:szCs w:val="21"/>
          <w:highlight w:val="none"/>
          <w:u w:val="single"/>
        </w:rPr>
        <w:t></w:t>
      </w:r>
      <w:r>
        <w:rPr>
          <w:rFonts w:ascii="宋体" w:hAnsi="宋体"/>
          <w:color w:val="auto"/>
          <w:szCs w:val="21"/>
          <w:highlight w:val="none"/>
        </w:rPr>
        <w:t>标准。</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4" w:name="_Toc351203484"/>
      <w:r>
        <w:rPr>
          <w:rFonts w:ascii="宋体" w:hAnsi="宋体"/>
          <w:color w:val="auto"/>
          <w:szCs w:val="21"/>
          <w:highlight w:val="none"/>
        </w:rPr>
        <w:t>四、签约合同价与合同价格形式</w:t>
      </w:r>
      <w:bookmarkEnd w:id="234"/>
      <w:r>
        <w:rPr>
          <w:rFonts w:ascii="宋体" w:hAnsi="宋体"/>
          <w:color w:val="auto"/>
          <w:szCs w:val="21"/>
          <w:highlight w:val="none"/>
        </w:rPr>
        <w:tab/>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1.签约合同价为：</w:t>
      </w:r>
    </w:p>
    <w:p>
      <w:pPr>
        <w:spacing w:line="48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其中：</w:t>
      </w:r>
    </w:p>
    <w:p>
      <w:pPr>
        <w:spacing w:line="480" w:lineRule="exact"/>
        <w:ind w:firstLine="420" w:firstLineChars="200"/>
        <w:rPr>
          <w:rFonts w:hint="eastAsia" w:ascii="宋体" w:hAnsi="宋体"/>
          <w:color w:val="auto"/>
          <w:kern w:val="0"/>
          <w:highlight w:val="none"/>
        </w:rPr>
      </w:pPr>
      <w:r>
        <w:rPr>
          <w:rFonts w:ascii="宋体" w:hAnsi="宋体"/>
          <w:color w:val="auto"/>
          <w:szCs w:val="21"/>
          <w:highlight w:val="none"/>
        </w:rPr>
        <w:t>（1）</w:t>
      </w:r>
      <w:r>
        <w:rPr>
          <w:rFonts w:hint="eastAsia" w:ascii="宋体" w:hAnsi="宋体"/>
          <w:color w:val="auto"/>
          <w:kern w:val="0"/>
          <w:highlight w:val="none"/>
        </w:rPr>
        <w:t>绿色施工安全防护措施项目费：人民币（大写）</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（2）材料和工程设备暂估价金额：</w:t>
      </w:r>
    </w:p>
    <w:p>
      <w:pPr>
        <w:spacing w:line="48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（3）专业工程暂估价金额：</w:t>
      </w:r>
    </w:p>
    <w:p>
      <w:pPr>
        <w:spacing w:line="48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（4）暂列金额：</w:t>
      </w:r>
    </w:p>
    <w:p>
      <w:pPr>
        <w:spacing w:line="48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5" w:name="_Toc351203485"/>
      <w:r>
        <w:rPr>
          <w:rFonts w:ascii="宋体" w:hAnsi="宋体"/>
          <w:color w:val="auto"/>
          <w:szCs w:val="21"/>
          <w:highlight w:val="none"/>
        </w:rPr>
        <w:t>五、</w:t>
      </w:r>
      <w:bookmarkEnd w:id="235"/>
      <w:r>
        <w:rPr>
          <w:rFonts w:ascii="宋体" w:hAnsi="宋体"/>
          <w:color w:val="auto"/>
          <w:szCs w:val="21"/>
          <w:highlight w:val="none"/>
        </w:rPr>
        <w:t>项目经理</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6" w:name="_Toc351203486"/>
      <w:r>
        <w:rPr>
          <w:rFonts w:ascii="宋体" w:hAnsi="宋体"/>
          <w:color w:val="auto"/>
          <w:szCs w:val="21"/>
          <w:highlight w:val="none"/>
        </w:rPr>
        <w:t>六、合同文件构成</w:t>
      </w:r>
      <w:bookmarkEnd w:id="236"/>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（1）中标通知书（如果有）；</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（2）投标函及其附录（如果有）； </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（6）图纸；</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（7）已标价工程量清单或预算书；</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7" w:name="_Toc351203487"/>
      <w:r>
        <w:rPr>
          <w:rFonts w:ascii="宋体" w:hAnsi="宋体"/>
          <w:color w:val="auto"/>
          <w:szCs w:val="21"/>
          <w:highlight w:val="none"/>
        </w:rPr>
        <w:t>七、承诺</w:t>
      </w:r>
      <w:bookmarkEnd w:id="237"/>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3.发包人和承包人通过招投标形式签订合同的，双方理解并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pPr>
        <w:spacing w:line="480" w:lineRule="exact"/>
        <w:rPr>
          <w:rFonts w:ascii="宋体" w:hAnsi="宋体"/>
          <w:color w:val="auto"/>
          <w:szCs w:val="21"/>
          <w:highlight w:val="none"/>
        </w:rPr>
      </w:pPr>
      <w:bookmarkStart w:id="238" w:name="_Toc351203488"/>
      <w:r>
        <w:rPr>
          <w:rFonts w:hint="eastAsia" w:ascii="宋体" w:hAnsi="宋体"/>
          <w:color w:val="auto"/>
          <w:szCs w:val="21"/>
          <w:highlight w:val="none"/>
        </w:rPr>
        <w:t xml:space="preserve">    </w:t>
      </w:r>
      <w:r>
        <w:rPr>
          <w:rFonts w:ascii="宋体" w:hAnsi="宋体"/>
          <w:color w:val="auto"/>
          <w:szCs w:val="21"/>
          <w:highlight w:val="none"/>
        </w:rPr>
        <w:t>八、词语含义</w:t>
      </w:r>
      <w:bookmarkEnd w:id="238"/>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9" w:name="_Toc351203489"/>
      <w:r>
        <w:rPr>
          <w:rFonts w:ascii="宋体" w:hAnsi="宋体"/>
          <w:color w:val="auto"/>
          <w:szCs w:val="21"/>
          <w:highlight w:val="none"/>
        </w:rPr>
        <w:t>九、签订时间</w:t>
      </w:r>
      <w:bookmarkEnd w:id="239"/>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日签订。</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40" w:name="_Toc351203490"/>
      <w:r>
        <w:rPr>
          <w:rFonts w:ascii="宋体" w:hAnsi="宋体"/>
          <w:color w:val="auto"/>
          <w:szCs w:val="21"/>
          <w:highlight w:val="none"/>
        </w:rPr>
        <w:t>十、签订地点</w:t>
      </w:r>
      <w:bookmarkEnd w:id="240"/>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41" w:name="_Toc351203491"/>
      <w:r>
        <w:rPr>
          <w:rFonts w:ascii="宋体" w:hAnsi="宋体"/>
          <w:color w:val="auto"/>
          <w:szCs w:val="21"/>
          <w:highlight w:val="none"/>
        </w:rPr>
        <w:t>十一、补充协议</w:t>
      </w:r>
      <w:bookmarkEnd w:id="241"/>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42" w:name="_Toc351203492"/>
      <w:r>
        <w:rPr>
          <w:rFonts w:ascii="宋体" w:hAnsi="宋体"/>
          <w:color w:val="auto"/>
          <w:szCs w:val="21"/>
          <w:highlight w:val="none"/>
        </w:rPr>
        <w:t>十二、合同生效</w:t>
      </w:r>
      <w:bookmarkEnd w:id="242"/>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43" w:name="_Toc351203493"/>
      <w:r>
        <w:rPr>
          <w:rFonts w:ascii="宋体" w:hAnsi="宋体"/>
          <w:color w:val="auto"/>
          <w:szCs w:val="21"/>
          <w:highlight w:val="none"/>
        </w:rPr>
        <w:t>十三、合同份数</w:t>
      </w:r>
      <w:bookmarkEnd w:id="243"/>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pPr>
        <w:spacing w:line="480" w:lineRule="exact"/>
        <w:rPr>
          <w:rFonts w:hint="eastAsia" w:ascii="宋体" w:hAnsi="宋体"/>
          <w:bCs/>
          <w:color w:val="auto"/>
          <w:szCs w:val="21"/>
          <w:highlight w:val="none"/>
        </w:rPr>
      </w:pPr>
    </w:p>
    <w:p>
      <w:pPr>
        <w:spacing w:line="480" w:lineRule="exact"/>
        <w:rPr>
          <w:rFonts w:hint="eastAsia" w:ascii="宋体" w:hAnsi="宋体"/>
          <w:color w:val="auto"/>
          <w:szCs w:val="21"/>
          <w:highlight w:val="none"/>
        </w:rPr>
      </w:pPr>
    </w:p>
    <w:p>
      <w:pPr>
        <w:spacing w:line="480" w:lineRule="exact"/>
        <w:rPr>
          <w:rFonts w:hint="eastAsia" w:ascii="宋体" w:hAnsi="宋体"/>
          <w:color w:val="auto"/>
          <w:szCs w:val="21"/>
          <w:highlight w:val="none"/>
          <w:u w:val="single"/>
        </w:rPr>
      </w:pPr>
      <w:r>
        <w:rPr>
          <w:rFonts w:ascii="宋体" w:hAnsi="宋体"/>
          <w:color w:val="auto"/>
          <w:szCs w:val="21"/>
          <w:highlight w:val="none"/>
        </w:rPr>
        <w:t>发包人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ascii="宋体" w:hAnsi="宋体"/>
          <w:color w:val="auto"/>
          <w:szCs w:val="21"/>
          <w:highlight w:val="none"/>
        </w:rPr>
        <w:t>承包人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p>
    <w:p>
      <w:pPr>
        <w:spacing w:line="480" w:lineRule="exact"/>
        <w:rPr>
          <w:rFonts w:hint="eastAsia" w:ascii="宋体" w:hAnsi="宋体"/>
          <w:color w:val="auto"/>
          <w:szCs w:val="21"/>
          <w:highlight w:val="none"/>
        </w:rPr>
      </w:pPr>
      <w:r>
        <w:rPr>
          <w:rFonts w:hint="eastAsia" w:ascii="宋体" w:hAnsi="宋体"/>
          <w:color w:val="auto"/>
          <w:szCs w:val="21"/>
          <w:highlight w:val="none"/>
        </w:rPr>
        <w:t>法定代表人或其委托代理人：              法定代表人或其委托代理人：</w:t>
      </w:r>
    </w:p>
    <w:p>
      <w:pPr>
        <w:spacing w:line="480" w:lineRule="exact"/>
        <w:ind w:firstLine="1890" w:firstLineChars="900"/>
        <w:rPr>
          <w:rFonts w:hint="eastAsia" w:ascii="宋体" w:hAnsi="宋体"/>
          <w:color w:val="auto"/>
          <w:szCs w:val="21"/>
          <w:highlight w:val="none"/>
        </w:rPr>
      </w:pPr>
      <w:r>
        <w:rPr>
          <w:rFonts w:hint="eastAsia" w:ascii="宋体" w:hAnsi="宋体"/>
          <w:color w:val="auto"/>
          <w:szCs w:val="21"/>
          <w:highlight w:val="none"/>
        </w:rPr>
        <w:t>（签字）                                （签字）</w:t>
      </w:r>
    </w:p>
    <w:p>
      <w:pPr>
        <w:tabs>
          <w:tab w:val="left" w:pos="4410"/>
        </w:tabs>
        <w:spacing w:line="480" w:lineRule="exact"/>
        <w:rPr>
          <w:rFonts w:ascii="宋体" w:hAnsi="宋体"/>
          <w:color w:val="auto"/>
          <w:szCs w:val="21"/>
          <w:highlight w:val="none"/>
        </w:rPr>
      </w:pPr>
      <w:r>
        <w:rPr>
          <w:rFonts w:hint="eastAsia" w:ascii="宋体" w:hAnsi="宋体"/>
          <w:color w:val="auto"/>
          <w:szCs w:val="21"/>
          <w:highlight w:val="none"/>
        </w:rPr>
        <w:t>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地  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ascii="宋体" w:hAnsi="宋体"/>
          <w:color w:val="auto"/>
          <w:szCs w:val="21"/>
          <w:highlight w:val="none"/>
          <w:u w:val="single"/>
        </w:rPr>
        <w:t xml:space="preserve">   </w:t>
      </w:r>
    </w:p>
    <w:p>
      <w:pPr>
        <w:spacing w:line="480" w:lineRule="exact"/>
        <w:jc w:val="left"/>
        <w:rPr>
          <w:rFonts w:hint="eastAsia" w:ascii="宋体" w:hAnsi="宋体"/>
          <w:color w:val="auto"/>
          <w:szCs w:val="21"/>
          <w:highlight w:val="none"/>
          <w:u w:val="single"/>
        </w:rPr>
      </w:pPr>
      <w:r>
        <w:rPr>
          <w:rFonts w:ascii="宋体" w:hAnsi="宋体"/>
          <w:color w:val="auto"/>
          <w:szCs w:val="21"/>
          <w:highlight w:val="none"/>
        </w:rPr>
        <w:t>账  号：</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pStyle w:val="3"/>
        <w:spacing w:line="360" w:lineRule="auto"/>
        <w:jc w:val="center"/>
        <w:rPr>
          <w:rFonts w:hint="eastAsia" w:ascii="Times New Roman" w:hAnsi="Times New Roman" w:eastAsia="黑体"/>
          <w:b w:val="0"/>
          <w:bCs w:val="0"/>
          <w:color w:val="auto"/>
          <w:sz w:val="30"/>
          <w:highlight w:val="none"/>
        </w:rPr>
      </w:pPr>
      <w:r>
        <w:rPr>
          <w:rFonts w:ascii="宋体" w:hAnsi="宋体"/>
          <w:b w:val="0"/>
          <w:color w:val="auto"/>
          <w:sz w:val="21"/>
          <w:szCs w:val="21"/>
          <w:highlight w:val="none"/>
        </w:rPr>
        <w:br w:type="page"/>
      </w:r>
      <w:bookmarkStart w:id="244" w:name="_Toc80006221"/>
      <w:bookmarkStart w:id="245" w:name="_Toc80006111"/>
      <w:bookmarkStart w:id="246" w:name="_Toc351203494"/>
      <w:r>
        <w:rPr>
          <w:rFonts w:ascii="Times New Roman" w:hAnsi="Times New Roman" w:eastAsia="黑体"/>
          <w:b w:val="0"/>
          <w:bCs w:val="0"/>
          <w:color w:val="auto"/>
          <w:sz w:val="30"/>
          <w:highlight w:val="none"/>
        </w:rPr>
        <w:t>第二</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通用合同条款</w:t>
      </w:r>
      <w:bookmarkEnd w:id="244"/>
      <w:bookmarkEnd w:id="245"/>
      <w:bookmarkEnd w:id="246"/>
    </w:p>
    <w:p>
      <w:pPr>
        <w:spacing w:line="480" w:lineRule="exact"/>
        <w:ind w:firstLine="560" w:firstLineChars="200"/>
        <w:rPr>
          <w:rFonts w:hint="eastAsia" w:ascii="宋体" w:hAnsi="宋体"/>
          <w:color w:val="auto"/>
          <w:sz w:val="28"/>
          <w:szCs w:val="28"/>
          <w:highlight w:val="none"/>
        </w:rPr>
      </w:pPr>
    </w:p>
    <w:p>
      <w:pPr>
        <w:spacing w:line="4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说明：“通用合同条款”采用《建设工程施工合同（示范文本）》（GF-2017-0201）的“通用合同条款”。</w:t>
      </w:r>
    </w:p>
    <w:p>
      <w:pPr>
        <w:spacing w:line="480" w:lineRule="exact"/>
        <w:jc w:val="center"/>
        <w:rPr>
          <w:rFonts w:hint="eastAsia"/>
          <w:color w:val="auto"/>
          <w:sz w:val="32"/>
          <w:szCs w:val="32"/>
          <w:highlight w:val="none"/>
        </w:rPr>
      </w:pPr>
    </w:p>
    <w:p>
      <w:pPr>
        <w:pStyle w:val="3"/>
        <w:spacing w:line="360" w:lineRule="auto"/>
        <w:jc w:val="center"/>
        <w:rPr>
          <w:rFonts w:ascii="Times New Roman" w:hAnsi="Times New Roman" w:eastAsia="黑体"/>
          <w:b w:val="0"/>
          <w:bCs w:val="0"/>
          <w:color w:val="auto"/>
          <w:sz w:val="30"/>
          <w:highlight w:val="none"/>
        </w:rPr>
      </w:pPr>
      <w:r>
        <w:rPr>
          <w:b w:val="0"/>
          <w:color w:val="auto"/>
          <w:highlight w:val="none"/>
        </w:rPr>
        <w:br w:type="page"/>
      </w:r>
      <w:bookmarkStart w:id="247" w:name="_Toc80006222"/>
      <w:bookmarkStart w:id="248" w:name="_Toc80006112"/>
      <w:r>
        <w:rPr>
          <w:rFonts w:ascii="Times New Roman" w:hAnsi="Times New Roman" w:eastAsia="黑体"/>
          <w:b w:val="0"/>
          <w:bCs w:val="0"/>
          <w:color w:val="auto"/>
          <w:sz w:val="30"/>
          <w:highlight w:val="none"/>
        </w:rPr>
        <w:t>第三</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w:t>
      </w:r>
      <w:r>
        <w:rPr>
          <w:rFonts w:hint="eastAsia" w:ascii="Times New Roman" w:hAnsi="Times New Roman" w:eastAsia="黑体"/>
          <w:b w:val="0"/>
          <w:bCs w:val="0"/>
          <w:color w:val="auto"/>
          <w:sz w:val="30"/>
          <w:highlight w:val="none"/>
        </w:rPr>
        <w:t>专用合同条款</w:t>
      </w:r>
      <w:bookmarkEnd w:id="247"/>
      <w:bookmarkEnd w:id="248"/>
    </w:p>
    <w:p>
      <w:pPr>
        <w:spacing w:line="480" w:lineRule="exact"/>
        <w:rPr>
          <w:rFonts w:ascii="宋体" w:hAnsi="宋体"/>
          <w:color w:val="auto"/>
          <w:szCs w:val="21"/>
          <w:highlight w:val="none"/>
        </w:rPr>
      </w:pPr>
      <w:bookmarkStart w:id="249" w:name="_Toc351203633"/>
      <w:r>
        <w:rPr>
          <w:rFonts w:ascii="宋体" w:hAnsi="宋体"/>
          <w:color w:val="auto"/>
          <w:szCs w:val="21"/>
          <w:highlight w:val="none"/>
        </w:rPr>
        <w:t>1</w:t>
      </w:r>
      <w:bookmarkStart w:id="250" w:name="_Toc292559866"/>
      <w:bookmarkStart w:id="251" w:name="_Toc296346657"/>
      <w:bookmarkStart w:id="252" w:name="_Toc292559361"/>
      <w:bookmarkStart w:id="253" w:name="_Toc296891196"/>
      <w:bookmarkStart w:id="254" w:name="_Toc296890984"/>
      <w:bookmarkStart w:id="255" w:name="_Toc296944495"/>
      <w:bookmarkStart w:id="256" w:name="_Toc296347155"/>
      <w:bookmarkStart w:id="257" w:name="_Toc297120456"/>
      <w:bookmarkStart w:id="258" w:name="_Toc296503156"/>
      <w:bookmarkStart w:id="259" w:name="_Toc297048342"/>
      <w:r>
        <w:rPr>
          <w:rFonts w:ascii="宋体" w:hAnsi="宋体"/>
          <w:color w:val="auto"/>
          <w:szCs w:val="21"/>
          <w:highlight w:val="none"/>
        </w:rPr>
        <w:t>. 一般约定</w:t>
      </w:r>
      <w:bookmarkEnd w:id="249"/>
    </w:p>
    <w:bookmarkEnd w:id="250"/>
    <w:bookmarkEnd w:id="251"/>
    <w:bookmarkEnd w:id="252"/>
    <w:bookmarkEnd w:id="253"/>
    <w:bookmarkEnd w:id="254"/>
    <w:bookmarkEnd w:id="255"/>
    <w:bookmarkEnd w:id="256"/>
    <w:bookmarkEnd w:id="257"/>
    <w:bookmarkEnd w:id="258"/>
    <w:bookmarkEnd w:id="259"/>
    <w:p>
      <w:pPr>
        <w:spacing w:line="480" w:lineRule="exact"/>
        <w:rPr>
          <w:rFonts w:ascii="宋体" w:hAnsi="宋体"/>
          <w:color w:val="auto"/>
          <w:szCs w:val="21"/>
          <w:highlight w:val="none"/>
        </w:rPr>
      </w:pPr>
      <w:r>
        <w:rPr>
          <w:rFonts w:ascii="宋体" w:hAnsi="宋体"/>
          <w:color w:val="auto"/>
          <w:szCs w:val="21"/>
          <w:highlight w:val="none"/>
        </w:rPr>
        <w:t>1.1 词语定义</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1.1.1合同</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1.1.1.10其他合同文件包括：</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1.1.2.4监理人：</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1.1.2.5 设计人：</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1.1.3.9 永久占地包括：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kern w:val="0"/>
          <w:szCs w:val="21"/>
          <w:highlight w:val="none"/>
        </w:rPr>
        <w:t>1.1.3.10 临时占地包括：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 xml:space="preserve">1.3法律 </w:t>
      </w:r>
    </w:p>
    <w:p>
      <w:pPr>
        <w:autoSpaceDE w:val="0"/>
        <w:autoSpaceDN w:val="0"/>
        <w:adjustRightInd w:val="0"/>
        <w:spacing w:line="480" w:lineRule="exact"/>
        <w:ind w:left="596" w:leftChars="284"/>
        <w:jc w:val="left"/>
        <w:rPr>
          <w:rFonts w:ascii="宋体" w:hAnsi="宋体"/>
          <w:color w:val="auto"/>
          <w:szCs w:val="21"/>
          <w:highlight w:val="none"/>
        </w:rPr>
      </w:pPr>
      <w:r>
        <w:rPr>
          <w:rFonts w:ascii="宋体" w:hAnsi="宋体"/>
          <w:color w:val="auto"/>
          <w:szCs w:val="21"/>
          <w:highlight w:val="none"/>
        </w:rPr>
        <w:t>适用于合同的其他规范性文件：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1.4 标准和规范</w:t>
      </w:r>
    </w:p>
    <w:p>
      <w:pPr>
        <w:spacing w:line="480" w:lineRule="exact"/>
        <w:ind w:left="596" w:leftChars="284"/>
        <w:rPr>
          <w:rFonts w:ascii="宋体" w:hAnsi="宋体"/>
          <w:color w:val="auto"/>
          <w:szCs w:val="21"/>
          <w:highlight w:val="none"/>
        </w:rPr>
      </w:pPr>
      <w:r>
        <w:rPr>
          <w:rFonts w:ascii="宋体" w:hAnsi="宋体"/>
          <w:color w:val="auto"/>
          <w:szCs w:val="21"/>
          <w:highlight w:val="none"/>
        </w:rPr>
        <w:t>1.4.1适用于工程的标准规范包括：</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1.4.2 发包人提供国外标准、规范的名称：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发包人提供国外标准、规范的份数：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kern w:val="0"/>
          <w:szCs w:val="21"/>
          <w:highlight w:val="none"/>
        </w:rPr>
        <w:t>发包人提供国外标准、规范的名称：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ind w:left="596" w:leftChars="284"/>
        <w:rPr>
          <w:rFonts w:ascii="宋体" w:hAnsi="宋体"/>
          <w:color w:val="auto"/>
          <w:szCs w:val="21"/>
          <w:highlight w:val="none"/>
        </w:rPr>
      </w:pPr>
      <w:r>
        <w:rPr>
          <w:rFonts w:ascii="宋体" w:hAnsi="宋体"/>
          <w:color w:val="auto"/>
          <w:szCs w:val="21"/>
          <w:highlight w:val="none"/>
        </w:rPr>
        <w:t>1.4.3发包人对工程的技术标准和功能要求的特殊要求：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1.5 合同文件的优先顺序</w:t>
      </w:r>
    </w:p>
    <w:p>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合同文件组成及优先顺序为：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1.6 图纸和承包人文件</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1.6.1 图纸的提供</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发包人向承包人提供图纸的期限：</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发包人向承包人提供图纸的数量：</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发包人向承包人提供图纸的内容：</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1.6.4 承包人文件</w:t>
      </w:r>
    </w:p>
    <w:p>
      <w:pPr>
        <w:spacing w:line="480" w:lineRule="exact"/>
        <w:ind w:left="596" w:leftChars="284"/>
        <w:jc w:val="left"/>
        <w:rPr>
          <w:rFonts w:ascii="宋体" w:hAnsi="宋体"/>
          <w:color w:val="auto"/>
          <w:szCs w:val="21"/>
          <w:highlight w:val="none"/>
        </w:rPr>
      </w:pPr>
      <w:r>
        <w:rPr>
          <w:rFonts w:ascii="宋体" w:hAnsi="宋体"/>
          <w:color w:val="auto"/>
          <w:szCs w:val="21"/>
          <w:highlight w:val="none"/>
        </w:rPr>
        <w:t>需要由承包人提供的文件，包括：</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承包人提供的文件的期限为：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承包人提供的文件的数量为：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承包人提供的文件的形式为：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承包人文件的期限：</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1.6.5 现场图纸准备</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1.7 联络</w:t>
      </w:r>
    </w:p>
    <w:p>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1.7.1发包人和承包人应当在</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1.7.2 发包人接收文件的地点：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发包人指定的接收人为：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承包人接收文件的地点：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1.10 交通运输</w:t>
      </w:r>
    </w:p>
    <w:p>
      <w:pPr>
        <w:spacing w:line="480" w:lineRule="exact"/>
        <w:rPr>
          <w:rFonts w:ascii="宋体" w:hAnsi="宋体"/>
          <w:color w:val="auto"/>
          <w:szCs w:val="21"/>
          <w:highlight w:val="none"/>
        </w:rPr>
      </w:pPr>
      <w:r>
        <w:rPr>
          <w:rFonts w:ascii="宋体" w:hAnsi="宋体"/>
          <w:color w:val="auto"/>
          <w:szCs w:val="21"/>
          <w:highlight w:val="none"/>
        </w:rPr>
        <w:t>1</w:t>
      </w:r>
      <w:bookmarkStart w:id="260" w:name="_Toc303539100"/>
      <w:bookmarkStart w:id="261" w:name="_Toc318581155"/>
      <w:bookmarkStart w:id="262" w:name="_Toc312677986"/>
      <w:bookmarkStart w:id="263" w:name="_Toc304295521"/>
      <w:bookmarkStart w:id="264" w:name="_Toc300934943"/>
      <w:r>
        <w:rPr>
          <w:rFonts w:ascii="宋体" w:hAnsi="宋体"/>
          <w:color w:val="auto"/>
          <w:szCs w:val="21"/>
          <w:highlight w:val="none"/>
        </w:rPr>
        <w:t>.10.1 出入现场的权利</w:t>
      </w:r>
    </w:p>
    <w:p>
      <w:pPr>
        <w:spacing w:line="480" w:lineRule="exact"/>
        <w:ind w:left="596" w:leftChars="284"/>
        <w:rPr>
          <w:rFonts w:ascii="宋体" w:hAnsi="宋体"/>
          <w:color w:val="auto"/>
          <w:szCs w:val="21"/>
          <w:highlight w:val="none"/>
        </w:rPr>
      </w:pPr>
      <w:r>
        <w:rPr>
          <w:rFonts w:ascii="宋体" w:hAnsi="宋体"/>
          <w:color w:val="auto"/>
          <w:szCs w:val="21"/>
          <w:highlight w:val="none"/>
        </w:rPr>
        <w:t>关于出入现场的权利的约定：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bookmarkEnd w:id="260"/>
    <w:bookmarkEnd w:id="261"/>
    <w:bookmarkEnd w:id="262"/>
    <w:bookmarkEnd w:id="263"/>
    <w:bookmarkEnd w:id="264"/>
    <w:p>
      <w:pPr>
        <w:spacing w:line="480" w:lineRule="exact"/>
        <w:rPr>
          <w:rFonts w:ascii="宋体" w:hAnsi="宋体"/>
          <w:color w:val="auto"/>
          <w:szCs w:val="21"/>
          <w:highlight w:val="none"/>
        </w:rPr>
      </w:pPr>
      <w:r>
        <w:rPr>
          <w:rFonts w:ascii="宋体" w:hAnsi="宋体"/>
          <w:color w:val="auto"/>
          <w:szCs w:val="21"/>
          <w:highlight w:val="none"/>
        </w:rPr>
        <w:t>1</w:t>
      </w:r>
      <w:bookmarkStart w:id="265" w:name="_Toc304295522"/>
      <w:bookmarkStart w:id="266" w:name="_Toc303539101"/>
      <w:bookmarkStart w:id="267" w:name="_Toc312677987"/>
      <w:bookmarkStart w:id="268" w:name="_Toc318581156"/>
      <w:bookmarkStart w:id="269" w:name="_Toc300934944"/>
      <w:r>
        <w:rPr>
          <w:rFonts w:ascii="宋体" w:hAnsi="宋体"/>
          <w:color w:val="auto"/>
          <w:szCs w:val="21"/>
          <w:highlight w:val="none"/>
        </w:rPr>
        <w:t>.10.3 场内交通</w:t>
      </w:r>
    </w:p>
    <w:p>
      <w:pPr>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ascii="宋体" w:hAnsi="宋体"/>
          <w:color w:val="auto"/>
          <w:szCs w:val="21"/>
          <w:highlight w:val="none"/>
          <w:u w:val="single"/>
        </w:rPr>
        <w:t>  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265"/>
      <w:bookmarkEnd w:id="266"/>
      <w:bookmarkEnd w:id="267"/>
      <w:bookmarkEnd w:id="268"/>
      <w:bookmarkEnd w:id="269"/>
      <w:r>
        <w:rPr>
          <w:rFonts w:ascii="宋体" w:hAnsi="宋体"/>
          <w:color w:val="auto"/>
          <w:szCs w:val="21"/>
          <w:highlight w:val="none"/>
        </w:rPr>
        <w:t xml:space="preserve">  </w:t>
      </w:r>
      <w:bookmarkStart w:id="270" w:name="_Toc318581157"/>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1.10.4超大件和超重件的运输</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运输超大件或超重件所需的道路和桥梁临时加固改造费用和其他有关费用由</w:t>
      </w:r>
    </w:p>
    <w:p>
      <w:pPr>
        <w:spacing w:line="480" w:lineRule="exact"/>
        <w:jc w:val="lef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承担。</w:t>
      </w:r>
    </w:p>
    <w:bookmarkEnd w:id="270"/>
    <w:p>
      <w:pPr>
        <w:spacing w:line="480" w:lineRule="exact"/>
        <w:rPr>
          <w:rFonts w:ascii="宋体" w:hAnsi="宋体"/>
          <w:color w:val="auto"/>
          <w:szCs w:val="21"/>
          <w:highlight w:val="none"/>
        </w:rPr>
      </w:pPr>
      <w:r>
        <w:rPr>
          <w:rFonts w:ascii="宋体" w:hAnsi="宋体"/>
          <w:color w:val="auto"/>
          <w:szCs w:val="21"/>
          <w:highlight w:val="none"/>
        </w:rPr>
        <w:t>1.11 知识产权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left="596" w:leftChars="284"/>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关于承包人提供的上述文件的使用限制的要求：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kern w:val="0"/>
          <w:szCs w:val="21"/>
          <w:highlight w:val="none"/>
        </w:rPr>
      </w:pPr>
      <w:r>
        <w:rPr>
          <w:rFonts w:ascii="宋体" w:hAnsi="宋体"/>
          <w:color w:val="auto"/>
          <w:szCs w:val="21"/>
          <w:highlight w:val="none"/>
        </w:rPr>
        <w:t>1.11.4 承包人在施工过程中所采用的专利、专有技术、技术秘密的使用费的承担方式：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1.13工程量清单错误的修正</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允许调整合同价格的工程量偏差范围：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pPr>
        <w:spacing w:line="480" w:lineRule="exact"/>
        <w:rPr>
          <w:rFonts w:ascii="宋体" w:hAnsi="宋体"/>
          <w:color w:val="auto"/>
          <w:szCs w:val="21"/>
          <w:highlight w:val="none"/>
        </w:rPr>
      </w:pPr>
      <w:bookmarkStart w:id="271" w:name="_Toc351203634"/>
      <w:r>
        <w:rPr>
          <w:rFonts w:ascii="宋体" w:hAnsi="宋体"/>
          <w:color w:val="auto"/>
          <w:szCs w:val="21"/>
          <w:highlight w:val="none"/>
        </w:rPr>
        <w:t>2</w:t>
      </w:r>
      <w:bookmarkStart w:id="272" w:name="_Toc296891197"/>
      <w:bookmarkStart w:id="273" w:name="_Toc296346658"/>
      <w:bookmarkStart w:id="274" w:name="_Toc297048343"/>
      <w:bookmarkStart w:id="275" w:name="_Toc296347156"/>
      <w:bookmarkStart w:id="276" w:name="_Toc296890985"/>
      <w:bookmarkStart w:id="277" w:name="_Toc292559362"/>
      <w:bookmarkStart w:id="278" w:name="_Toc297120457"/>
      <w:bookmarkStart w:id="279" w:name="_Toc296944496"/>
      <w:bookmarkStart w:id="280" w:name="_Toc292559867"/>
      <w:bookmarkStart w:id="281" w:name="_Toc296503157"/>
      <w:r>
        <w:rPr>
          <w:rFonts w:ascii="宋体" w:hAnsi="宋体"/>
          <w:color w:val="auto"/>
          <w:szCs w:val="21"/>
          <w:highlight w:val="none"/>
        </w:rPr>
        <w:t>. 发包人</w:t>
      </w:r>
      <w:bookmarkEnd w:id="271"/>
    </w:p>
    <w:bookmarkEnd w:id="272"/>
    <w:bookmarkEnd w:id="273"/>
    <w:bookmarkEnd w:id="274"/>
    <w:bookmarkEnd w:id="275"/>
    <w:bookmarkEnd w:id="276"/>
    <w:bookmarkEnd w:id="277"/>
    <w:bookmarkEnd w:id="278"/>
    <w:bookmarkEnd w:id="279"/>
    <w:bookmarkEnd w:id="280"/>
    <w:bookmarkEnd w:id="281"/>
    <w:p>
      <w:pPr>
        <w:spacing w:line="480" w:lineRule="exact"/>
        <w:rPr>
          <w:rFonts w:ascii="宋体" w:hAnsi="宋体"/>
          <w:color w:val="auto"/>
          <w:szCs w:val="21"/>
          <w:highlight w:val="none"/>
        </w:rPr>
      </w:pPr>
      <w:r>
        <w:rPr>
          <w:rFonts w:ascii="宋体" w:hAnsi="宋体"/>
          <w:color w:val="auto"/>
          <w:szCs w:val="21"/>
          <w:highlight w:val="none"/>
        </w:rPr>
        <w:t>2.2 发包人代表</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发包人代表：</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发包人对发包人代表的授权范围如下：</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2.4 施工现场、施工条件和基础资料的提供</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2.4.1 提供施工现场</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关于发包人移交施工现场的期限要求：</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2.4.2 提供施工条件</w:t>
      </w:r>
    </w:p>
    <w:p>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关于发包人应负责提供施工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2.5 资金来源证明及支付担保</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发包人提供支付担保的形式：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282" w:name="_Toc351203635"/>
      <w:r>
        <w:rPr>
          <w:rFonts w:ascii="宋体" w:hAnsi="宋体"/>
          <w:color w:val="auto"/>
          <w:szCs w:val="21"/>
          <w:highlight w:val="none"/>
        </w:rPr>
        <w:t>3</w:t>
      </w:r>
      <w:bookmarkStart w:id="283" w:name="_Toc296944497"/>
      <w:bookmarkStart w:id="284" w:name="_Toc297120458"/>
      <w:bookmarkStart w:id="285" w:name="_Toc296346659"/>
      <w:bookmarkStart w:id="286" w:name="_Toc292559363"/>
      <w:bookmarkStart w:id="287" w:name="_Toc296347157"/>
      <w:bookmarkStart w:id="288" w:name="_Toc292559868"/>
      <w:bookmarkStart w:id="289" w:name="_Toc296891198"/>
      <w:bookmarkStart w:id="290" w:name="_Toc296503158"/>
      <w:bookmarkStart w:id="291" w:name="_Toc297048344"/>
      <w:bookmarkStart w:id="292" w:name="_Toc296890986"/>
      <w:r>
        <w:rPr>
          <w:rFonts w:ascii="宋体" w:hAnsi="宋体"/>
          <w:color w:val="auto"/>
          <w:szCs w:val="21"/>
          <w:highlight w:val="none"/>
        </w:rPr>
        <w:t>. 承包人</w:t>
      </w:r>
      <w:bookmarkEnd w:id="282"/>
    </w:p>
    <w:bookmarkEnd w:id="283"/>
    <w:bookmarkEnd w:id="284"/>
    <w:bookmarkEnd w:id="285"/>
    <w:bookmarkEnd w:id="286"/>
    <w:bookmarkEnd w:id="287"/>
    <w:bookmarkEnd w:id="288"/>
    <w:bookmarkEnd w:id="289"/>
    <w:bookmarkEnd w:id="290"/>
    <w:bookmarkEnd w:id="291"/>
    <w:bookmarkEnd w:id="292"/>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3.1 承包人的一般义务</w:t>
      </w:r>
    </w:p>
    <w:p>
      <w:pPr>
        <w:spacing w:line="480" w:lineRule="exact"/>
        <w:ind w:firstLine="420" w:firstLineChars="200"/>
        <w:jc w:val="left"/>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w:t>
      </w:r>
      <w:r>
        <w:rPr>
          <w:rFonts w:ascii="宋体" w:hAnsi="宋体"/>
          <w:color w:val="auto"/>
          <w:szCs w:val="21"/>
          <w:highlight w:val="none"/>
        </w:rPr>
        <w:t>承包人提交的竣工资料的内容：</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承包人需要提交的竣工资料套数：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left="638" w:leftChars="304"/>
        <w:jc w:val="left"/>
        <w:rPr>
          <w:rFonts w:ascii="宋体" w:hAnsi="宋体"/>
          <w:color w:val="auto"/>
          <w:szCs w:val="21"/>
          <w:highlight w:val="none"/>
        </w:rPr>
      </w:pPr>
      <w:r>
        <w:rPr>
          <w:rFonts w:ascii="宋体" w:hAnsi="宋体"/>
          <w:color w:val="auto"/>
          <w:szCs w:val="21"/>
          <w:highlight w:val="none"/>
        </w:rPr>
        <w:t>承包人提交的竣工资料的费用承担：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left="638" w:leftChars="304"/>
        <w:jc w:val="left"/>
        <w:rPr>
          <w:rFonts w:ascii="宋体" w:hAnsi="宋体"/>
          <w:color w:val="auto"/>
          <w:szCs w:val="21"/>
          <w:highlight w:val="none"/>
        </w:rPr>
      </w:pPr>
      <w:r>
        <w:rPr>
          <w:rFonts w:ascii="宋体" w:hAnsi="宋体"/>
          <w:color w:val="auto"/>
          <w:szCs w:val="21"/>
          <w:highlight w:val="none"/>
        </w:rPr>
        <w:t>承包人提交的竣工资料移交时间：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承包人提交的竣工资料形式要求：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10</w:t>
      </w:r>
      <w:r>
        <w:rPr>
          <w:rFonts w:ascii="宋体" w:hAnsi="宋体"/>
          <w:color w:val="auto"/>
          <w:kern w:val="0"/>
          <w:szCs w:val="21"/>
          <w:highlight w:val="none"/>
        </w:rPr>
        <w:t>）承包人应履行的其他义务：</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3.2 项目经理</w:t>
      </w:r>
    </w:p>
    <w:p>
      <w:pPr>
        <w:spacing w:line="480" w:lineRule="exact"/>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承包人对项目经理的授权范围如下：</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承包人未提交劳动合同，以及没有为项目经理缴纳社会保险证明的违约责任：</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3.2.3 承包人擅自更换项目经理的违约责任：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3.2.4 承包人无正当理由拒绝更换项目经理的违约责任：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3.3 承包人人员</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3.3.1 承包人提交项目管理机构及施工现场管理人员安排报告的期限：</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3.3.3 承包人无正当理由拒绝撤换主要施工管理人员的违约责任：</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3.3.4 承包人主要施工管理人员离开施工现场的批准要求：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3.3.5承包人擅自更换主要施工管理人员的违约责任：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承包人主要施工管理人员擅自离开施工现场的违约责任：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w:t>
      </w:r>
      <w:bookmarkStart w:id="293" w:name="_Toc303539102"/>
      <w:bookmarkStart w:id="294" w:name="_Toc304295523"/>
      <w:bookmarkStart w:id="295" w:name="_Toc297123492"/>
      <w:bookmarkStart w:id="296" w:name="_Toc292559364"/>
      <w:bookmarkStart w:id="297" w:name="_Toc296503159"/>
      <w:bookmarkStart w:id="298" w:name="_Toc296890987"/>
      <w:bookmarkStart w:id="299" w:name="_Toc296944498"/>
      <w:bookmarkStart w:id="300" w:name="_Toc297216151"/>
      <w:bookmarkStart w:id="301" w:name="_Toc297048345"/>
      <w:bookmarkStart w:id="302" w:name="_Toc296347158"/>
      <w:bookmarkStart w:id="303" w:name="_Toc296891199"/>
      <w:bookmarkStart w:id="304" w:name="_Toc312677988"/>
      <w:bookmarkStart w:id="305" w:name="_Toc296346660"/>
      <w:bookmarkStart w:id="306" w:name="_Toc292559869"/>
      <w:bookmarkStart w:id="307" w:name="_Toc300934945"/>
      <w:bookmarkStart w:id="308" w:name="_Toc297120459"/>
      <w:r>
        <w:rPr>
          <w:rFonts w:ascii="宋体" w:hAnsi="宋体"/>
          <w:color w:val="auto"/>
          <w:szCs w:val="21"/>
          <w:highlight w:val="none"/>
        </w:rPr>
        <w:t>.5 分包</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Pr>
        <w:spacing w:line="480" w:lineRule="exact"/>
        <w:ind w:firstLine="420" w:firstLineChars="200"/>
        <w:rPr>
          <w:rFonts w:ascii="宋体" w:hAnsi="宋体"/>
          <w:color w:val="auto"/>
          <w:szCs w:val="21"/>
          <w:highlight w:val="none"/>
        </w:rPr>
      </w:pPr>
      <w:r>
        <w:rPr>
          <w:rFonts w:ascii="宋体" w:hAnsi="宋体"/>
          <w:color w:val="auto"/>
          <w:szCs w:val="21"/>
          <w:highlight w:val="none"/>
        </w:rPr>
        <w:t>3</w:t>
      </w:r>
      <w:bookmarkStart w:id="309" w:name="_Toc297120460"/>
      <w:bookmarkStart w:id="310" w:name="_Toc303539103"/>
      <w:bookmarkStart w:id="311" w:name="_Toc297048346"/>
      <w:bookmarkStart w:id="312" w:name="_Toc300934946"/>
      <w:bookmarkStart w:id="313" w:name="_Toc296346661"/>
      <w:bookmarkStart w:id="314" w:name="_Toc296891200"/>
      <w:bookmarkStart w:id="315" w:name="_Toc296503160"/>
      <w:bookmarkStart w:id="316" w:name="_Toc292559365"/>
      <w:bookmarkStart w:id="317" w:name="_Toc296944499"/>
      <w:bookmarkStart w:id="318" w:name="_Toc296890988"/>
      <w:bookmarkStart w:id="319" w:name="_Toc292559870"/>
      <w:bookmarkStart w:id="320" w:name="_Toc297123493"/>
      <w:bookmarkStart w:id="321" w:name="_Toc296347159"/>
      <w:bookmarkStart w:id="322" w:name="_Toc297216152"/>
      <w:bookmarkStart w:id="323" w:name="_Toc304295524"/>
      <w:bookmarkStart w:id="324" w:name="_Toc318581158"/>
      <w:bookmarkStart w:id="325" w:name="_Toc312677989"/>
      <w:r>
        <w:rPr>
          <w:rFonts w:ascii="宋体" w:hAnsi="宋体"/>
          <w:color w:val="auto"/>
          <w:szCs w:val="21"/>
          <w:highlight w:val="none"/>
        </w:rPr>
        <w:t>.5.1 分包的一般约定</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u w:val="single"/>
        </w:rPr>
      </w:pPr>
      <w:r>
        <w:rPr>
          <w:rFonts w:ascii="宋体" w:hAnsi="宋体"/>
          <w:color w:val="auto"/>
          <w:szCs w:val="21"/>
          <w:highlight w:val="none"/>
        </w:rPr>
        <w:t>主体结构、关键性工作的范围：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Start w:id="326" w:name="_Toc297048347"/>
      <w:bookmarkStart w:id="327" w:name="_Toc303539104"/>
      <w:bookmarkStart w:id="328" w:name="_Toc296503161"/>
      <w:bookmarkStart w:id="329" w:name="_Toc297123494"/>
      <w:bookmarkStart w:id="330" w:name="_Toc296346662"/>
      <w:bookmarkStart w:id="331" w:name="_Toc296347160"/>
      <w:bookmarkStart w:id="332" w:name="_Toc304295525"/>
      <w:bookmarkStart w:id="333" w:name="_Toc297120461"/>
      <w:bookmarkStart w:id="334" w:name="_Toc296944500"/>
      <w:bookmarkStart w:id="335" w:name="_Toc296890989"/>
      <w:bookmarkStart w:id="336" w:name="_Toc300934947"/>
      <w:bookmarkStart w:id="337" w:name="_Toc297216153"/>
      <w:bookmarkStart w:id="338" w:name="_Toc296891201"/>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Pr>
        <w:spacing w:line="480" w:lineRule="exact"/>
        <w:rPr>
          <w:rFonts w:ascii="宋体" w:hAnsi="宋体"/>
          <w:color w:val="auto"/>
          <w:szCs w:val="21"/>
          <w:highlight w:val="none"/>
        </w:rPr>
      </w:pPr>
      <w:r>
        <w:rPr>
          <w:rFonts w:ascii="宋体" w:hAnsi="宋体"/>
          <w:color w:val="auto"/>
          <w:szCs w:val="21"/>
          <w:highlight w:val="none"/>
        </w:rPr>
        <w:t xml:space="preserve">    3</w:t>
      </w:r>
      <w:bookmarkStart w:id="339" w:name="_Toc318581159"/>
      <w:bookmarkStart w:id="340" w:name="_Toc312677990"/>
      <w:r>
        <w:rPr>
          <w:rFonts w:ascii="宋体" w:hAnsi="宋体"/>
          <w:color w:val="auto"/>
          <w:szCs w:val="21"/>
          <w:highlight w:val="none"/>
        </w:rPr>
        <w:t>.5.2分包的确定</w:t>
      </w:r>
    </w:p>
    <w:p>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3.5.4 分包合同价款</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关于分包合同价款支付的约定：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39"/>
    <w:bookmarkEnd w:id="340"/>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3.6 工程照管与成品、半成品保护</w:t>
      </w:r>
    </w:p>
    <w:p>
      <w:pPr>
        <w:spacing w:before="120" w:after="120" w:line="48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3.7 履约担保</w:t>
      </w:r>
    </w:p>
    <w:p>
      <w:p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承包人是否提供履约担保：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承包人提供履约担保的形式</w:t>
      </w:r>
      <w:r>
        <w:rPr>
          <w:rFonts w:hint="eastAsia" w:ascii="宋体" w:hAnsi="宋体"/>
          <w:color w:val="auto"/>
          <w:szCs w:val="21"/>
          <w:highlight w:val="none"/>
        </w:rPr>
        <w:t>、金额及期限</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341" w:name="_Toc351203636"/>
      <w:r>
        <w:rPr>
          <w:rFonts w:ascii="宋体" w:hAnsi="宋体"/>
          <w:color w:val="auto"/>
          <w:szCs w:val="21"/>
          <w:highlight w:val="none"/>
        </w:rPr>
        <w:t>4</w:t>
      </w:r>
      <w:bookmarkStart w:id="342" w:name="_Toc267251413"/>
      <w:bookmarkStart w:id="343" w:name="_Toc296944501"/>
      <w:bookmarkStart w:id="344" w:name="_Toc296347161"/>
      <w:bookmarkStart w:id="345" w:name="_Toc296346663"/>
      <w:bookmarkStart w:id="346" w:name="_Toc297048348"/>
      <w:bookmarkStart w:id="347" w:name="_Toc296503162"/>
      <w:bookmarkStart w:id="348" w:name="_Toc296890990"/>
      <w:bookmarkStart w:id="349" w:name="_Toc292559871"/>
      <w:bookmarkStart w:id="350" w:name="_Toc297120462"/>
      <w:bookmarkStart w:id="351" w:name="_Toc292559366"/>
      <w:bookmarkStart w:id="352" w:name="_Toc296891202"/>
      <w:r>
        <w:rPr>
          <w:rFonts w:ascii="宋体" w:hAnsi="宋体"/>
          <w:color w:val="auto"/>
          <w:szCs w:val="21"/>
          <w:highlight w:val="none"/>
        </w:rPr>
        <w:t>. 监</w:t>
      </w:r>
      <w:bookmarkEnd w:id="342"/>
      <w:bookmarkEnd w:id="343"/>
      <w:bookmarkEnd w:id="344"/>
      <w:bookmarkEnd w:id="345"/>
      <w:bookmarkEnd w:id="346"/>
      <w:bookmarkEnd w:id="347"/>
      <w:bookmarkEnd w:id="348"/>
      <w:bookmarkEnd w:id="349"/>
      <w:bookmarkEnd w:id="350"/>
      <w:bookmarkEnd w:id="351"/>
      <w:bookmarkEnd w:id="352"/>
      <w:r>
        <w:rPr>
          <w:rFonts w:ascii="宋体" w:hAnsi="宋体"/>
          <w:color w:val="auto"/>
          <w:szCs w:val="21"/>
          <w:highlight w:val="none"/>
        </w:rPr>
        <w:t>理人</w:t>
      </w:r>
      <w:bookmarkEnd w:id="341"/>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4.1监理人的一般规定</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4.2 监理人员</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ascii="宋体" w:hAnsi="宋体"/>
          <w:color w:val="auto"/>
          <w:szCs w:val="21"/>
          <w:highlight w:val="none"/>
          <w:u w:val="single"/>
        </w:rPr>
        <w:t>  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4.4 商定或确定</w:t>
      </w:r>
    </w:p>
    <w:p>
      <w:pPr>
        <w:spacing w:line="480" w:lineRule="exact"/>
        <w:ind w:firstLine="420" w:firstLineChars="200"/>
        <w:rPr>
          <w:rFonts w:ascii="宋体" w:hAnsi="宋体"/>
          <w:color w:val="auto"/>
          <w:szCs w:val="21"/>
          <w:highlight w:val="none"/>
        </w:rPr>
      </w:pPr>
      <w:bookmarkStart w:id="353" w:name="_Toc267251418"/>
      <w:r>
        <w:rPr>
          <w:rFonts w:ascii="宋体" w:hAnsi="宋体"/>
          <w:color w:val="auto"/>
          <w:szCs w:val="21"/>
          <w:highlight w:val="none"/>
        </w:rPr>
        <w:t>在发包人和承包人不能通过协商达成一致意见时，发包人授权监理人对以下事项进行确定：</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354" w:name="_Toc351203637"/>
      <w:r>
        <w:rPr>
          <w:rFonts w:ascii="宋体" w:hAnsi="宋体"/>
          <w:color w:val="auto"/>
          <w:szCs w:val="21"/>
          <w:highlight w:val="none"/>
        </w:rPr>
        <w:t>5</w:t>
      </w:r>
      <w:bookmarkEnd w:id="353"/>
      <w:bookmarkStart w:id="355" w:name="_Toc296346664"/>
      <w:bookmarkStart w:id="356" w:name="_Toc296347162"/>
      <w:bookmarkStart w:id="357" w:name="_Toc296944502"/>
      <w:bookmarkStart w:id="358" w:name="_Toc296890991"/>
      <w:bookmarkStart w:id="359" w:name="_Toc296891203"/>
      <w:bookmarkStart w:id="360" w:name="_Toc292559872"/>
      <w:bookmarkStart w:id="361" w:name="_Toc292559367"/>
      <w:bookmarkStart w:id="362" w:name="_Toc296503163"/>
      <w:bookmarkStart w:id="363" w:name="_Toc297048349"/>
      <w:bookmarkStart w:id="364" w:name="_Toc297120463"/>
      <w:r>
        <w:rPr>
          <w:rFonts w:ascii="宋体" w:hAnsi="宋体"/>
          <w:color w:val="auto"/>
          <w:szCs w:val="21"/>
          <w:highlight w:val="none"/>
        </w:rPr>
        <w:t>. 工程质量</w:t>
      </w:r>
      <w:bookmarkEnd w:id="354"/>
    </w:p>
    <w:p>
      <w:pPr>
        <w:spacing w:line="480" w:lineRule="exact"/>
        <w:rPr>
          <w:rFonts w:ascii="宋体" w:hAnsi="宋体"/>
          <w:color w:val="auto"/>
          <w:szCs w:val="21"/>
          <w:highlight w:val="none"/>
        </w:rPr>
      </w:pPr>
      <w:r>
        <w:rPr>
          <w:rFonts w:ascii="宋体" w:hAnsi="宋体"/>
          <w:color w:val="auto"/>
          <w:szCs w:val="21"/>
          <w:highlight w:val="none"/>
        </w:rPr>
        <w:t>5.1 质量要求</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5</w:t>
      </w:r>
      <w:bookmarkStart w:id="365" w:name="_Toc297123496"/>
      <w:bookmarkStart w:id="366" w:name="_Toc312677997"/>
      <w:bookmarkStart w:id="367" w:name="_Toc303539106"/>
      <w:bookmarkStart w:id="368" w:name="_Toc300934949"/>
      <w:bookmarkStart w:id="369" w:name="_Toc318581164"/>
      <w:bookmarkStart w:id="370" w:name="_Toc297216155"/>
      <w:bookmarkStart w:id="371" w:name="_Toc304295527"/>
      <w:r>
        <w:rPr>
          <w:rFonts w:ascii="宋体" w:hAnsi="宋体"/>
          <w:color w:val="auto"/>
          <w:szCs w:val="21"/>
          <w:highlight w:val="none"/>
        </w:rPr>
        <w:t>.1.1 特殊质量标准和要求：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关于工程奖项的约定：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5.3 隐蔽工程检查</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5.3.2承包人提前通知监理人隐蔽工程检查的期限的约定：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pPr>
        <w:spacing w:line="480" w:lineRule="exact"/>
        <w:rPr>
          <w:rFonts w:ascii="宋体" w:hAnsi="宋体"/>
          <w:color w:val="auto"/>
          <w:szCs w:val="21"/>
          <w:highlight w:val="none"/>
        </w:rPr>
      </w:pPr>
      <w:bookmarkStart w:id="372" w:name="_Toc351203638"/>
      <w:r>
        <w:rPr>
          <w:rFonts w:ascii="宋体" w:hAnsi="宋体"/>
          <w:color w:val="auto"/>
          <w:szCs w:val="21"/>
          <w:highlight w:val="none"/>
        </w:rPr>
        <w:t>6. 安全文明施工与环境保护</w:t>
      </w:r>
      <w:bookmarkEnd w:id="372"/>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6.1安全文明施工</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6.1.1 项目安全生产的达标目标及相应事项的约定：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6.1.4 关于治安保卫的特别约定：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关于编制施工场地治安管理计划的约定：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6.1.5 文明施工</w:t>
      </w:r>
    </w:p>
    <w:p>
      <w:pPr>
        <w:spacing w:line="48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合同当事人对文明施工的要求：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6.1.6 关于安全文明施工费支付比例和支付期限的约定：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65"/>
    <w:bookmarkEnd w:id="366"/>
    <w:bookmarkEnd w:id="367"/>
    <w:bookmarkEnd w:id="368"/>
    <w:bookmarkEnd w:id="369"/>
    <w:bookmarkEnd w:id="370"/>
    <w:bookmarkEnd w:id="371"/>
    <w:p>
      <w:pPr>
        <w:spacing w:line="480" w:lineRule="exact"/>
        <w:rPr>
          <w:rFonts w:ascii="宋体" w:hAnsi="宋体"/>
          <w:color w:val="auto"/>
          <w:szCs w:val="21"/>
          <w:highlight w:val="none"/>
        </w:rPr>
      </w:pPr>
      <w:bookmarkStart w:id="373" w:name="_Toc351203639"/>
      <w:r>
        <w:rPr>
          <w:rFonts w:ascii="宋体" w:hAnsi="宋体"/>
          <w:color w:val="auto"/>
          <w:szCs w:val="21"/>
          <w:highlight w:val="none"/>
        </w:rPr>
        <w:t>7. 工期和进度</w:t>
      </w:r>
      <w:bookmarkEnd w:id="373"/>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7.1 施工组织设计</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kern w:val="0"/>
          <w:szCs w:val="21"/>
          <w:highlight w:val="none"/>
        </w:rPr>
        <w:t>承包人提交详细施工组织设计的期限的约定：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374" w:name="_Toc297123514"/>
      <w:bookmarkStart w:id="375" w:name="_Toc304295541"/>
      <w:bookmarkStart w:id="376" w:name="_Toc312677479"/>
      <w:bookmarkStart w:id="377" w:name="_Toc312678005"/>
      <w:bookmarkStart w:id="378" w:name="_Toc297216173"/>
      <w:bookmarkStart w:id="379" w:name="_Toc300934966"/>
      <w:bookmarkStart w:id="380" w:name="_Toc303539123"/>
      <w:r>
        <w:rPr>
          <w:rFonts w:ascii="宋体" w:hAnsi="宋体"/>
          <w:color w:val="auto"/>
          <w:szCs w:val="21"/>
          <w:highlight w:val="none"/>
        </w:rPr>
        <w:t>.2 施工进度计划</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7.2.2 施工进度计划的修订</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7.3 开工</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7.3.1 开工准备</w:t>
      </w:r>
    </w:p>
    <w:p>
      <w:pPr>
        <w:spacing w:line="480" w:lineRule="exact"/>
        <w:ind w:firstLine="645"/>
        <w:jc w:val="left"/>
        <w:rPr>
          <w:rFonts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645"/>
        <w:jc w:val="left"/>
        <w:rPr>
          <w:rFonts w:ascii="宋体" w:hAnsi="宋体"/>
          <w:color w:val="auto"/>
          <w:szCs w:val="21"/>
          <w:highlight w:val="none"/>
        </w:rPr>
      </w:pPr>
      <w:r>
        <w:rPr>
          <w:rFonts w:ascii="宋体" w:hAnsi="宋体"/>
          <w:color w:val="auto"/>
          <w:szCs w:val="21"/>
          <w:highlight w:val="none"/>
        </w:rPr>
        <w:t>关于发包人应完成的其他开工准备工作及期限：</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525" w:firstLineChars="250"/>
        <w:jc w:val="left"/>
        <w:rPr>
          <w:rFonts w:ascii="宋体" w:hAnsi="宋体"/>
          <w:color w:val="auto"/>
          <w:szCs w:val="21"/>
          <w:highlight w:val="none"/>
        </w:rPr>
      </w:pPr>
      <w:r>
        <w:rPr>
          <w:rFonts w:ascii="宋体" w:hAnsi="宋体"/>
          <w:color w:val="auto"/>
          <w:szCs w:val="21"/>
          <w:highlight w:val="none"/>
        </w:rPr>
        <w:t>关于承包人应完成的其他开工准备工作及期限：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7.3.2开工通知</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因发包人原因造成监理人未能在计划开工日期之日起</w:t>
      </w:r>
      <w:r>
        <w:rPr>
          <w:rFonts w:ascii="宋体" w:hAnsi="宋体"/>
          <w:color w:val="auto"/>
          <w:szCs w:val="21"/>
          <w:highlight w:val="none"/>
          <w:u w:val="single"/>
        </w:rPr>
        <w:t xml:space="preserve">     </w:t>
      </w:r>
      <w:r>
        <w:rPr>
          <w:rFonts w:ascii="宋体" w:hAnsi="宋体"/>
          <w:color w:val="auto"/>
          <w:szCs w:val="21"/>
          <w:highlight w:val="none"/>
        </w:rPr>
        <w:t>天内发出开工通知的，承包人有权提出价格调整要求，或者解除合同。</w:t>
      </w:r>
    </w:p>
    <w:bookmarkEnd w:id="374"/>
    <w:bookmarkEnd w:id="375"/>
    <w:bookmarkEnd w:id="376"/>
    <w:bookmarkEnd w:id="377"/>
    <w:bookmarkEnd w:id="378"/>
    <w:bookmarkEnd w:id="379"/>
    <w:bookmarkEnd w:id="380"/>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7.4 测量放线</w:t>
      </w:r>
    </w:p>
    <w:p>
      <w:pPr>
        <w:spacing w:line="480" w:lineRule="exact"/>
        <w:ind w:firstLine="420" w:firstLineChars="200"/>
        <w:jc w:val="left"/>
        <w:rPr>
          <w:rFonts w:hint="eastAsia" w:ascii="宋体" w:hAnsi="宋体"/>
          <w:color w:val="auto"/>
          <w:szCs w:val="21"/>
          <w:highlight w:val="none"/>
          <w:u w:val="single"/>
        </w:rPr>
      </w:pPr>
      <w:r>
        <w:rPr>
          <w:rFonts w:ascii="宋体" w:hAnsi="宋体"/>
          <w:color w:val="auto"/>
          <w:szCs w:val="21"/>
          <w:highlight w:val="none"/>
        </w:rPr>
        <w:t>7.4.1发包人通过监理人向承包人提供测量基准点、基准线和水准点及其书面资料的期限：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381" w:name="_Toc303539125"/>
      <w:bookmarkStart w:id="382" w:name="_Toc304295546"/>
      <w:bookmarkStart w:id="383" w:name="_Toc297123516"/>
      <w:bookmarkStart w:id="384" w:name="_Toc312677484"/>
      <w:bookmarkStart w:id="385" w:name="_Toc300934968"/>
      <w:bookmarkStart w:id="386" w:name="_Toc312678010"/>
      <w:bookmarkStart w:id="387" w:name="_Toc297216175"/>
      <w:r>
        <w:rPr>
          <w:rFonts w:ascii="宋体" w:hAnsi="宋体"/>
          <w:color w:val="auto"/>
          <w:szCs w:val="21"/>
          <w:highlight w:val="none"/>
        </w:rPr>
        <w:t>.5 工期延误</w:t>
      </w:r>
    </w:p>
    <w:bookmarkEnd w:id="381"/>
    <w:bookmarkEnd w:id="382"/>
    <w:bookmarkEnd w:id="383"/>
    <w:bookmarkEnd w:id="384"/>
    <w:bookmarkEnd w:id="385"/>
    <w:bookmarkEnd w:id="386"/>
    <w:bookmarkEnd w:id="387"/>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7.5.1 因发包人原因导致工期延误</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（7）因发包人原因导致工期延误的其他情形：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w:t>
      </w:r>
      <w:bookmarkStart w:id="388" w:name="_Toc312677486"/>
      <w:bookmarkStart w:id="389" w:name="_Toc312678012"/>
      <w:bookmarkStart w:id="390" w:name="_Toc318581169"/>
      <w:bookmarkStart w:id="391" w:name="_Toc304295548"/>
      <w:bookmarkStart w:id="392" w:name="_Toc303539127"/>
      <w:bookmarkStart w:id="393" w:name="_Toc300934970"/>
      <w:bookmarkStart w:id="394" w:name="_Toc297123518"/>
      <w:bookmarkStart w:id="395" w:name="_Toc297216177"/>
      <w:r>
        <w:rPr>
          <w:rFonts w:ascii="宋体" w:hAnsi="宋体"/>
          <w:color w:val="auto"/>
          <w:szCs w:val="21"/>
          <w:highlight w:val="none"/>
        </w:rPr>
        <w:t>.5.2 因承包人原因导致工期延误</w:t>
      </w:r>
    </w:p>
    <w:bookmarkEnd w:id="388"/>
    <w:bookmarkEnd w:id="389"/>
    <w:bookmarkEnd w:id="390"/>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因</w:t>
      </w:r>
      <w:bookmarkStart w:id="396" w:name="_Toc312677487"/>
      <w:bookmarkStart w:id="397" w:name="_Toc312678013"/>
      <w:bookmarkStart w:id="398" w:name="_Toc318581170"/>
      <w:r>
        <w:rPr>
          <w:rFonts w:ascii="宋体" w:hAnsi="宋体"/>
          <w:color w:val="auto"/>
          <w:szCs w:val="21"/>
          <w:highlight w:val="none"/>
        </w:rPr>
        <w:t>承包人原因造成工期延误，逾期竣工违约金的计算方法为：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391"/>
      <w:bookmarkEnd w:id="392"/>
      <w:bookmarkEnd w:id="393"/>
      <w:bookmarkEnd w:id="394"/>
      <w:bookmarkEnd w:id="395"/>
      <w:bookmarkEnd w:id="396"/>
      <w:bookmarkEnd w:id="397"/>
    </w:p>
    <w:bookmarkEnd w:id="398"/>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因承包人原因造成工期延误，逾</w:t>
      </w:r>
      <w:bookmarkStart w:id="399" w:name="_Toc318581171"/>
      <w:bookmarkStart w:id="400" w:name="_Toc312678014"/>
      <w:r>
        <w:rPr>
          <w:rFonts w:ascii="宋体" w:hAnsi="宋体"/>
          <w:color w:val="auto"/>
          <w:szCs w:val="21"/>
          <w:highlight w:val="none"/>
        </w:rPr>
        <w:t>期竣工违约金的上限：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99"/>
    <w:bookmarkEnd w:id="400"/>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401" w:name="_Toc297123519"/>
      <w:bookmarkStart w:id="402" w:name="_Toc304295549"/>
      <w:bookmarkStart w:id="403" w:name="_Toc303539128"/>
      <w:bookmarkStart w:id="404" w:name="_Toc300934971"/>
      <w:bookmarkStart w:id="405" w:name="_Toc297216178"/>
      <w:bookmarkStart w:id="406" w:name="_Toc312678015"/>
      <w:r>
        <w:rPr>
          <w:rFonts w:ascii="宋体" w:hAnsi="宋体"/>
          <w:color w:val="auto"/>
          <w:szCs w:val="21"/>
          <w:highlight w:val="none"/>
        </w:rPr>
        <w:t>.6 不</w:t>
      </w:r>
      <w:bookmarkEnd w:id="401"/>
      <w:bookmarkEnd w:id="402"/>
      <w:bookmarkEnd w:id="403"/>
      <w:bookmarkEnd w:id="404"/>
      <w:bookmarkEnd w:id="405"/>
      <w:bookmarkEnd w:id="406"/>
      <w:r>
        <w:rPr>
          <w:rFonts w:ascii="宋体" w:hAnsi="宋体"/>
          <w:color w:val="auto"/>
          <w:szCs w:val="21"/>
          <w:highlight w:val="none"/>
        </w:rPr>
        <w:t>利物质条件</w:t>
      </w:r>
    </w:p>
    <w:p>
      <w:pPr>
        <w:spacing w:line="480" w:lineRule="exact"/>
        <w:ind w:firstLine="420" w:firstLineChars="200"/>
        <w:jc w:val="left"/>
        <w:rPr>
          <w:rFonts w:ascii="宋体" w:hAnsi="宋体"/>
          <w:color w:val="auto"/>
          <w:szCs w:val="21"/>
          <w:highlight w:val="none"/>
        </w:rPr>
      </w:pPr>
      <w:bookmarkStart w:id="407" w:name="_Toc303539129"/>
      <w:bookmarkStart w:id="408" w:name="_Toc297123520"/>
      <w:bookmarkStart w:id="409" w:name="_Toc300934972"/>
      <w:bookmarkStart w:id="410" w:name="_Toc304295550"/>
      <w:bookmarkStart w:id="411" w:name="_Toc297216179"/>
      <w:bookmarkStart w:id="412" w:name="_Toc318581172"/>
      <w:bookmarkStart w:id="413" w:name="_Toc312678016"/>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407"/>
    <w:bookmarkEnd w:id="408"/>
    <w:bookmarkEnd w:id="409"/>
    <w:bookmarkEnd w:id="410"/>
    <w:bookmarkEnd w:id="411"/>
    <w:bookmarkEnd w:id="412"/>
    <w:bookmarkEnd w:id="413"/>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414" w:name="_Toc297123521"/>
      <w:bookmarkStart w:id="415" w:name="_Toc312678017"/>
      <w:bookmarkStart w:id="416" w:name="_Toc300934973"/>
      <w:bookmarkStart w:id="417" w:name="_Toc303539130"/>
      <w:bookmarkStart w:id="418" w:name="_Toc304295551"/>
      <w:bookmarkStart w:id="419" w:name="_Toc297216180"/>
      <w:r>
        <w:rPr>
          <w:rFonts w:ascii="宋体" w:hAnsi="宋体"/>
          <w:color w:val="auto"/>
          <w:szCs w:val="21"/>
          <w:highlight w:val="none"/>
        </w:rPr>
        <w:t>.7异常恶劣的气候条件</w:t>
      </w:r>
    </w:p>
    <w:bookmarkEnd w:id="414"/>
    <w:bookmarkEnd w:id="415"/>
    <w:bookmarkEnd w:id="416"/>
    <w:bookmarkEnd w:id="417"/>
    <w:bookmarkEnd w:id="418"/>
    <w:bookmarkEnd w:id="419"/>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发包人和承包人同意以下情形视为异常恶劣的气候条件：</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7.9 提前竣工的奖励</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7.9.2提前竣工的奖励：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420" w:name="_Toc351203640"/>
      <w:r>
        <w:rPr>
          <w:rFonts w:ascii="宋体" w:hAnsi="宋体"/>
          <w:color w:val="auto"/>
          <w:szCs w:val="21"/>
          <w:highlight w:val="none"/>
        </w:rPr>
        <w:t>8. 材料与设备</w:t>
      </w:r>
      <w:bookmarkEnd w:id="420"/>
    </w:p>
    <w:bookmarkEnd w:id="355"/>
    <w:bookmarkEnd w:id="356"/>
    <w:bookmarkEnd w:id="357"/>
    <w:bookmarkEnd w:id="358"/>
    <w:bookmarkEnd w:id="359"/>
    <w:bookmarkEnd w:id="360"/>
    <w:bookmarkEnd w:id="361"/>
    <w:bookmarkEnd w:id="362"/>
    <w:bookmarkEnd w:id="363"/>
    <w:bookmarkEnd w:id="364"/>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8</w:t>
      </w:r>
      <w:bookmarkStart w:id="421" w:name="_Toc292559877"/>
      <w:bookmarkStart w:id="422" w:name="_Toc312678019"/>
      <w:bookmarkStart w:id="423" w:name="_Toc300934979"/>
      <w:bookmarkStart w:id="424" w:name="_Toc296346668"/>
      <w:bookmarkStart w:id="425" w:name="_Toc297216186"/>
      <w:bookmarkStart w:id="426" w:name="_Toc297048353"/>
      <w:bookmarkStart w:id="427" w:name="_Toc304295556"/>
      <w:bookmarkStart w:id="428" w:name="_Toc296891207"/>
      <w:bookmarkStart w:id="429" w:name="_Toc296944506"/>
      <w:bookmarkStart w:id="430" w:name="_Toc312677493"/>
      <w:bookmarkStart w:id="431" w:name="_Toc297123527"/>
      <w:bookmarkStart w:id="432" w:name="_Toc296503167"/>
      <w:bookmarkStart w:id="433" w:name="_Toc292559372"/>
      <w:bookmarkStart w:id="434" w:name="_Toc280868654"/>
      <w:bookmarkStart w:id="435" w:name="_Toc303539136"/>
      <w:bookmarkStart w:id="436" w:name="_Toc297120467"/>
      <w:bookmarkStart w:id="437" w:name="_Toc296890995"/>
      <w:bookmarkStart w:id="438" w:name="_Toc296347166"/>
      <w:bookmarkStart w:id="439" w:name="_Toc280868656"/>
      <w:bookmarkStart w:id="440" w:name="_Toc267251424"/>
      <w:bookmarkStart w:id="441" w:name="_Toc280868655"/>
      <w:r>
        <w:rPr>
          <w:rFonts w:ascii="宋体" w:hAnsi="宋体"/>
          <w:color w:val="auto"/>
          <w:szCs w:val="21"/>
          <w:highlight w:val="none"/>
        </w:rPr>
        <w:t>.4材料与工程设备的保管与使用</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8</w:t>
      </w:r>
      <w:bookmarkStart w:id="442" w:name="_Toc292559373"/>
      <w:bookmarkStart w:id="443" w:name="_Toc292559878"/>
      <w:bookmarkStart w:id="444" w:name="_Toc312677494"/>
      <w:bookmarkStart w:id="445" w:name="_Toc300934980"/>
      <w:bookmarkStart w:id="446" w:name="_Toc297123528"/>
      <w:bookmarkStart w:id="447" w:name="_Toc297048354"/>
      <w:bookmarkStart w:id="448" w:name="_Toc297216187"/>
      <w:bookmarkStart w:id="449" w:name="_Toc296347167"/>
      <w:bookmarkStart w:id="450" w:name="_Toc296503168"/>
      <w:bookmarkStart w:id="451" w:name="_Toc312678020"/>
      <w:bookmarkStart w:id="452" w:name="_Toc318581173"/>
      <w:bookmarkStart w:id="453" w:name="_Toc297120468"/>
      <w:bookmarkStart w:id="454" w:name="_Toc304295557"/>
      <w:bookmarkStart w:id="455" w:name="_Toc303539137"/>
      <w:bookmarkStart w:id="456" w:name="_Toc296346669"/>
      <w:bookmarkStart w:id="457" w:name="_Toc296891208"/>
      <w:bookmarkStart w:id="458" w:name="_Toc296944507"/>
      <w:bookmarkStart w:id="459" w:name="_Toc296890996"/>
      <w:r>
        <w:rPr>
          <w:rFonts w:ascii="宋体" w:hAnsi="宋体"/>
          <w:color w:val="auto"/>
          <w:szCs w:val="21"/>
          <w:highlight w:val="none"/>
        </w:rPr>
        <w:t>.4.1发包人供应的材料设备的保管费用的承担：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442"/>
      <w:bookmarkEnd w:id="443"/>
    </w:p>
    <w:p>
      <w:pPr>
        <w:spacing w:line="480" w:lineRule="exact"/>
        <w:rPr>
          <w:rFonts w:ascii="宋体" w:hAnsi="宋体"/>
          <w:color w:val="auto"/>
          <w:szCs w:val="21"/>
          <w:highlight w:val="none"/>
        </w:rPr>
      </w:pPr>
      <w:r>
        <w:rPr>
          <w:rFonts w:ascii="宋体" w:hAnsi="宋体"/>
          <w:color w:val="auto"/>
          <w:szCs w:val="21"/>
          <w:highlight w:val="none"/>
        </w:rPr>
        <w:t>8.6 样品</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8.6.1</w:t>
      </w:r>
      <w:r>
        <w:rPr>
          <w:rFonts w:ascii="宋体" w:hAnsi="宋体"/>
          <w:color w:val="auto"/>
          <w:kern w:val="0"/>
          <w:szCs w:val="21"/>
          <w:highlight w:val="none"/>
        </w:rPr>
        <w:tab/>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pPr>
        <w:autoSpaceDE w:val="0"/>
        <w:autoSpaceDN w:val="0"/>
        <w:adjustRightInd w:val="0"/>
        <w:spacing w:line="480" w:lineRule="exact"/>
        <w:ind w:firstLine="420" w:firstLineChars="200"/>
        <w:jc w:val="left"/>
        <w:rPr>
          <w:rFonts w:ascii="宋体" w:hAnsi="宋体"/>
          <w:color w:val="auto"/>
          <w:szCs w:val="21"/>
          <w:highlight w:val="none"/>
          <w:u w:val="single"/>
        </w:rPr>
      </w:pPr>
      <w:r>
        <w:rPr>
          <w:rFonts w:ascii="宋体" w:hAnsi="宋体"/>
          <w:color w:val="auto"/>
          <w:kern w:val="0"/>
          <w:szCs w:val="21"/>
          <w:highlight w:val="none"/>
        </w:rPr>
        <w:t>需要承包人报送样品的材料或工程设备，样品的种类、名称、规格、数量要求：</w:t>
      </w:r>
      <w:r>
        <w:rPr>
          <w:rFonts w:ascii="宋体" w:hAnsi="宋体"/>
          <w:color w:val="auto"/>
          <w:szCs w:val="21"/>
          <w:highlight w:val="none"/>
          <w:u w:val="single"/>
        </w:rPr>
        <w:t xml:space="preserve"> </w:t>
      </w:r>
    </w:p>
    <w:p>
      <w:pPr>
        <w:autoSpaceDE w:val="0"/>
        <w:autoSpaceDN w:val="0"/>
        <w:adjustRightInd w:val="0"/>
        <w:spacing w:line="480" w:lineRule="exact"/>
        <w:jc w:val="left"/>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8.8 施工设备和临时设施</w:t>
      </w:r>
    </w:p>
    <w:p>
      <w:pPr>
        <w:spacing w:line="480" w:lineRule="exact"/>
        <w:rPr>
          <w:rFonts w:ascii="宋体" w:hAnsi="宋体"/>
          <w:color w:val="auto"/>
          <w:szCs w:val="21"/>
          <w:highlight w:val="none"/>
        </w:rPr>
      </w:pPr>
      <w:r>
        <w:rPr>
          <w:rFonts w:ascii="宋体" w:hAnsi="宋体"/>
          <w:color w:val="auto"/>
          <w:szCs w:val="21"/>
          <w:highlight w:val="none"/>
        </w:rPr>
        <w:t>8.8.1 承包人提供的施工设备和临时设施</w:t>
      </w:r>
    </w:p>
    <w:p>
      <w:pPr>
        <w:spacing w:line="480" w:lineRule="exact"/>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Pr>
        <w:spacing w:line="480" w:lineRule="exact"/>
        <w:rPr>
          <w:rFonts w:ascii="宋体" w:hAnsi="宋体"/>
          <w:color w:val="auto"/>
          <w:szCs w:val="21"/>
          <w:highlight w:val="none"/>
        </w:rPr>
      </w:pPr>
      <w:bookmarkStart w:id="460" w:name="_Toc351203641"/>
      <w:r>
        <w:rPr>
          <w:rFonts w:ascii="宋体" w:hAnsi="宋体"/>
          <w:color w:val="auto"/>
          <w:szCs w:val="21"/>
          <w:highlight w:val="none"/>
        </w:rPr>
        <w:t>9</w:t>
      </w:r>
      <w:bookmarkEnd w:id="439"/>
      <w:bookmarkEnd w:id="440"/>
      <w:bookmarkEnd w:id="441"/>
      <w:bookmarkStart w:id="461" w:name="_Toc297216192"/>
      <w:bookmarkStart w:id="462" w:name="_Toc304295559"/>
      <w:bookmarkStart w:id="463" w:name="_Toc300934982"/>
      <w:bookmarkStart w:id="464" w:name="_Toc312677495"/>
      <w:bookmarkStart w:id="465" w:name="_Toc297123533"/>
      <w:bookmarkStart w:id="466" w:name="_Toc312678021"/>
      <w:bookmarkStart w:id="467" w:name="_Toc303539139"/>
      <w:bookmarkStart w:id="468" w:name="_Toc296346674"/>
      <w:bookmarkStart w:id="469" w:name="_Toc296503173"/>
      <w:bookmarkStart w:id="470" w:name="_Toc296347172"/>
      <w:bookmarkStart w:id="471" w:name="_Toc292559883"/>
      <w:bookmarkStart w:id="472" w:name="_Toc297120473"/>
      <w:bookmarkStart w:id="473" w:name="_Toc296891001"/>
      <w:bookmarkStart w:id="474" w:name="_Toc296944512"/>
      <w:bookmarkStart w:id="475" w:name="_Toc296891213"/>
      <w:bookmarkStart w:id="476" w:name="_Toc267251427"/>
      <w:bookmarkStart w:id="477" w:name="_Toc292559378"/>
      <w:bookmarkStart w:id="478" w:name="_Toc267251428"/>
      <w:bookmarkStart w:id="479" w:name="_Toc297048359"/>
      <w:r>
        <w:rPr>
          <w:rFonts w:ascii="宋体" w:hAnsi="宋体"/>
          <w:color w:val="auto"/>
          <w:szCs w:val="21"/>
          <w:highlight w:val="none"/>
        </w:rPr>
        <w:t>. 试验与检验</w:t>
      </w:r>
      <w:bookmarkEnd w:id="460"/>
    </w:p>
    <w:bookmarkEnd w:id="461"/>
    <w:bookmarkEnd w:id="462"/>
    <w:bookmarkEnd w:id="463"/>
    <w:bookmarkEnd w:id="464"/>
    <w:bookmarkEnd w:id="465"/>
    <w:bookmarkEnd w:id="466"/>
    <w:bookmarkEnd w:id="467"/>
    <w:p>
      <w:pPr>
        <w:spacing w:line="480" w:lineRule="exact"/>
        <w:rPr>
          <w:rFonts w:ascii="宋体" w:hAnsi="宋体"/>
          <w:color w:val="auto"/>
          <w:szCs w:val="21"/>
          <w:highlight w:val="none"/>
        </w:rPr>
      </w:pPr>
      <w:r>
        <w:rPr>
          <w:rFonts w:ascii="宋体" w:hAnsi="宋体"/>
          <w:color w:val="auto"/>
          <w:szCs w:val="21"/>
          <w:highlight w:val="none"/>
        </w:rPr>
        <w:t>9</w:t>
      </w:r>
      <w:bookmarkStart w:id="480" w:name="_Toc300934983"/>
      <w:bookmarkStart w:id="481" w:name="_Toc312677496"/>
      <w:bookmarkStart w:id="482" w:name="_Toc312678022"/>
      <w:bookmarkStart w:id="483" w:name="_Toc304295560"/>
      <w:bookmarkStart w:id="484" w:name="_Toc297216193"/>
      <w:bookmarkStart w:id="485" w:name="_Toc297123534"/>
      <w:bookmarkStart w:id="486" w:name="_Toc303539140"/>
      <w:r>
        <w:rPr>
          <w:rFonts w:ascii="宋体" w:hAnsi="宋体"/>
          <w:color w:val="auto"/>
          <w:szCs w:val="21"/>
          <w:highlight w:val="none"/>
        </w:rPr>
        <w:t>.1试验设备与试验人员</w:t>
      </w:r>
    </w:p>
    <w:bookmarkEnd w:id="480"/>
    <w:bookmarkEnd w:id="481"/>
    <w:bookmarkEnd w:id="482"/>
    <w:bookmarkEnd w:id="483"/>
    <w:bookmarkEnd w:id="484"/>
    <w:bookmarkEnd w:id="485"/>
    <w:bookmarkEnd w:id="486"/>
    <w:p>
      <w:pPr>
        <w:spacing w:line="480" w:lineRule="exact"/>
        <w:rPr>
          <w:rFonts w:ascii="宋体" w:hAnsi="宋体"/>
          <w:color w:val="auto"/>
          <w:szCs w:val="21"/>
          <w:highlight w:val="none"/>
        </w:rPr>
      </w:pPr>
      <w:r>
        <w:rPr>
          <w:rFonts w:ascii="宋体" w:hAnsi="宋体"/>
          <w:color w:val="auto"/>
          <w:szCs w:val="21"/>
          <w:highlight w:val="none"/>
        </w:rPr>
        <w:t>9</w:t>
      </w:r>
      <w:bookmarkStart w:id="487" w:name="_Toc297216194"/>
      <w:bookmarkStart w:id="488" w:name="_Toc300934984"/>
      <w:bookmarkStart w:id="489" w:name="_Toc297123535"/>
      <w:bookmarkStart w:id="490" w:name="_Toc312678023"/>
      <w:bookmarkStart w:id="491" w:name="_Toc304295561"/>
      <w:bookmarkStart w:id="492" w:name="_Toc312677497"/>
      <w:bookmarkStart w:id="493" w:name="_Toc303539141"/>
      <w:bookmarkStart w:id="494" w:name="_Toc318581174"/>
      <w:r>
        <w:rPr>
          <w:rFonts w:ascii="宋体" w:hAnsi="宋体"/>
          <w:color w:val="auto"/>
          <w:szCs w:val="21"/>
          <w:highlight w:val="none"/>
        </w:rPr>
        <w:t>.1.2 试验设备</w:t>
      </w:r>
    </w:p>
    <w:p>
      <w:pPr>
        <w:spacing w:line="480" w:lineRule="exact"/>
        <w:rPr>
          <w:rFonts w:ascii="宋体" w:hAnsi="宋体"/>
          <w:color w:val="auto"/>
          <w:szCs w:val="21"/>
          <w:highlight w:val="none"/>
        </w:rPr>
      </w:pPr>
      <w:r>
        <w:rPr>
          <w:rFonts w:ascii="宋体" w:hAnsi="宋体"/>
          <w:color w:val="auto"/>
          <w:szCs w:val="21"/>
          <w:highlight w:val="none"/>
        </w:rPr>
        <w:t>施工现场需要配置的试验场所：</w:t>
      </w:r>
      <w:bookmarkEnd w:id="487"/>
      <w:bookmarkEnd w:id="488"/>
      <w:bookmarkEnd w:id="489"/>
      <w:bookmarkEnd w:id="490"/>
      <w:bookmarkEnd w:id="491"/>
      <w:bookmarkEnd w:id="492"/>
      <w:bookmarkEnd w:id="493"/>
      <w:bookmarkStart w:id="495" w:name="_Toc312677498"/>
      <w:bookmarkStart w:id="496" w:name="_Toc303539142"/>
      <w:bookmarkStart w:id="497" w:name="_Toc300934985"/>
      <w:bookmarkStart w:id="498" w:name="_Toc297123536"/>
      <w:bookmarkStart w:id="499" w:name="_Toc304295562"/>
      <w:bookmarkStart w:id="500" w:name="_Toc312678024"/>
      <w:bookmarkStart w:id="501" w:name="_Toc297216195"/>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9.4 现场工艺试验</w:t>
      </w:r>
      <w:r>
        <w:rPr>
          <w:rFonts w:hint="eastAsia" w:ascii="宋体" w:hAnsi="宋体"/>
          <w:color w:val="auto"/>
          <w:szCs w:val="21"/>
          <w:highlight w:val="none"/>
        </w:rPr>
        <w:t xml:space="preserve"> </w:t>
      </w:r>
    </w:p>
    <w:p>
      <w:pPr>
        <w:spacing w:line="480" w:lineRule="exact"/>
        <w:rPr>
          <w:rFonts w:hint="eastAsia"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494"/>
    <w:bookmarkEnd w:id="495"/>
    <w:bookmarkEnd w:id="496"/>
    <w:bookmarkEnd w:id="497"/>
    <w:bookmarkEnd w:id="498"/>
    <w:bookmarkEnd w:id="499"/>
    <w:bookmarkEnd w:id="500"/>
    <w:bookmarkEnd w:id="501"/>
    <w:p>
      <w:pPr>
        <w:spacing w:line="480" w:lineRule="exact"/>
        <w:rPr>
          <w:rFonts w:ascii="宋体" w:hAnsi="宋体"/>
          <w:color w:val="auto"/>
          <w:szCs w:val="21"/>
          <w:highlight w:val="none"/>
        </w:rPr>
      </w:pPr>
      <w:bookmarkStart w:id="502" w:name="_Toc351203642"/>
      <w:r>
        <w:rPr>
          <w:rFonts w:ascii="宋体" w:hAnsi="宋体"/>
          <w:color w:val="auto"/>
          <w:szCs w:val="21"/>
          <w:highlight w:val="none"/>
        </w:rPr>
        <w:t>1</w:t>
      </w:r>
      <w:bookmarkEnd w:id="468"/>
      <w:bookmarkEnd w:id="469"/>
      <w:bookmarkEnd w:id="470"/>
      <w:bookmarkEnd w:id="471"/>
      <w:bookmarkEnd w:id="472"/>
      <w:bookmarkEnd w:id="473"/>
      <w:bookmarkEnd w:id="474"/>
      <w:bookmarkEnd w:id="475"/>
      <w:bookmarkEnd w:id="476"/>
      <w:bookmarkEnd w:id="477"/>
      <w:bookmarkEnd w:id="478"/>
      <w:bookmarkEnd w:id="479"/>
      <w:bookmarkStart w:id="503" w:name="_Toc292559398"/>
      <w:bookmarkStart w:id="504" w:name="_Toc296347192"/>
      <w:bookmarkStart w:id="505" w:name="_Toc297120493"/>
      <w:bookmarkStart w:id="506" w:name="_Toc296944532"/>
      <w:bookmarkStart w:id="507" w:name="_Toc304295566"/>
      <w:bookmarkStart w:id="508" w:name="_Toc297048379"/>
      <w:bookmarkStart w:id="509" w:name="_Toc297123540"/>
      <w:bookmarkStart w:id="510" w:name="_Toc300934989"/>
      <w:bookmarkStart w:id="511" w:name="_Toc297216199"/>
      <w:bookmarkStart w:id="512" w:name="_Toc296346694"/>
      <w:bookmarkStart w:id="513" w:name="_Toc303539146"/>
      <w:bookmarkStart w:id="514" w:name="_Toc296503193"/>
      <w:bookmarkStart w:id="515" w:name="_Toc292559903"/>
      <w:bookmarkStart w:id="516" w:name="_Toc296891021"/>
      <w:bookmarkStart w:id="517" w:name="_Toc296891233"/>
      <w:bookmarkStart w:id="518" w:name="_Toc312678025"/>
      <w:bookmarkStart w:id="519" w:name="_Toc312677499"/>
      <w:bookmarkStart w:id="520" w:name="_Toc267251439"/>
      <w:bookmarkStart w:id="521" w:name="_Toc267251437"/>
      <w:bookmarkStart w:id="522" w:name="_Toc267251435"/>
      <w:bookmarkStart w:id="523" w:name="_Toc267251440"/>
      <w:bookmarkStart w:id="524" w:name="_Toc267251433"/>
      <w:bookmarkStart w:id="525" w:name="_Toc267251441"/>
      <w:bookmarkStart w:id="526" w:name="_Toc267251442"/>
      <w:r>
        <w:rPr>
          <w:rFonts w:ascii="宋体" w:hAnsi="宋体"/>
          <w:color w:val="auto"/>
          <w:szCs w:val="21"/>
          <w:highlight w:val="none"/>
        </w:rPr>
        <w:t>0. 变更</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bookmarkEnd w:id="518"/>
    <w:bookmarkEnd w:id="519"/>
    <w:p>
      <w:pPr>
        <w:spacing w:line="480" w:lineRule="exact"/>
        <w:rPr>
          <w:rFonts w:ascii="宋体" w:hAnsi="宋体"/>
          <w:color w:val="auto"/>
          <w:szCs w:val="21"/>
          <w:highlight w:val="none"/>
        </w:rPr>
      </w:pPr>
      <w:r>
        <w:rPr>
          <w:rFonts w:ascii="宋体" w:hAnsi="宋体"/>
          <w:color w:val="auto"/>
          <w:szCs w:val="21"/>
          <w:highlight w:val="none"/>
        </w:rPr>
        <w:t>1</w:t>
      </w:r>
      <w:bookmarkStart w:id="527" w:name="_Toc292559904"/>
      <w:bookmarkStart w:id="528" w:name="_Toc312677500"/>
      <w:bookmarkStart w:id="529" w:name="_Toc297216200"/>
      <w:bookmarkStart w:id="530" w:name="_Toc296347193"/>
      <w:bookmarkStart w:id="531" w:name="_Toc300934990"/>
      <w:bookmarkStart w:id="532" w:name="_Toc304295567"/>
      <w:bookmarkStart w:id="533" w:name="_Toc292559399"/>
      <w:bookmarkStart w:id="534" w:name="_Toc297120494"/>
      <w:bookmarkStart w:id="535" w:name="_Toc296944533"/>
      <w:bookmarkStart w:id="536" w:name="_Toc296346695"/>
      <w:bookmarkStart w:id="537" w:name="_Toc312678026"/>
      <w:bookmarkStart w:id="538" w:name="_Toc297048380"/>
      <w:bookmarkStart w:id="539" w:name="_Toc296503194"/>
      <w:bookmarkStart w:id="540" w:name="_Toc297123541"/>
      <w:bookmarkStart w:id="541" w:name="_Toc296891022"/>
      <w:bookmarkStart w:id="542" w:name="_Toc296891234"/>
      <w:bookmarkStart w:id="543" w:name="_Toc303539147"/>
      <w:r>
        <w:rPr>
          <w:rFonts w:ascii="宋体" w:hAnsi="宋体"/>
          <w:color w:val="auto"/>
          <w:szCs w:val="21"/>
          <w:highlight w:val="none"/>
        </w:rPr>
        <w:t>0.1变更的范围</w:t>
      </w:r>
    </w:p>
    <w:p>
      <w:pPr>
        <w:spacing w:line="480" w:lineRule="exact"/>
        <w:rPr>
          <w:rFonts w:ascii="宋体" w:hAnsi="宋体"/>
          <w:color w:val="auto"/>
          <w:szCs w:val="21"/>
          <w:highlight w:val="none"/>
        </w:rPr>
      </w:pPr>
      <w:r>
        <w:rPr>
          <w:rFonts w:ascii="宋体" w:hAnsi="宋体"/>
          <w:color w:val="auto"/>
          <w:szCs w:val="21"/>
          <w:highlight w:val="none"/>
        </w:rPr>
        <w:t>关于变更的范围的约定：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10.4 变更估价</w:t>
      </w:r>
    </w:p>
    <w:p>
      <w:pPr>
        <w:spacing w:line="480" w:lineRule="exact"/>
        <w:rPr>
          <w:rFonts w:hint="eastAsia" w:ascii="宋体" w:hAnsi="宋体"/>
          <w:color w:val="auto"/>
          <w:szCs w:val="21"/>
          <w:highlight w:val="none"/>
        </w:rPr>
      </w:pPr>
      <w:r>
        <w:rPr>
          <w:rFonts w:hint="eastAsia" w:ascii="宋体" w:hAnsi="宋体"/>
          <w:color w:val="auto"/>
          <w:szCs w:val="21"/>
          <w:highlight w:val="none"/>
        </w:rPr>
        <w:t>10.4.1 变更估价原则</w:t>
      </w:r>
    </w:p>
    <w:p>
      <w:pPr>
        <w:spacing w:line="480" w:lineRule="exact"/>
        <w:rPr>
          <w:rFonts w:ascii="宋体" w:hAnsi="宋体"/>
          <w:color w:val="auto"/>
          <w:szCs w:val="21"/>
          <w:highlight w:val="none"/>
          <w:u w:val="single"/>
        </w:rPr>
      </w:pPr>
      <w:r>
        <w:rPr>
          <w:rFonts w:ascii="宋体" w:hAnsi="宋体"/>
          <w:color w:val="auto"/>
          <w:szCs w:val="21"/>
          <w:highlight w:val="none"/>
        </w:rPr>
        <w:t xml:space="preserve">关于变更估价的约定: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Start w:id="544" w:name="_Toc303539150"/>
      <w:bookmarkStart w:id="545" w:name="_Toc296347196"/>
      <w:bookmarkStart w:id="546" w:name="_Toc297123544"/>
      <w:bookmarkStart w:id="547" w:name="_Toc297216203"/>
      <w:bookmarkStart w:id="548" w:name="_Toc292559907"/>
      <w:bookmarkStart w:id="549" w:name="_Toc296944536"/>
      <w:bookmarkStart w:id="550" w:name="_Toc297048383"/>
      <w:bookmarkStart w:id="551" w:name="_Toc300934993"/>
      <w:bookmarkStart w:id="552" w:name="_Toc296891237"/>
      <w:bookmarkStart w:id="553" w:name="_Toc296346698"/>
      <w:bookmarkStart w:id="554" w:name="_Toc297120497"/>
      <w:bookmarkStart w:id="555" w:name="_Toc296503197"/>
      <w:bookmarkStart w:id="556" w:name="_Toc296891025"/>
      <w:bookmarkStart w:id="557" w:name="_Toc292559402"/>
      <w:bookmarkStart w:id="558" w:name="_Toc304295570"/>
      <w:bookmarkStart w:id="559" w:name="_Toc312677503"/>
      <w:bookmarkStart w:id="560" w:name="_Toc312678029"/>
      <w:r>
        <w:rPr>
          <w:rFonts w:ascii="宋体" w:hAnsi="宋体"/>
          <w:color w:val="auto"/>
          <w:szCs w:val="21"/>
          <w:highlight w:val="none"/>
        </w:rPr>
        <w:t>0.5承</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Start w:id="561" w:name="_Toc292559913"/>
      <w:bookmarkStart w:id="562" w:name="_Toc292559408"/>
      <w:bookmarkStart w:id="563" w:name="_Toc300934994"/>
      <w:bookmarkStart w:id="564" w:name="_Toc296891243"/>
      <w:bookmarkStart w:id="565" w:name="_Toc297123545"/>
      <w:bookmarkStart w:id="566" w:name="_Toc297048389"/>
      <w:bookmarkStart w:id="567" w:name="_Toc296944542"/>
      <w:bookmarkStart w:id="568" w:name="_Toc296891031"/>
      <w:bookmarkStart w:id="569" w:name="_Toc296346704"/>
      <w:bookmarkStart w:id="570" w:name="_Toc297216204"/>
      <w:bookmarkStart w:id="571" w:name="_Toc303539151"/>
      <w:bookmarkStart w:id="572" w:name="_Toc297120503"/>
      <w:bookmarkStart w:id="573" w:name="_Toc296347202"/>
      <w:bookmarkStart w:id="574" w:name="_Toc296503203"/>
      <w:r>
        <w:rPr>
          <w:rFonts w:ascii="宋体" w:hAnsi="宋体"/>
          <w:color w:val="auto"/>
          <w:szCs w:val="21"/>
          <w:highlight w:val="none"/>
        </w:rPr>
        <w:t>包人的合理化建议</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rPr>
          <w:rFonts w:ascii="宋体" w:hAnsi="宋体"/>
          <w:color w:val="auto"/>
          <w:szCs w:val="21"/>
          <w:highlight w:val="none"/>
        </w:rPr>
      </w:pPr>
      <w:r>
        <w:rPr>
          <w:rFonts w:ascii="宋体" w:hAnsi="宋体"/>
          <w:color w:val="auto"/>
          <w:szCs w:val="21"/>
          <w:highlight w:val="none"/>
        </w:rPr>
        <w:t>监理人审查承包人合理化建议的期限：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发包人审批承包人合理化建议的期限：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u w:val="single"/>
        </w:rPr>
      </w:pPr>
      <w:r>
        <w:rPr>
          <w:rFonts w:ascii="宋体" w:hAnsi="宋体"/>
          <w:color w:val="auto"/>
          <w:szCs w:val="21"/>
          <w:highlight w:val="none"/>
        </w:rPr>
        <w:t>承</w:t>
      </w:r>
      <w:bookmarkStart w:id="575" w:name="_Toc297123546"/>
      <w:bookmarkStart w:id="576" w:name="_Toc304295571"/>
      <w:bookmarkStart w:id="577" w:name="_Toc296944543"/>
      <w:bookmarkStart w:id="578" w:name="_Toc312678030"/>
      <w:bookmarkStart w:id="579" w:name="_Toc292559409"/>
      <w:bookmarkStart w:id="580" w:name="_Toc297216205"/>
      <w:bookmarkStart w:id="581" w:name="_Toc296347203"/>
      <w:bookmarkStart w:id="582" w:name="_Toc296891244"/>
      <w:bookmarkStart w:id="583" w:name="_Toc296346705"/>
      <w:bookmarkStart w:id="584" w:name="_Toc300934995"/>
      <w:bookmarkStart w:id="585" w:name="_Toc312677504"/>
      <w:bookmarkStart w:id="586" w:name="_Toc303539152"/>
      <w:bookmarkStart w:id="587" w:name="_Toc296891032"/>
      <w:bookmarkStart w:id="588" w:name="_Toc318581175"/>
      <w:bookmarkStart w:id="589" w:name="_Toc292559914"/>
      <w:bookmarkStart w:id="590" w:name="_Toc297048390"/>
      <w:bookmarkStart w:id="591" w:name="_Toc296503204"/>
      <w:bookmarkStart w:id="592" w:name="_Toc297120504"/>
      <w:r>
        <w:rPr>
          <w:rFonts w:ascii="宋体" w:hAnsi="宋体"/>
          <w:color w:val="auto"/>
          <w:szCs w:val="21"/>
          <w:highlight w:val="none"/>
        </w:rPr>
        <w:t>包人提出的合理化建议降低了合同价格或者提高了工程经济效益的奖励的方法和金额为：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Pr>
        <w:spacing w:line="480" w:lineRule="exact"/>
        <w:rPr>
          <w:rFonts w:ascii="宋体" w:hAnsi="宋体"/>
          <w:color w:val="auto"/>
          <w:szCs w:val="21"/>
          <w:highlight w:val="none"/>
        </w:rPr>
      </w:pPr>
      <w:r>
        <w:rPr>
          <w:rFonts w:ascii="宋体" w:hAnsi="宋体"/>
          <w:color w:val="auto"/>
          <w:szCs w:val="21"/>
          <w:highlight w:val="none"/>
        </w:rPr>
        <w:t>1</w:t>
      </w:r>
      <w:bookmarkStart w:id="593" w:name="_Toc296503199"/>
      <w:bookmarkStart w:id="594" w:name="_Toc292559404"/>
      <w:bookmarkStart w:id="595" w:name="_Toc304295574"/>
      <w:bookmarkStart w:id="596" w:name="_Toc296891239"/>
      <w:bookmarkStart w:id="597" w:name="_Toc297123548"/>
      <w:bookmarkStart w:id="598" w:name="_Toc297216207"/>
      <w:bookmarkStart w:id="599" w:name="_Toc292559909"/>
      <w:bookmarkStart w:id="600" w:name="_Toc312678033"/>
      <w:bookmarkStart w:id="601" w:name="_Toc303539154"/>
      <w:bookmarkStart w:id="602" w:name="_Toc312677507"/>
      <w:bookmarkStart w:id="603" w:name="_Toc300934997"/>
      <w:bookmarkStart w:id="604" w:name="_Toc296346700"/>
      <w:bookmarkStart w:id="605" w:name="_Toc297120499"/>
      <w:bookmarkStart w:id="606" w:name="_Toc296347198"/>
      <w:bookmarkStart w:id="607" w:name="_Toc297048385"/>
      <w:bookmarkStart w:id="608" w:name="_Toc296944538"/>
      <w:bookmarkStart w:id="609" w:name="_Toc296891027"/>
      <w:r>
        <w:rPr>
          <w:rFonts w:ascii="宋体" w:hAnsi="宋体"/>
          <w:color w:val="auto"/>
          <w:szCs w:val="21"/>
          <w:highlight w:val="none"/>
        </w:rPr>
        <w:t>0.7 暂估价</w:t>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Pr>
        <w:spacing w:line="480" w:lineRule="exact"/>
        <w:rPr>
          <w:rFonts w:ascii="宋体" w:hAnsi="宋体"/>
          <w:color w:val="auto"/>
          <w:szCs w:val="21"/>
          <w:highlight w:val="none"/>
        </w:rPr>
      </w:pPr>
      <w:r>
        <w:rPr>
          <w:rFonts w:ascii="宋体" w:hAnsi="宋体"/>
          <w:color w:val="auto"/>
          <w:kern w:val="0"/>
          <w:szCs w:val="21"/>
          <w:highlight w:val="none"/>
        </w:rPr>
        <w:t>暂</w:t>
      </w:r>
      <w:bookmarkStart w:id="610" w:name="_Toc312678034"/>
      <w:bookmarkStart w:id="611" w:name="_Toc312677508"/>
      <w:bookmarkStart w:id="612" w:name="_Toc318581176"/>
      <w:r>
        <w:rPr>
          <w:rFonts w:ascii="宋体" w:hAnsi="宋体"/>
          <w:color w:val="auto"/>
          <w:kern w:val="0"/>
          <w:szCs w:val="21"/>
          <w:highlight w:val="none"/>
        </w:rPr>
        <w:t>估价材料和工程设备的明细详见附件</w:t>
      </w:r>
      <w:r>
        <w:rPr>
          <w:rFonts w:hint="eastAsia" w:ascii="宋体" w:hAnsi="宋体"/>
          <w:color w:val="auto"/>
          <w:kern w:val="0"/>
          <w:szCs w:val="21"/>
          <w:highlight w:val="none"/>
        </w:rPr>
        <w:t>11：《</w:t>
      </w:r>
      <w:r>
        <w:rPr>
          <w:rFonts w:ascii="宋体" w:hAnsi="宋体"/>
          <w:color w:val="auto"/>
          <w:szCs w:val="21"/>
          <w:highlight w:val="none"/>
        </w:rPr>
        <w:t>暂估价一览表</w:t>
      </w:r>
      <w:r>
        <w:rPr>
          <w:rFonts w:hint="eastAsia" w:ascii="宋体" w:hAnsi="宋体"/>
          <w:color w:val="auto"/>
          <w:szCs w:val="21"/>
          <w:highlight w:val="none"/>
        </w:rPr>
        <w:t>》</w:t>
      </w:r>
      <w:r>
        <w:rPr>
          <w:rFonts w:hint="eastAsia" w:ascii="宋体" w:hAnsi="宋体"/>
          <w:color w:val="auto"/>
          <w:kern w:val="0"/>
          <w:szCs w:val="21"/>
          <w:highlight w:val="none"/>
        </w:rPr>
        <w:t>。</w:t>
      </w:r>
    </w:p>
    <w:bookmarkEnd w:id="610"/>
    <w:bookmarkEnd w:id="611"/>
    <w:bookmarkEnd w:id="612"/>
    <w:p>
      <w:pPr>
        <w:spacing w:line="480" w:lineRule="exact"/>
        <w:rPr>
          <w:rFonts w:ascii="宋体" w:hAnsi="宋体"/>
          <w:color w:val="auto"/>
          <w:szCs w:val="21"/>
          <w:highlight w:val="none"/>
        </w:rPr>
      </w:pPr>
      <w:r>
        <w:rPr>
          <w:rFonts w:ascii="宋体" w:hAnsi="宋体"/>
          <w:color w:val="auto"/>
          <w:szCs w:val="21"/>
          <w:highlight w:val="none"/>
        </w:rPr>
        <w:t>1</w:t>
      </w:r>
      <w:bookmarkStart w:id="613" w:name="_Toc312677509"/>
      <w:bookmarkStart w:id="614" w:name="_Toc318581177"/>
      <w:bookmarkStart w:id="615" w:name="_Toc312678035"/>
      <w:r>
        <w:rPr>
          <w:rFonts w:ascii="宋体" w:hAnsi="宋体"/>
          <w:color w:val="auto"/>
          <w:szCs w:val="21"/>
          <w:highlight w:val="none"/>
        </w:rPr>
        <w:t>0.7.1 依法必须招标的暂估价项目</w:t>
      </w:r>
    </w:p>
    <w:bookmarkEnd w:id="613"/>
    <w:bookmarkEnd w:id="614"/>
    <w:bookmarkEnd w:id="615"/>
    <w:p>
      <w:pPr>
        <w:spacing w:line="480" w:lineRule="exact"/>
        <w:rPr>
          <w:rFonts w:ascii="宋体" w:hAnsi="宋体"/>
          <w:color w:val="auto"/>
          <w:szCs w:val="21"/>
          <w:highlight w:val="none"/>
        </w:rPr>
      </w:pPr>
      <w:r>
        <w:rPr>
          <w:rFonts w:ascii="宋体" w:hAnsi="宋体"/>
          <w:color w:val="auto"/>
          <w:szCs w:val="21"/>
          <w:highlight w:val="none"/>
        </w:rPr>
        <w:t>对于依法必须招标的暂估价项目的确认和批准采取第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种方式确定。</w:t>
      </w:r>
    </w:p>
    <w:p>
      <w:pPr>
        <w:spacing w:line="480" w:lineRule="exact"/>
        <w:rPr>
          <w:rFonts w:ascii="宋体" w:hAnsi="宋体"/>
          <w:color w:val="auto"/>
          <w:szCs w:val="21"/>
          <w:highlight w:val="none"/>
        </w:rPr>
      </w:pPr>
      <w:r>
        <w:rPr>
          <w:rFonts w:ascii="宋体" w:hAnsi="宋体"/>
          <w:color w:val="auto"/>
          <w:szCs w:val="21"/>
          <w:highlight w:val="none"/>
        </w:rPr>
        <w:t>10.7.2 不属于依法必须招标的暂估价项目</w:t>
      </w:r>
    </w:p>
    <w:p>
      <w:pPr>
        <w:spacing w:line="480" w:lineRule="exact"/>
        <w:rPr>
          <w:rFonts w:hint="eastAsia" w:ascii="宋体" w:hAnsi="宋体"/>
          <w:color w:val="auto"/>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 xml:space="preserve"> 种方式确定。</w:t>
      </w:r>
    </w:p>
    <w:p>
      <w:pPr>
        <w:spacing w:line="480" w:lineRule="exact"/>
        <w:rPr>
          <w:rFonts w:ascii="宋体" w:hAnsi="宋体"/>
          <w:color w:val="auto"/>
          <w:kern w:val="0"/>
          <w:szCs w:val="21"/>
          <w:highlight w:val="none"/>
        </w:rPr>
      </w:pPr>
      <w:r>
        <w:rPr>
          <w:rFonts w:ascii="宋体" w:hAnsi="宋体"/>
          <w:color w:val="auto"/>
          <w:szCs w:val="21"/>
          <w:highlight w:val="none"/>
        </w:rPr>
        <w:t>第3种方式：</w:t>
      </w:r>
      <w:r>
        <w:rPr>
          <w:rFonts w:ascii="宋体" w:hAnsi="宋体"/>
          <w:color w:val="auto"/>
          <w:kern w:val="0"/>
          <w:szCs w:val="21"/>
          <w:highlight w:val="none"/>
        </w:rPr>
        <w:t>承包人直接实施的暂估价项目</w:t>
      </w:r>
    </w:p>
    <w:p>
      <w:pPr>
        <w:spacing w:line="480" w:lineRule="exact"/>
        <w:rPr>
          <w:rFonts w:hint="eastAsia" w:ascii="宋体" w:hAnsi="宋体"/>
          <w:color w:val="auto"/>
          <w:szCs w:val="21"/>
          <w:highlight w:val="none"/>
        </w:rPr>
      </w:pPr>
      <w:r>
        <w:rPr>
          <w:rFonts w:ascii="宋体" w:hAnsi="宋体"/>
          <w:color w:val="auto"/>
          <w:szCs w:val="21"/>
          <w:highlight w:val="none"/>
        </w:rPr>
        <w:t>承包人直接实施的暂估价项目的约定：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10.8 暂列金额</w:t>
      </w:r>
    </w:p>
    <w:p>
      <w:pPr>
        <w:spacing w:line="480" w:lineRule="exact"/>
        <w:rPr>
          <w:rFonts w:ascii="宋体" w:hAnsi="宋体"/>
          <w:color w:val="auto"/>
          <w:kern w:val="0"/>
          <w:szCs w:val="21"/>
          <w:highlight w:val="none"/>
        </w:rPr>
      </w:pPr>
      <w:r>
        <w:rPr>
          <w:rFonts w:hint="eastAsia" w:ascii="宋体" w:hAnsi="宋体"/>
          <w:color w:val="auto"/>
          <w:kern w:val="0"/>
          <w:szCs w:val="21"/>
          <w:highlight w:val="none"/>
        </w:rPr>
        <w:t>合同当事人关于暂列金额使用的约定：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pPr>
        <w:spacing w:line="480" w:lineRule="exact"/>
        <w:rPr>
          <w:rFonts w:ascii="宋体" w:hAnsi="宋体"/>
          <w:color w:val="auto"/>
          <w:szCs w:val="21"/>
          <w:highlight w:val="none"/>
        </w:rPr>
      </w:pPr>
      <w:bookmarkStart w:id="616" w:name="_Toc351203643"/>
      <w:r>
        <w:rPr>
          <w:rFonts w:ascii="宋体" w:hAnsi="宋体"/>
          <w:color w:val="auto"/>
          <w:szCs w:val="21"/>
          <w:highlight w:val="none"/>
        </w:rPr>
        <w:t>11. 价格调整</w:t>
      </w:r>
      <w:bookmarkEnd w:id="616"/>
    </w:p>
    <w:p>
      <w:pPr>
        <w:spacing w:line="480" w:lineRule="exact"/>
        <w:rPr>
          <w:rFonts w:ascii="宋体" w:hAnsi="宋体"/>
          <w:color w:val="auto"/>
          <w:szCs w:val="21"/>
          <w:highlight w:val="none"/>
        </w:rPr>
      </w:pPr>
      <w:bookmarkStart w:id="617" w:name="_Toc297048387"/>
      <w:bookmarkStart w:id="618" w:name="_Toc296346702"/>
      <w:bookmarkStart w:id="619" w:name="_Toc312678039"/>
      <w:bookmarkStart w:id="620" w:name="_Toc292559911"/>
      <w:bookmarkStart w:id="621" w:name="_Toc296347200"/>
      <w:bookmarkStart w:id="622" w:name="_Toc296891241"/>
      <w:bookmarkStart w:id="623" w:name="_Toc296944540"/>
      <w:bookmarkStart w:id="624" w:name="_Toc296891029"/>
      <w:bookmarkStart w:id="625" w:name="_Toc296503201"/>
      <w:bookmarkStart w:id="626" w:name="_Toc297216209"/>
      <w:bookmarkStart w:id="627" w:name="_Toc300935000"/>
      <w:bookmarkStart w:id="628" w:name="_Toc297123550"/>
      <w:bookmarkStart w:id="629" w:name="_Toc292559406"/>
      <w:bookmarkStart w:id="630" w:name="_Toc303539157"/>
      <w:bookmarkStart w:id="631" w:name="_Toc304295577"/>
      <w:bookmarkStart w:id="632" w:name="_Toc297120501"/>
      <w:r>
        <w:rPr>
          <w:rFonts w:ascii="宋体" w:hAnsi="宋体"/>
          <w:color w:val="auto"/>
          <w:szCs w:val="21"/>
          <w:highlight w:val="none"/>
        </w:rPr>
        <w:t>11.1 市场价格波动引起的调整</w:t>
      </w:r>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Pr>
        <w:spacing w:line="480" w:lineRule="exact"/>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w:t>
      </w:r>
      <w:r>
        <w:rPr>
          <w:rFonts w:ascii="宋体" w:hAnsi="宋体"/>
          <w:color w:val="auto"/>
          <w:szCs w:val="21"/>
          <w:highlight w:val="none"/>
        </w:rPr>
        <w:t>种方式对合同价格进行调整：</w:t>
      </w:r>
    </w:p>
    <w:p>
      <w:pPr>
        <w:spacing w:line="480" w:lineRule="exact"/>
        <w:rPr>
          <w:rFonts w:ascii="宋体" w:hAnsi="宋体"/>
          <w:color w:val="auto"/>
          <w:szCs w:val="21"/>
          <w:highlight w:val="none"/>
        </w:rPr>
      </w:pPr>
      <w:r>
        <w:rPr>
          <w:rFonts w:ascii="宋体" w:hAnsi="宋体"/>
          <w:color w:val="auto"/>
          <w:szCs w:val="21"/>
          <w:highlight w:val="none"/>
        </w:rPr>
        <w:t>第1种方式：采用价格指数</w:t>
      </w:r>
      <w:r>
        <w:rPr>
          <w:rFonts w:hint="eastAsia" w:ascii="宋体" w:hAnsi="宋体"/>
          <w:color w:val="auto"/>
          <w:szCs w:val="21"/>
          <w:highlight w:val="none"/>
        </w:rPr>
        <w:t>进行价格</w:t>
      </w:r>
      <w:r>
        <w:rPr>
          <w:rFonts w:ascii="宋体" w:hAnsi="宋体"/>
          <w:color w:val="auto"/>
          <w:szCs w:val="21"/>
          <w:highlight w:val="none"/>
        </w:rPr>
        <w:t>调整。</w:t>
      </w:r>
    </w:p>
    <w:p>
      <w:pPr>
        <w:spacing w:line="480" w:lineRule="exact"/>
        <w:rPr>
          <w:rFonts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第2种方式：采用造价信息</w:t>
      </w:r>
      <w:r>
        <w:rPr>
          <w:rFonts w:hint="eastAsia" w:ascii="宋体" w:hAnsi="宋体"/>
          <w:color w:val="auto"/>
          <w:szCs w:val="21"/>
          <w:highlight w:val="none"/>
        </w:rPr>
        <w:t>进行价格</w:t>
      </w:r>
      <w:r>
        <w:rPr>
          <w:rFonts w:ascii="宋体" w:hAnsi="宋体"/>
          <w:color w:val="auto"/>
          <w:szCs w:val="21"/>
          <w:highlight w:val="none"/>
        </w:rPr>
        <w:t>调整。</w:t>
      </w:r>
    </w:p>
    <w:p>
      <w:pPr>
        <w:spacing w:line="480" w:lineRule="exact"/>
        <w:rPr>
          <w:rFonts w:ascii="宋体" w:hAnsi="宋体"/>
          <w:color w:val="auto"/>
          <w:szCs w:val="21"/>
          <w:highlight w:val="none"/>
        </w:rPr>
      </w:pPr>
      <w:r>
        <w:rPr>
          <w:rFonts w:ascii="宋体" w:hAnsi="宋体"/>
          <w:color w:val="auto"/>
          <w:szCs w:val="21"/>
          <w:highlight w:val="none"/>
        </w:rPr>
        <w:t>（2）关于基准价格的约定：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专用合同条款</w:t>
      </w:r>
      <w:r>
        <w:rPr>
          <w:rFonts w:hint="eastAsia" w:ascii="宋体" w:hAnsi="宋体" w:cs="宋体"/>
          <w:color w:val="auto"/>
          <w:szCs w:val="21"/>
          <w:highlight w:val="none"/>
        </w:rPr>
        <w:t>①</w:t>
      </w:r>
      <w:r>
        <w:rPr>
          <w:rFonts w:ascii="宋体" w:hAnsi="宋体"/>
          <w:color w:val="auto"/>
          <w:szCs w:val="21"/>
          <w:highlight w:val="none"/>
        </w:rPr>
        <w:t>承包人在已标价工程量清单或预算书中载明的材料单价低于基准价格的：专用合同条款合同履行期间材料单价涨幅以基准价格为基础超过</w:t>
      </w:r>
      <w:r>
        <w:rPr>
          <w:rFonts w:ascii="宋体" w:hAnsi="宋体"/>
          <w:color w:val="auto"/>
          <w:szCs w:val="21"/>
          <w:highlight w:val="none"/>
          <w:u w:val="single"/>
        </w:rPr>
        <w:t xml:space="preserve">   </w:t>
      </w:r>
      <w:r>
        <w:rPr>
          <w:rFonts w:ascii="宋体" w:hAnsi="宋体"/>
          <w:color w:val="auto"/>
          <w:szCs w:val="21"/>
          <w:highlight w:val="none"/>
        </w:rPr>
        <w:t>%时，或材料单价跌幅以已标价工程量清单或预算书中载明材料单价为基础超过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480" w:lineRule="exact"/>
        <w:rPr>
          <w:rFonts w:ascii="宋体" w:hAnsi="宋体"/>
          <w:color w:val="auto"/>
          <w:szCs w:val="21"/>
          <w:highlight w:val="none"/>
        </w:rPr>
      </w:pPr>
      <w:r>
        <w:rPr>
          <w:rFonts w:hint="eastAsia" w:ascii="宋体" w:hAnsi="宋体" w:cs="宋体"/>
          <w:color w:val="auto"/>
          <w:szCs w:val="21"/>
          <w:highlight w:val="none"/>
        </w:rPr>
        <w:t>②</w:t>
      </w:r>
      <w:r>
        <w:rPr>
          <w:rFonts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ascii="宋体" w:hAnsi="宋体"/>
          <w:color w:val="auto"/>
          <w:szCs w:val="21"/>
          <w:highlight w:val="none"/>
          <w:u w:val="single"/>
        </w:rPr>
        <w:t xml:space="preserve">   </w:t>
      </w:r>
      <w:r>
        <w:rPr>
          <w:rFonts w:ascii="宋体" w:hAnsi="宋体"/>
          <w:color w:val="auto"/>
          <w:szCs w:val="21"/>
          <w:highlight w:val="none"/>
        </w:rPr>
        <w:t>%时，材料单价涨幅以已标价工程量清单或预算书中载明材料单价为基础超过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480" w:lineRule="exact"/>
        <w:rPr>
          <w:rFonts w:ascii="宋体" w:hAnsi="宋体"/>
          <w:color w:val="auto"/>
          <w:szCs w:val="21"/>
          <w:highlight w:val="none"/>
        </w:rPr>
      </w:pPr>
      <w:r>
        <w:rPr>
          <w:rFonts w:hint="eastAsia" w:ascii="宋体" w:hAnsi="宋体" w:cs="宋体"/>
          <w:color w:val="auto"/>
          <w:szCs w:val="21"/>
          <w:highlight w:val="none"/>
        </w:rPr>
        <w:t>③</w:t>
      </w:r>
      <w:r>
        <w:rPr>
          <w:rFonts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480" w:lineRule="exact"/>
        <w:rPr>
          <w:rFonts w:ascii="宋体" w:hAnsi="宋体"/>
          <w:color w:val="auto"/>
          <w:szCs w:val="21"/>
          <w:highlight w:val="none"/>
        </w:rPr>
      </w:pPr>
      <w:r>
        <w:rPr>
          <w:rFonts w:ascii="宋体" w:hAnsi="宋体"/>
          <w:color w:val="auto"/>
          <w:szCs w:val="21"/>
          <w:highlight w:val="none"/>
        </w:rPr>
        <w:t>第3种方式：其他价格调整方式：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20"/>
    <w:bookmarkEnd w:id="521"/>
    <w:bookmarkEnd w:id="522"/>
    <w:bookmarkEnd w:id="523"/>
    <w:bookmarkEnd w:id="524"/>
    <w:bookmarkEnd w:id="525"/>
    <w:p>
      <w:pPr>
        <w:spacing w:line="480" w:lineRule="exact"/>
        <w:rPr>
          <w:rFonts w:ascii="宋体" w:hAnsi="宋体"/>
          <w:color w:val="auto"/>
          <w:szCs w:val="21"/>
          <w:highlight w:val="none"/>
        </w:rPr>
      </w:pPr>
      <w:bookmarkStart w:id="633" w:name="_Toc292559410"/>
      <w:bookmarkStart w:id="634" w:name="_Toc296503205"/>
      <w:bookmarkStart w:id="635" w:name="_Toc296346706"/>
      <w:bookmarkStart w:id="636" w:name="_Toc297048391"/>
      <w:bookmarkStart w:id="637" w:name="_Toc297120505"/>
      <w:bookmarkStart w:id="638" w:name="_Toc296347204"/>
      <w:bookmarkStart w:id="639" w:name="_Toc296944544"/>
      <w:bookmarkStart w:id="640" w:name="_Toc296891033"/>
      <w:bookmarkStart w:id="641" w:name="_Toc292559915"/>
      <w:bookmarkStart w:id="642" w:name="_Toc296891245"/>
      <w:bookmarkStart w:id="643" w:name="_Toc351203644"/>
      <w:bookmarkStart w:id="644" w:name="_Toc312678040"/>
      <w:bookmarkStart w:id="645" w:name="_Toc304295579"/>
      <w:bookmarkStart w:id="646" w:name="_Toc300935002"/>
      <w:bookmarkStart w:id="647" w:name="_Toc297123552"/>
      <w:bookmarkStart w:id="648" w:name="_Toc303539159"/>
      <w:bookmarkStart w:id="649" w:name="_Toc297216211"/>
      <w:r>
        <w:rPr>
          <w:rFonts w:ascii="宋体" w:hAnsi="宋体"/>
          <w:color w:val="auto"/>
          <w:szCs w:val="21"/>
          <w:highlight w:val="none"/>
        </w:rPr>
        <w:t xml:space="preserve">12. </w:t>
      </w:r>
      <w:bookmarkEnd w:id="633"/>
      <w:bookmarkEnd w:id="634"/>
      <w:bookmarkEnd w:id="635"/>
      <w:bookmarkEnd w:id="636"/>
      <w:bookmarkEnd w:id="637"/>
      <w:bookmarkEnd w:id="638"/>
      <w:bookmarkEnd w:id="639"/>
      <w:bookmarkEnd w:id="640"/>
      <w:bookmarkEnd w:id="641"/>
      <w:bookmarkEnd w:id="642"/>
      <w:r>
        <w:rPr>
          <w:rFonts w:ascii="宋体" w:hAnsi="宋体"/>
          <w:color w:val="auto"/>
          <w:szCs w:val="21"/>
          <w:highlight w:val="none"/>
        </w:rPr>
        <w:t>合同价格、计量与支付</w:t>
      </w:r>
      <w:bookmarkEnd w:id="643"/>
    </w:p>
    <w:bookmarkEnd w:id="644"/>
    <w:bookmarkEnd w:id="645"/>
    <w:bookmarkEnd w:id="646"/>
    <w:bookmarkEnd w:id="647"/>
    <w:bookmarkEnd w:id="648"/>
    <w:bookmarkEnd w:id="649"/>
    <w:p>
      <w:pPr>
        <w:spacing w:line="480" w:lineRule="exact"/>
        <w:rPr>
          <w:rFonts w:ascii="宋体" w:hAnsi="宋体"/>
          <w:color w:val="auto"/>
          <w:szCs w:val="21"/>
          <w:highlight w:val="none"/>
        </w:rPr>
      </w:pPr>
      <w:bookmarkStart w:id="650" w:name="_Toc292559411"/>
      <w:bookmarkStart w:id="651" w:name="_Toc267251461"/>
      <w:bookmarkStart w:id="652" w:name="_Toc292559916"/>
      <w:bookmarkStart w:id="653" w:name="_Toc296503206"/>
      <w:bookmarkStart w:id="654" w:name="_Toc296891246"/>
      <w:bookmarkStart w:id="655" w:name="_Toc296346707"/>
      <w:bookmarkStart w:id="656" w:name="_Toc297120506"/>
      <w:bookmarkStart w:id="657" w:name="_Toc296944545"/>
      <w:bookmarkStart w:id="658" w:name="_Toc297048392"/>
      <w:bookmarkStart w:id="659" w:name="_Toc296891034"/>
      <w:bookmarkStart w:id="660" w:name="_Toc296347205"/>
      <w:bookmarkStart w:id="661" w:name="_Toc297216212"/>
      <w:bookmarkStart w:id="662" w:name="_Toc304295580"/>
      <w:bookmarkStart w:id="663" w:name="_Toc300935003"/>
      <w:bookmarkStart w:id="664" w:name="_Toc312678041"/>
      <w:bookmarkStart w:id="665" w:name="_Toc297123553"/>
      <w:bookmarkStart w:id="666" w:name="_Toc303539160"/>
      <w:r>
        <w:rPr>
          <w:rFonts w:ascii="宋体" w:hAnsi="宋体"/>
          <w:color w:val="auto"/>
          <w:szCs w:val="21"/>
          <w:highlight w:val="none"/>
        </w:rPr>
        <w:t>12.1 合</w:t>
      </w:r>
      <w:bookmarkEnd w:id="650"/>
      <w:bookmarkEnd w:id="651"/>
      <w:bookmarkEnd w:id="652"/>
      <w:r>
        <w:rPr>
          <w:rFonts w:ascii="宋体" w:hAnsi="宋体"/>
          <w:color w:val="auto"/>
          <w:szCs w:val="21"/>
          <w:highlight w:val="none"/>
        </w:rPr>
        <w:t>同价</w:t>
      </w:r>
      <w:bookmarkEnd w:id="653"/>
      <w:bookmarkEnd w:id="654"/>
      <w:bookmarkEnd w:id="655"/>
      <w:bookmarkEnd w:id="656"/>
      <w:bookmarkEnd w:id="657"/>
      <w:bookmarkEnd w:id="658"/>
      <w:bookmarkEnd w:id="659"/>
      <w:bookmarkEnd w:id="660"/>
      <w:r>
        <w:rPr>
          <w:rFonts w:ascii="宋体" w:hAnsi="宋体"/>
          <w:color w:val="auto"/>
          <w:szCs w:val="21"/>
          <w:highlight w:val="none"/>
        </w:rPr>
        <w:t>格形式</w:t>
      </w:r>
    </w:p>
    <w:bookmarkEnd w:id="661"/>
    <w:bookmarkEnd w:id="662"/>
    <w:bookmarkEnd w:id="663"/>
    <w:bookmarkEnd w:id="664"/>
    <w:bookmarkEnd w:id="665"/>
    <w:bookmarkEnd w:id="666"/>
    <w:p>
      <w:pPr>
        <w:spacing w:line="480" w:lineRule="exact"/>
        <w:rPr>
          <w:rFonts w:ascii="宋体" w:hAnsi="宋体"/>
          <w:color w:val="auto"/>
          <w:szCs w:val="21"/>
          <w:highlight w:val="none"/>
        </w:rPr>
      </w:pPr>
      <w:r>
        <w:rPr>
          <w:rFonts w:ascii="宋体" w:hAnsi="宋体"/>
          <w:color w:val="auto"/>
          <w:szCs w:val="21"/>
          <w:highlight w:val="none"/>
        </w:rPr>
        <w:t>1、单价合同。</w:t>
      </w:r>
    </w:p>
    <w:p>
      <w:pPr>
        <w:spacing w:line="480" w:lineRule="exact"/>
        <w:rPr>
          <w:rFonts w:ascii="宋体" w:hAnsi="宋体"/>
          <w:color w:val="auto"/>
          <w:szCs w:val="21"/>
          <w:highlight w:val="none"/>
        </w:rPr>
      </w:pPr>
      <w:r>
        <w:rPr>
          <w:rFonts w:ascii="宋体" w:hAnsi="宋体"/>
          <w:color w:val="auto"/>
          <w:szCs w:val="21"/>
          <w:highlight w:val="none"/>
        </w:rPr>
        <w:t>综合单价包含的风险范围：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2、总价合同。</w:t>
      </w:r>
    </w:p>
    <w:p>
      <w:pPr>
        <w:spacing w:line="480" w:lineRule="exact"/>
        <w:rPr>
          <w:rFonts w:ascii="宋体" w:hAnsi="宋体"/>
          <w:color w:val="auto"/>
          <w:szCs w:val="21"/>
          <w:highlight w:val="none"/>
        </w:rPr>
      </w:pPr>
      <w:r>
        <w:rPr>
          <w:rFonts w:ascii="宋体" w:hAnsi="宋体"/>
          <w:color w:val="auto"/>
          <w:szCs w:val="21"/>
          <w:highlight w:val="none"/>
        </w:rPr>
        <w:t>总价包含的风险范围：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3、其他价格方式：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667" w:name="_Toc300935004"/>
      <w:bookmarkStart w:id="668" w:name="_Toc304295581"/>
      <w:bookmarkStart w:id="669" w:name="_Toc312678042"/>
      <w:bookmarkStart w:id="670" w:name="_Toc297123554"/>
      <w:bookmarkStart w:id="671" w:name="_Toc303539161"/>
      <w:bookmarkStart w:id="672" w:name="_Toc297216213"/>
      <w:bookmarkStart w:id="673" w:name="_Toc296944546"/>
      <w:bookmarkStart w:id="674" w:name="_Toc296891035"/>
      <w:bookmarkStart w:id="675" w:name="_Toc296346708"/>
      <w:bookmarkStart w:id="676" w:name="_Toc292559412"/>
      <w:bookmarkStart w:id="677" w:name="_Toc296891247"/>
      <w:bookmarkStart w:id="678" w:name="_Toc297048393"/>
      <w:bookmarkStart w:id="679" w:name="_Toc292559917"/>
      <w:bookmarkStart w:id="680" w:name="_Toc297120507"/>
      <w:bookmarkStart w:id="681" w:name="_Toc296347206"/>
      <w:bookmarkStart w:id="682" w:name="_Toc296503207"/>
      <w:r>
        <w:rPr>
          <w:rFonts w:ascii="宋体" w:hAnsi="宋体"/>
          <w:color w:val="auto"/>
          <w:szCs w:val="21"/>
          <w:highlight w:val="none"/>
        </w:rPr>
        <w:t>12.2 预付款</w:t>
      </w:r>
    </w:p>
    <w:bookmarkEnd w:id="667"/>
    <w:bookmarkEnd w:id="668"/>
    <w:bookmarkEnd w:id="669"/>
    <w:bookmarkEnd w:id="670"/>
    <w:bookmarkEnd w:id="671"/>
    <w:bookmarkEnd w:id="672"/>
    <w:p>
      <w:pPr>
        <w:spacing w:line="480" w:lineRule="exact"/>
        <w:rPr>
          <w:rFonts w:ascii="宋体" w:hAnsi="宋体"/>
          <w:color w:val="auto"/>
          <w:szCs w:val="21"/>
          <w:highlight w:val="none"/>
        </w:rPr>
      </w:pPr>
      <w:r>
        <w:rPr>
          <w:rFonts w:ascii="宋体" w:hAnsi="宋体"/>
          <w:color w:val="auto"/>
          <w:szCs w:val="21"/>
          <w:highlight w:val="none"/>
        </w:rPr>
        <w:t>12.2.1 预付款的支付</w:t>
      </w:r>
    </w:p>
    <w:p>
      <w:pPr>
        <w:spacing w:line="480" w:lineRule="exact"/>
        <w:rPr>
          <w:rFonts w:ascii="宋体" w:hAnsi="宋体"/>
          <w:color w:val="auto"/>
          <w:szCs w:val="21"/>
          <w:highlight w:val="none"/>
        </w:rPr>
      </w:pPr>
      <w:r>
        <w:rPr>
          <w:rFonts w:ascii="宋体" w:hAnsi="宋体"/>
          <w:color w:val="auto"/>
          <w:szCs w:val="21"/>
          <w:highlight w:val="none"/>
        </w:rPr>
        <w:t>预付款支付比例或金额：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预付款支付期限：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预付款扣回的方式：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12.2.2 预付款担保</w:t>
      </w:r>
    </w:p>
    <w:p>
      <w:pPr>
        <w:spacing w:line="480" w:lineRule="exact"/>
        <w:rPr>
          <w:rFonts w:ascii="宋体" w:hAnsi="宋体"/>
          <w:color w:val="auto"/>
          <w:szCs w:val="21"/>
          <w:highlight w:val="none"/>
        </w:rPr>
      </w:pPr>
      <w:r>
        <w:rPr>
          <w:rFonts w:ascii="宋体" w:hAnsi="宋体"/>
          <w:color w:val="auto"/>
          <w:szCs w:val="21"/>
          <w:highlight w:val="none"/>
        </w:rPr>
        <w:t>承包人提交预付款担保的期限：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预付款担保的形式为：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73"/>
    <w:bookmarkEnd w:id="674"/>
    <w:bookmarkEnd w:id="675"/>
    <w:bookmarkEnd w:id="676"/>
    <w:bookmarkEnd w:id="677"/>
    <w:bookmarkEnd w:id="678"/>
    <w:bookmarkEnd w:id="679"/>
    <w:bookmarkEnd w:id="680"/>
    <w:bookmarkEnd w:id="681"/>
    <w:bookmarkEnd w:id="682"/>
    <w:p>
      <w:pPr>
        <w:spacing w:line="480" w:lineRule="exact"/>
        <w:rPr>
          <w:rFonts w:ascii="宋体" w:hAnsi="宋体"/>
          <w:color w:val="auto"/>
          <w:szCs w:val="21"/>
          <w:highlight w:val="none"/>
        </w:rPr>
      </w:pPr>
      <w:r>
        <w:rPr>
          <w:rFonts w:ascii="宋体" w:hAnsi="宋体"/>
          <w:color w:val="auto"/>
          <w:szCs w:val="21"/>
          <w:highlight w:val="none"/>
        </w:rPr>
        <w:t>12.3 计量</w:t>
      </w:r>
    </w:p>
    <w:p>
      <w:pPr>
        <w:spacing w:line="480" w:lineRule="exact"/>
        <w:rPr>
          <w:rFonts w:ascii="宋体" w:hAnsi="宋体"/>
          <w:color w:val="auto"/>
          <w:szCs w:val="21"/>
          <w:highlight w:val="none"/>
        </w:rPr>
      </w:pPr>
      <w:r>
        <w:rPr>
          <w:rFonts w:ascii="宋体" w:hAnsi="宋体"/>
          <w:color w:val="auto"/>
          <w:szCs w:val="21"/>
          <w:highlight w:val="none"/>
        </w:rPr>
        <w:t>12.3.1 计量原则</w:t>
      </w:r>
    </w:p>
    <w:p>
      <w:pPr>
        <w:spacing w:line="480" w:lineRule="exact"/>
        <w:rPr>
          <w:rFonts w:ascii="宋体" w:hAnsi="宋体"/>
          <w:color w:val="auto"/>
          <w:szCs w:val="21"/>
          <w:highlight w:val="none"/>
        </w:rPr>
      </w:pPr>
      <w:r>
        <w:rPr>
          <w:rFonts w:ascii="宋体" w:hAnsi="宋体"/>
          <w:color w:val="auto"/>
          <w:szCs w:val="21"/>
          <w:highlight w:val="none"/>
        </w:rPr>
        <w:t>工程量计算规则：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12.3.2 计量周期</w:t>
      </w:r>
    </w:p>
    <w:p>
      <w:pPr>
        <w:spacing w:line="480" w:lineRule="exact"/>
        <w:rPr>
          <w:rFonts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12.3.3 单价合同的计量</w:t>
      </w:r>
    </w:p>
    <w:p>
      <w:pPr>
        <w:spacing w:line="480" w:lineRule="exact"/>
        <w:rPr>
          <w:rFonts w:ascii="宋体" w:hAnsi="宋体"/>
          <w:color w:val="auto"/>
          <w:szCs w:val="21"/>
          <w:highlight w:val="none"/>
        </w:rPr>
      </w:pPr>
      <w:r>
        <w:rPr>
          <w:rFonts w:ascii="宋体" w:hAnsi="宋体"/>
          <w:color w:val="auto"/>
          <w:szCs w:val="21"/>
          <w:highlight w:val="none"/>
        </w:rPr>
        <w:t>关于单价合同计量的约定：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12.3.4 总价合同的计量</w:t>
      </w:r>
    </w:p>
    <w:p>
      <w:pPr>
        <w:spacing w:line="480" w:lineRule="exact"/>
        <w:rPr>
          <w:rFonts w:hint="eastAsia" w:ascii="宋体" w:hAnsi="宋体"/>
          <w:color w:val="auto"/>
          <w:szCs w:val="21"/>
          <w:highlight w:val="none"/>
        </w:rPr>
      </w:pPr>
      <w:r>
        <w:rPr>
          <w:rFonts w:ascii="宋体" w:hAnsi="宋体"/>
          <w:color w:val="auto"/>
          <w:szCs w:val="21"/>
          <w:highlight w:val="none"/>
        </w:rPr>
        <w:t>关于总价合同计量的约定：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12.3.5总价合同采用支付分解表计量支付的，是否适用第</w:t>
      </w:r>
      <w:r>
        <w:rPr>
          <w:rFonts w:ascii="宋体" w:hAnsi="宋体"/>
          <w:color w:val="auto"/>
          <w:kern w:val="0"/>
          <w:szCs w:val="21"/>
          <w:highlight w:val="none"/>
        </w:rPr>
        <w:t xml:space="preserve">12.3.4 </w:t>
      </w:r>
      <w:r>
        <w:rPr>
          <w:rFonts w:ascii="宋体" w:hAnsi="宋体"/>
          <w:color w:val="auto"/>
          <w:szCs w:val="21"/>
          <w:highlight w:val="none"/>
        </w:rPr>
        <w:t>项</w:t>
      </w:r>
      <w:r>
        <w:rPr>
          <w:rFonts w:hint="eastAsia" w:ascii="宋体" w:hAnsi="宋体"/>
          <w:color w:val="auto"/>
          <w:kern w:val="0"/>
          <w:szCs w:val="21"/>
          <w:highlight w:val="none"/>
        </w:rPr>
        <w:t>〔</w:t>
      </w:r>
      <w:r>
        <w:rPr>
          <w:rFonts w:ascii="宋体" w:hAnsi="宋体"/>
          <w:color w:val="auto"/>
          <w:kern w:val="0"/>
          <w:szCs w:val="21"/>
          <w:highlight w:val="none"/>
        </w:rPr>
        <w:t>总价合同的计量</w:t>
      </w:r>
      <w:r>
        <w:rPr>
          <w:rFonts w:hint="eastAsia" w:ascii="宋体" w:hAnsi="宋体"/>
          <w:color w:val="auto"/>
          <w:kern w:val="0"/>
          <w:szCs w:val="21"/>
          <w:highlight w:val="none"/>
        </w:rPr>
        <w:t>〕</w:t>
      </w:r>
      <w:r>
        <w:rPr>
          <w:rFonts w:ascii="宋体" w:hAnsi="宋体"/>
          <w:color w:val="auto"/>
          <w:szCs w:val="21"/>
          <w:highlight w:val="none"/>
        </w:rPr>
        <w:t>约定</w:t>
      </w:r>
      <w:r>
        <w:rPr>
          <w:rFonts w:hint="eastAsia" w:ascii="宋体" w:hAnsi="宋体"/>
          <w:color w:val="auto"/>
          <w:szCs w:val="21"/>
          <w:highlight w:val="none"/>
        </w:rPr>
        <w:t>进行计量：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12.3.6 其他价格形式合同的计量</w:t>
      </w:r>
    </w:p>
    <w:p>
      <w:pPr>
        <w:spacing w:line="480" w:lineRule="exact"/>
        <w:rPr>
          <w:rFonts w:ascii="宋体" w:hAnsi="宋体"/>
          <w:color w:val="auto"/>
          <w:szCs w:val="21"/>
          <w:highlight w:val="none"/>
        </w:rPr>
      </w:pPr>
      <w:r>
        <w:rPr>
          <w:rFonts w:ascii="宋体" w:hAnsi="宋体"/>
          <w:color w:val="auto"/>
          <w:szCs w:val="21"/>
          <w:highlight w:val="none"/>
        </w:rPr>
        <w:t>其他价格形式的计量方式和程序：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12.4 工程进度款支付</w:t>
      </w:r>
    </w:p>
    <w:p>
      <w:pPr>
        <w:spacing w:line="480" w:lineRule="exact"/>
        <w:rPr>
          <w:rFonts w:ascii="宋体" w:hAnsi="宋体"/>
          <w:color w:val="auto"/>
          <w:szCs w:val="21"/>
          <w:highlight w:val="none"/>
        </w:rPr>
      </w:pPr>
      <w:bookmarkStart w:id="683" w:name="_Toc297123556"/>
      <w:bookmarkStart w:id="684" w:name="_Toc292559416"/>
      <w:bookmarkStart w:id="685" w:name="_Toc296346712"/>
      <w:bookmarkStart w:id="686" w:name="_Toc296891039"/>
      <w:bookmarkStart w:id="687" w:name="_Toc297048397"/>
      <w:bookmarkStart w:id="688" w:name="_Toc296347210"/>
      <w:bookmarkStart w:id="689" w:name="_Toc297120511"/>
      <w:bookmarkStart w:id="690" w:name="_Toc296944550"/>
      <w:bookmarkStart w:id="691" w:name="_Toc296891251"/>
      <w:bookmarkStart w:id="692" w:name="_Toc300935006"/>
      <w:bookmarkStart w:id="693" w:name="_Toc303539163"/>
      <w:bookmarkStart w:id="694" w:name="_Toc292559921"/>
      <w:bookmarkStart w:id="695" w:name="_Toc297216215"/>
      <w:bookmarkStart w:id="696" w:name="_Toc296503211"/>
      <w:r>
        <w:rPr>
          <w:rFonts w:ascii="宋体" w:hAnsi="宋体"/>
          <w:color w:val="auto"/>
          <w:szCs w:val="21"/>
          <w:highlight w:val="none"/>
        </w:rPr>
        <w:t>12.4.1 付款周期</w:t>
      </w:r>
    </w:p>
    <w:p>
      <w:pPr>
        <w:spacing w:line="480" w:lineRule="exact"/>
        <w:rPr>
          <w:rFonts w:ascii="宋体" w:hAnsi="宋体"/>
          <w:color w:val="auto"/>
          <w:szCs w:val="21"/>
          <w:highlight w:val="none"/>
        </w:rPr>
      </w:pPr>
      <w:r>
        <w:rPr>
          <w:rFonts w:ascii="宋体" w:hAnsi="宋体"/>
          <w:color w:val="auto"/>
          <w:szCs w:val="21"/>
          <w:highlight w:val="none"/>
        </w:rPr>
        <w:t>关于付款周期的约定：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12.4.2 进度付款申请单的编制</w:t>
      </w:r>
    </w:p>
    <w:p>
      <w:pPr>
        <w:spacing w:line="480" w:lineRule="exact"/>
        <w:rPr>
          <w:rFonts w:ascii="宋体" w:hAnsi="宋体"/>
          <w:color w:val="auto"/>
          <w:szCs w:val="21"/>
          <w:highlight w:val="none"/>
        </w:rPr>
      </w:pPr>
      <w:r>
        <w:rPr>
          <w:rFonts w:ascii="宋体" w:hAnsi="宋体"/>
          <w:color w:val="auto"/>
          <w:szCs w:val="21"/>
          <w:highlight w:val="none"/>
        </w:rPr>
        <w:t>关于进度付款申请单编制的约定：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Pr>
          <w:rFonts w:ascii="宋体" w:hAnsi="宋体"/>
          <w:color w:val="auto"/>
          <w:szCs w:val="21"/>
          <w:highlight w:val="none"/>
        </w:rPr>
        <w:t>2.4.3 进度付款申请单的提交</w:t>
      </w:r>
    </w:p>
    <w:p>
      <w:pPr>
        <w:spacing w:line="480" w:lineRule="exac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（3）其他价格形式合同进度付款申请单提交的约定：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12.4.4 进度款审核和支付</w:t>
      </w:r>
    </w:p>
    <w:p>
      <w:pPr>
        <w:spacing w:line="480" w:lineRule="exact"/>
        <w:rPr>
          <w:rFonts w:ascii="宋体" w:hAnsi="宋体"/>
          <w:color w:val="auto"/>
          <w:szCs w:val="21"/>
          <w:highlight w:val="none"/>
          <w:u w:val="single"/>
        </w:rPr>
      </w:pPr>
      <w:r>
        <w:rPr>
          <w:rFonts w:ascii="宋体" w:hAnsi="宋体"/>
          <w:color w:val="auto"/>
          <w:szCs w:val="21"/>
          <w:highlight w:val="none"/>
        </w:rPr>
        <w:t>（1）监理人审查并报送发包人的期限：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发包人完成审批并签发进度款支付证书的期限：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（2）发包人支付进度款的期限：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发包人逾期支付进度款的违约金的计算方式：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12.4.6 支付分解表的编制</w:t>
      </w:r>
    </w:p>
    <w:p>
      <w:pPr>
        <w:spacing w:line="480" w:lineRule="exact"/>
        <w:rPr>
          <w:rFonts w:ascii="宋体" w:hAnsi="宋体"/>
          <w:color w:val="auto"/>
          <w:szCs w:val="21"/>
          <w:highlight w:val="none"/>
        </w:rPr>
      </w:pPr>
      <w:r>
        <w:rPr>
          <w:rFonts w:ascii="宋体" w:hAnsi="宋体"/>
          <w:color w:val="auto"/>
          <w:szCs w:val="21"/>
          <w:highlight w:val="none"/>
        </w:rPr>
        <w:t>2、总价合同支付分解表的编制与审批：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3、单价合同的总价项目支付分解表的编制与审批：</w:t>
      </w:r>
      <w:r>
        <w:rPr>
          <w:rFonts w:ascii="宋体" w:hAnsi="宋体"/>
          <w:color w:val="auto"/>
          <w:szCs w:val="21"/>
          <w:highlight w:val="none"/>
          <w:u w:val="single"/>
        </w:rPr>
        <w:t xml:space="preserve">       </w:t>
      </w:r>
      <w:r>
        <w:rPr>
          <w:rFonts w:ascii="宋体" w:hAnsi="宋体"/>
          <w:color w:val="auto"/>
          <w:szCs w:val="21"/>
          <w:highlight w:val="none"/>
        </w:rPr>
        <w:t>。</w:t>
      </w:r>
    </w:p>
    <w:bookmarkEnd w:id="526"/>
    <w:p>
      <w:pPr>
        <w:spacing w:line="480" w:lineRule="exact"/>
        <w:rPr>
          <w:rFonts w:ascii="宋体" w:hAnsi="宋体"/>
          <w:color w:val="auto"/>
          <w:szCs w:val="21"/>
          <w:highlight w:val="none"/>
        </w:rPr>
      </w:pPr>
      <w:bookmarkStart w:id="697" w:name="_Toc351203645"/>
      <w:bookmarkStart w:id="698" w:name="_Toc303539172"/>
      <w:bookmarkStart w:id="699" w:name="_Toc296944558"/>
      <w:bookmarkStart w:id="700" w:name="_Toc297123564"/>
      <w:bookmarkStart w:id="701" w:name="_Toc297216223"/>
      <w:bookmarkStart w:id="702" w:name="_Toc300935015"/>
      <w:bookmarkStart w:id="703" w:name="_Toc296346720"/>
      <w:bookmarkStart w:id="704" w:name="_Toc312678053"/>
      <w:bookmarkStart w:id="705" w:name="_Toc296503219"/>
      <w:bookmarkStart w:id="706" w:name="_Toc304295593"/>
      <w:bookmarkStart w:id="707" w:name="_Toc296891047"/>
      <w:bookmarkStart w:id="708" w:name="_Toc292559424"/>
      <w:bookmarkStart w:id="709" w:name="_Toc296891259"/>
      <w:bookmarkStart w:id="710" w:name="_Toc297048405"/>
      <w:bookmarkStart w:id="711" w:name="_Toc296347218"/>
      <w:bookmarkStart w:id="712" w:name="_Toc297120519"/>
      <w:bookmarkStart w:id="713" w:name="_Toc292559929"/>
      <w:r>
        <w:rPr>
          <w:rFonts w:ascii="宋体" w:hAnsi="宋体"/>
          <w:color w:val="auto"/>
          <w:szCs w:val="21"/>
          <w:highlight w:val="none"/>
        </w:rPr>
        <w:t>13.</w:t>
      </w:r>
      <w:r>
        <w:rPr>
          <w:rFonts w:hint="eastAsia" w:ascii="宋体" w:hAnsi="宋体"/>
          <w:color w:val="auto"/>
          <w:szCs w:val="21"/>
          <w:highlight w:val="none"/>
        </w:rPr>
        <w:t xml:space="preserve"> </w:t>
      </w:r>
      <w:r>
        <w:rPr>
          <w:rFonts w:ascii="宋体" w:hAnsi="宋体"/>
          <w:color w:val="auto"/>
          <w:szCs w:val="21"/>
          <w:highlight w:val="none"/>
        </w:rPr>
        <w:t>验收和工程试车</w:t>
      </w:r>
      <w:bookmarkEnd w:id="697"/>
    </w:p>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Pr>
        <w:spacing w:line="480" w:lineRule="exact"/>
        <w:rPr>
          <w:rFonts w:ascii="宋体" w:hAnsi="宋体"/>
          <w:color w:val="auto"/>
          <w:szCs w:val="21"/>
          <w:highlight w:val="none"/>
        </w:rPr>
      </w:pPr>
      <w:r>
        <w:rPr>
          <w:rFonts w:ascii="宋体" w:hAnsi="宋体"/>
          <w:color w:val="auto"/>
          <w:szCs w:val="21"/>
          <w:highlight w:val="none"/>
        </w:rPr>
        <w:t>13.1 分部分项工程验收</w:t>
      </w:r>
    </w:p>
    <w:p>
      <w:pPr>
        <w:spacing w:line="480" w:lineRule="exact"/>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pPr>
        <w:spacing w:line="480" w:lineRule="exac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pPr>
        <w:spacing w:line="480" w:lineRule="exact"/>
        <w:rPr>
          <w:rFonts w:ascii="宋体" w:hAnsi="宋体"/>
          <w:color w:val="auto"/>
          <w:szCs w:val="21"/>
          <w:highlight w:val="none"/>
        </w:rPr>
      </w:pPr>
      <w:bookmarkStart w:id="714" w:name="_Toc296944562"/>
      <w:bookmarkStart w:id="715" w:name="_Toc292559933"/>
      <w:bookmarkStart w:id="716" w:name="_Toc292559428"/>
      <w:bookmarkStart w:id="717" w:name="_Toc296891263"/>
      <w:bookmarkStart w:id="718" w:name="_Toc303539173"/>
      <w:bookmarkStart w:id="719" w:name="_Toc297048409"/>
      <w:bookmarkStart w:id="720" w:name="_Toc297216224"/>
      <w:bookmarkStart w:id="721" w:name="_Toc296503223"/>
      <w:bookmarkStart w:id="722" w:name="_Toc297120523"/>
      <w:bookmarkStart w:id="723" w:name="_Toc304295596"/>
      <w:bookmarkStart w:id="724" w:name="_Toc296347222"/>
      <w:bookmarkStart w:id="725" w:name="_Toc297123565"/>
      <w:bookmarkStart w:id="726" w:name="_Toc296346724"/>
      <w:bookmarkStart w:id="727" w:name="_Toc296891051"/>
      <w:bookmarkStart w:id="728" w:name="_Toc312678056"/>
      <w:bookmarkStart w:id="729" w:name="_Toc300935016"/>
      <w:bookmarkStart w:id="730" w:name="_Toc267251476"/>
      <w:bookmarkStart w:id="731" w:name="_Toc267251471"/>
      <w:bookmarkStart w:id="732" w:name="_Toc267251473"/>
      <w:bookmarkStart w:id="733" w:name="_Toc267251472"/>
      <w:bookmarkStart w:id="734" w:name="_Toc267251475"/>
      <w:bookmarkStart w:id="735" w:name="_Toc267251470"/>
      <w:bookmarkStart w:id="736" w:name="_Toc267251474"/>
      <w:r>
        <w:rPr>
          <w:rFonts w:ascii="宋体" w:hAnsi="宋体"/>
          <w:color w:val="auto"/>
          <w:szCs w:val="21"/>
          <w:highlight w:val="none"/>
        </w:rPr>
        <w:t>13.2 竣工验收</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Pr>
        <w:spacing w:line="480" w:lineRule="exact"/>
        <w:rPr>
          <w:rFonts w:ascii="宋体" w:hAnsi="宋体"/>
          <w:color w:val="auto"/>
          <w:szCs w:val="21"/>
          <w:highlight w:val="none"/>
        </w:rPr>
      </w:pPr>
      <w:bookmarkStart w:id="737" w:name="_Toc280868704"/>
      <w:bookmarkStart w:id="738" w:name="_Toc280868705"/>
      <w:bookmarkStart w:id="739" w:name="_Toc280868706"/>
      <w:bookmarkStart w:id="740" w:name="_Toc280868707"/>
      <w:bookmarkStart w:id="741" w:name="_Toc280868708"/>
      <w:bookmarkStart w:id="742" w:name="_Toc280868709"/>
      <w:r>
        <w:rPr>
          <w:rFonts w:ascii="宋体" w:hAnsi="宋体"/>
          <w:color w:val="auto"/>
          <w:szCs w:val="21"/>
          <w:highlight w:val="none"/>
        </w:rPr>
        <w:t>13.2.2竣工验收程序</w:t>
      </w:r>
    </w:p>
    <w:bookmarkEnd w:id="737"/>
    <w:p>
      <w:pPr>
        <w:spacing w:line="480" w:lineRule="exact"/>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u w:val="single"/>
        </w:rPr>
      </w:pPr>
      <w:r>
        <w:rPr>
          <w:rFonts w:ascii="宋体" w:hAnsi="宋体"/>
          <w:color w:val="auto"/>
          <w:kern w:val="0"/>
          <w:szCs w:val="21"/>
          <w:highlight w:val="none"/>
        </w:rPr>
        <w:t>发包人不按照本项约定组织竣工验收、颁发工程接收证书的违约金的计算方法：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38"/>
    <w:p>
      <w:pPr>
        <w:spacing w:line="480" w:lineRule="exact"/>
        <w:rPr>
          <w:rFonts w:ascii="宋体" w:hAnsi="宋体"/>
          <w:color w:val="auto"/>
          <w:szCs w:val="21"/>
          <w:highlight w:val="none"/>
        </w:rPr>
      </w:pPr>
      <w:r>
        <w:rPr>
          <w:rFonts w:ascii="宋体" w:hAnsi="宋体"/>
          <w:color w:val="auto"/>
          <w:szCs w:val="21"/>
          <w:highlight w:val="none"/>
        </w:rPr>
        <w:t>13.2.5移交、接收全部与部分工程</w:t>
      </w:r>
    </w:p>
    <w:bookmarkEnd w:id="739"/>
    <w:p>
      <w:pPr>
        <w:spacing w:line="480" w:lineRule="exact"/>
        <w:rPr>
          <w:rFonts w:hint="eastAsia" w:ascii="宋体" w:hAnsi="宋体"/>
          <w:color w:val="auto"/>
          <w:kern w:val="0"/>
          <w:szCs w:val="21"/>
          <w:highlight w:val="none"/>
        </w:rPr>
      </w:pPr>
      <w:r>
        <w:rPr>
          <w:rFonts w:hint="eastAsia" w:ascii="宋体" w:hAnsi="宋体"/>
          <w:color w:val="auto"/>
          <w:kern w:val="0"/>
          <w:szCs w:val="21"/>
          <w:highlight w:val="none"/>
        </w:rPr>
        <w:t>承包人向发包人移交工程的期限：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80" w:lineRule="exact"/>
        <w:rPr>
          <w:rFonts w:ascii="宋体" w:hAnsi="宋体"/>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40"/>
    <w:p>
      <w:pPr>
        <w:spacing w:line="480" w:lineRule="exact"/>
        <w:rPr>
          <w:rFonts w:ascii="宋体" w:hAnsi="宋体"/>
          <w:color w:val="auto"/>
          <w:szCs w:val="21"/>
          <w:highlight w:val="none"/>
        </w:rPr>
      </w:pPr>
      <w:r>
        <w:rPr>
          <w:rFonts w:ascii="宋体" w:hAnsi="宋体"/>
          <w:color w:val="auto"/>
          <w:szCs w:val="21"/>
          <w:highlight w:val="none"/>
        </w:rPr>
        <w:t>承包人未按时移交工程的，违约金的计算方法为：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13.3 工程试车</w:t>
      </w:r>
    </w:p>
    <w:bookmarkEnd w:id="741"/>
    <w:p>
      <w:pPr>
        <w:spacing w:line="480" w:lineRule="exact"/>
        <w:rPr>
          <w:rFonts w:ascii="宋体" w:hAnsi="宋体"/>
          <w:color w:val="auto"/>
          <w:kern w:val="0"/>
          <w:szCs w:val="21"/>
          <w:highlight w:val="none"/>
        </w:rPr>
      </w:pPr>
      <w:r>
        <w:rPr>
          <w:rFonts w:ascii="宋体" w:hAnsi="宋体"/>
          <w:color w:val="auto"/>
          <w:kern w:val="0"/>
          <w:szCs w:val="21"/>
          <w:highlight w:val="none"/>
        </w:rPr>
        <w:t>13.3.1 试车程序</w:t>
      </w:r>
    </w:p>
    <w:p>
      <w:pPr>
        <w:spacing w:line="480" w:lineRule="exact"/>
        <w:rPr>
          <w:rFonts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ascii="宋体" w:hAnsi="宋体"/>
          <w:color w:val="auto"/>
          <w:kern w:val="0"/>
          <w:szCs w:val="21"/>
          <w:highlight w:val="none"/>
        </w:rPr>
        <w:t>承担；</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ascii="宋体" w:hAnsi="宋体"/>
          <w:color w:val="auto"/>
          <w:kern w:val="0"/>
          <w:szCs w:val="21"/>
          <w:highlight w:val="none"/>
        </w:rPr>
        <w:t>承担。</w:t>
      </w:r>
    </w:p>
    <w:p>
      <w:pPr>
        <w:spacing w:line="480" w:lineRule="exact"/>
        <w:rPr>
          <w:rFonts w:ascii="宋体" w:hAnsi="宋体"/>
          <w:color w:val="auto"/>
          <w:kern w:val="0"/>
          <w:szCs w:val="21"/>
          <w:highlight w:val="none"/>
        </w:rPr>
      </w:pPr>
      <w:r>
        <w:rPr>
          <w:rFonts w:ascii="宋体" w:hAnsi="宋体"/>
          <w:color w:val="auto"/>
          <w:kern w:val="0"/>
          <w:szCs w:val="21"/>
          <w:highlight w:val="none"/>
        </w:rPr>
        <w:t>13.3.3 投料试车</w:t>
      </w:r>
    </w:p>
    <w:p>
      <w:pPr>
        <w:spacing w:line="480" w:lineRule="exact"/>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13.6 竣工退场</w:t>
      </w:r>
    </w:p>
    <w:p>
      <w:pPr>
        <w:spacing w:line="480" w:lineRule="exact"/>
        <w:rPr>
          <w:rFonts w:ascii="宋体" w:hAnsi="宋体"/>
          <w:color w:val="auto"/>
          <w:kern w:val="0"/>
          <w:szCs w:val="21"/>
          <w:highlight w:val="none"/>
        </w:rPr>
      </w:pPr>
      <w:r>
        <w:rPr>
          <w:rFonts w:ascii="宋体" w:hAnsi="宋体"/>
          <w:color w:val="auto"/>
          <w:kern w:val="0"/>
          <w:szCs w:val="21"/>
          <w:highlight w:val="none"/>
        </w:rPr>
        <w:t>13.6.1 竣工退场</w:t>
      </w:r>
    </w:p>
    <w:p>
      <w:pPr>
        <w:spacing w:line="480" w:lineRule="exact"/>
        <w:rPr>
          <w:rFonts w:ascii="宋体" w:hAnsi="宋体"/>
          <w:color w:val="auto"/>
          <w:kern w:val="0"/>
          <w:szCs w:val="21"/>
          <w:highlight w:val="none"/>
        </w:rPr>
      </w:pPr>
      <w:r>
        <w:rPr>
          <w:rFonts w:ascii="宋体" w:hAnsi="宋体"/>
          <w:color w:val="auto"/>
          <w:kern w:val="0"/>
          <w:szCs w:val="21"/>
          <w:highlight w:val="none"/>
        </w:rPr>
        <w:t>承包人完成竣工退场的期限：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bookmarkStart w:id="743" w:name="_Toc351203646"/>
      <w:r>
        <w:rPr>
          <w:rFonts w:ascii="宋体" w:hAnsi="宋体"/>
          <w:color w:val="auto"/>
          <w:szCs w:val="21"/>
          <w:highlight w:val="none"/>
        </w:rPr>
        <w:t>14. 竣工结算</w:t>
      </w:r>
      <w:bookmarkEnd w:id="743"/>
    </w:p>
    <w:p>
      <w:pPr>
        <w:spacing w:line="480" w:lineRule="exact"/>
        <w:rPr>
          <w:rFonts w:ascii="宋体" w:hAnsi="宋体"/>
          <w:color w:val="auto"/>
          <w:szCs w:val="21"/>
          <w:highlight w:val="none"/>
        </w:rPr>
      </w:pPr>
      <w:r>
        <w:rPr>
          <w:rFonts w:ascii="宋体" w:hAnsi="宋体"/>
          <w:color w:val="auto"/>
          <w:szCs w:val="21"/>
          <w:highlight w:val="none"/>
        </w:rPr>
        <w:t>14.1 竣工</w:t>
      </w:r>
      <w:r>
        <w:rPr>
          <w:rFonts w:hint="eastAsia" w:ascii="宋体" w:hAnsi="宋体"/>
          <w:color w:val="auto"/>
          <w:szCs w:val="21"/>
          <w:highlight w:val="none"/>
        </w:rPr>
        <w:t>结算</w:t>
      </w:r>
      <w:r>
        <w:rPr>
          <w:rFonts w:ascii="宋体" w:hAnsi="宋体"/>
          <w:color w:val="auto"/>
          <w:szCs w:val="21"/>
          <w:highlight w:val="none"/>
        </w:rPr>
        <w:t>申请</w:t>
      </w:r>
    </w:p>
    <w:p>
      <w:pPr>
        <w:spacing w:line="480" w:lineRule="exact"/>
        <w:rPr>
          <w:rFonts w:ascii="宋体" w:hAnsi="宋体"/>
          <w:color w:val="auto"/>
          <w:szCs w:val="21"/>
          <w:highlight w:val="none"/>
        </w:rPr>
      </w:pPr>
      <w:r>
        <w:rPr>
          <w:rFonts w:ascii="宋体" w:hAnsi="宋体"/>
          <w:color w:val="auto"/>
          <w:szCs w:val="21"/>
          <w:highlight w:val="none"/>
        </w:rPr>
        <w:t>承包人提交竣工</w:t>
      </w:r>
      <w:r>
        <w:rPr>
          <w:rFonts w:hint="eastAsia" w:ascii="宋体" w:hAnsi="宋体"/>
          <w:color w:val="auto"/>
          <w:szCs w:val="21"/>
          <w:highlight w:val="none"/>
        </w:rPr>
        <w:t>结算</w:t>
      </w:r>
      <w:r>
        <w:rPr>
          <w:rFonts w:ascii="宋体" w:hAnsi="宋体"/>
          <w:color w:val="auto"/>
          <w:szCs w:val="21"/>
          <w:highlight w:val="none"/>
        </w:rPr>
        <w:t>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竣工</w:t>
      </w:r>
      <w:r>
        <w:rPr>
          <w:rFonts w:hint="eastAsia" w:ascii="宋体" w:hAnsi="宋体"/>
          <w:color w:val="auto"/>
          <w:szCs w:val="21"/>
          <w:highlight w:val="none"/>
        </w:rPr>
        <w:t>结算</w:t>
      </w:r>
      <w:r>
        <w:rPr>
          <w:rFonts w:ascii="宋体" w:hAnsi="宋体"/>
          <w:color w:val="auto"/>
          <w:szCs w:val="21"/>
          <w:highlight w:val="none"/>
        </w:rPr>
        <w:t>申请单应包括的内容：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14.2 竣工结算审核</w:t>
      </w:r>
    </w:p>
    <w:p>
      <w:pPr>
        <w:spacing w:line="480" w:lineRule="exact"/>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发包人完成竣工付款的期限：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14.4 最终结清</w:t>
      </w:r>
    </w:p>
    <w:p>
      <w:pPr>
        <w:spacing w:line="480" w:lineRule="exact"/>
        <w:rPr>
          <w:rFonts w:ascii="宋体" w:hAnsi="宋体"/>
          <w:color w:val="auto"/>
          <w:kern w:val="0"/>
          <w:szCs w:val="21"/>
          <w:highlight w:val="none"/>
        </w:rPr>
      </w:pPr>
      <w:r>
        <w:rPr>
          <w:rFonts w:ascii="宋体" w:hAnsi="宋体"/>
          <w:color w:val="auto"/>
          <w:kern w:val="0"/>
          <w:szCs w:val="21"/>
          <w:highlight w:val="none"/>
        </w:rPr>
        <w:t>14.4.1 最终结清申请单</w:t>
      </w:r>
    </w:p>
    <w:p>
      <w:pPr>
        <w:spacing w:line="480" w:lineRule="exact"/>
        <w:rPr>
          <w:rFonts w:ascii="宋体" w:hAnsi="宋体"/>
          <w:color w:val="auto"/>
          <w:kern w:val="0"/>
          <w:szCs w:val="21"/>
          <w:highlight w:val="none"/>
        </w:rPr>
      </w:pPr>
      <w:r>
        <w:rPr>
          <w:rFonts w:ascii="宋体" w:hAnsi="宋体"/>
          <w:color w:val="auto"/>
          <w:kern w:val="0"/>
          <w:szCs w:val="21"/>
          <w:highlight w:val="none"/>
        </w:rPr>
        <w:t>承包人提交最终结清申请单的份数：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kern w:val="0"/>
          <w:szCs w:val="21"/>
          <w:highlight w:val="none"/>
        </w:rPr>
        <w:t>承包人提交最终结算申请单的期限：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14.4.2 最终结清证书和支付</w:t>
      </w:r>
    </w:p>
    <w:p>
      <w:pPr>
        <w:spacing w:line="480" w:lineRule="exact"/>
        <w:rPr>
          <w:rFonts w:ascii="宋体" w:hAnsi="宋体"/>
          <w:color w:val="auto"/>
          <w:szCs w:val="21"/>
          <w:highlight w:val="none"/>
        </w:rPr>
      </w:pPr>
      <w:r>
        <w:rPr>
          <w:rFonts w:ascii="宋体" w:hAnsi="宋体"/>
          <w:color w:val="auto"/>
          <w:szCs w:val="21"/>
          <w:highlight w:val="none"/>
        </w:rPr>
        <w:t>（1）发包人完成最终结清申请单的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（2）发包人完成支付的期限：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30"/>
    <w:bookmarkEnd w:id="731"/>
    <w:bookmarkEnd w:id="732"/>
    <w:bookmarkEnd w:id="733"/>
    <w:bookmarkEnd w:id="734"/>
    <w:bookmarkEnd w:id="735"/>
    <w:bookmarkEnd w:id="736"/>
    <w:bookmarkEnd w:id="742"/>
    <w:p>
      <w:pPr>
        <w:spacing w:line="480" w:lineRule="exact"/>
        <w:rPr>
          <w:rFonts w:ascii="宋体" w:hAnsi="宋体"/>
          <w:color w:val="auto"/>
          <w:szCs w:val="21"/>
          <w:highlight w:val="none"/>
        </w:rPr>
      </w:pPr>
      <w:bookmarkStart w:id="744" w:name="_Toc351203647"/>
      <w:bookmarkStart w:id="745" w:name="_Toc267251483"/>
      <w:bookmarkStart w:id="746" w:name="_Toc267251484"/>
      <w:bookmarkStart w:id="747" w:name="_Toc267251482"/>
      <w:bookmarkStart w:id="748" w:name="_Toc267251485"/>
      <w:bookmarkStart w:id="749" w:name="_Toc267251486"/>
      <w:bookmarkStart w:id="750" w:name="_Toc267251489"/>
      <w:bookmarkStart w:id="751" w:name="_Toc267251488"/>
      <w:bookmarkStart w:id="752" w:name="_Toc267251490"/>
      <w:bookmarkStart w:id="753" w:name="_Toc267251497"/>
      <w:bookmarkStart w:id="754" w:name="_Toc267251498"/>
      <w:bookmarkStart w:id="755" w:name="_Toc267251503"/>
      <w:bookmarkStart w:id="756" w:name="_Toc267251501"/>
      <w:bookmarkStart w:id="757" w:name="_Toc267251499"/>
      <w:bookmarkStart w:id="758" w:name="_Toc267251495"/>
      <w:bookmarkStart w:id="759" w:name="_Toc267251496"/>
      <w:bookmarkStart w:id="760" w:name="_Toc267251492"/>
      <w:bookmarkStart w:id="761" w:name="_Toc267251494"/>
      <w:bookmarkStart w:id="762" w:name="_Toc267251502"/>
      <w:bookmarkStart w:id="763" w:name="_Toc267251491"/>
      <w:bookmarkStart w:id="764" w:name="_Toc267251493"/>
      <w:bookmarkStart w:id="765" w:name="_Toc267251504"/>
      <w:bookmarkStart w:id="766" w:name="_Toc267251506"/>
      <w:bookmarkStart w:id="767" w:name="_Toc267251507"/>
      <w:bookmarkStart w:id="768" w:name="_Toc267251508"/>
      <w:bookmarkStart w:id="769" w:name="_Toc267251509"/>
      <w:bookmarkStart w:id="770" w:name="_Toc267251513"/>
      <w:bookmarkStart w:id="771" w:name="_Toc267251510"/>
      <w:bookmarkStart w:id="772" w:name="_Toc267251511"/>
      <w:bookmarkStart w:id="773" w:name="_Toc267251514"/>
      <w:bookmarkStart w:id="774" w:name="_Toc267251515"/>
      <w:r>
        <w:rPr>
          <w:rFonts w:ascii="宋体" w:hAnsi="宋体"/>
          <w:color w:val="auto"/>
          <w:szCs w:val="21"/>
          <w:highlight w:val="none"/>
        </w:rPr>
        <w:t>15. 缺陷责任期与保修</w:t>
      </w:r>
      <w:bookmarkEnd w:id="744"/>
    </w:p>
    <w:p>
      <w:pPr>
        <w:spacing w:line="480" w:lineRule="exact"/>
        <w:rPr>
          <w:rFonts w:ascii="宋体" w:hAnsi="宋体"/>
          <w:color w:val="auto"/>
          <w:szCs w:val="21"/>
          <w:highlight w:val="none"/>
        </w:rPr>
      </w:pPr>
      <w:r>
        <w:rPr>
          <w:rFonts w:ascii="宋体" w:hAnsi="宋体"/>
          <w:color w:val="auto"/>
          <w:szCs w:val="21"/>
          <w:highlight w:val="none"/>
        </w:rPr>
        <w:t>15.2缺陷责任期</w:t>
      </w:r>
      <w:bookmarkEnd w:id="745"/>
    </w:p>
    <w:p>
      <w:pPr>
        <w:spacing w:line="480" w:lineRule="exact"/>
        <w:rPr>
          <w:rFonts w:ascii="宋体" w:hAnsi="宋体"/>
          <w:color w:val="auto"/>
          <w:szCs w:val="21"/>
          <w:highlight w:val="none"/>
        </w:rPr>
      </w:pPr>
      <w:r>
        <w:rPr>
          <w:rFonts w:ascii="宋体" w:hAnsi="宋体"/>
          <w:color w:val="auto"/>
          <w:szCs w:val="21"/>
          <w:highlight w:val="none"/>
        </w:rPr>
        <w:t>缺陷责任期的具体期限：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15.3 质量保证金</w:t>
      </w:r>
    </w:p>
    <w:p>
      <w:pPr>
        <w:spacing w:line="480" w:lineRule="exact"/>
        <w:rPr>
          <w:rFonts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在工程项目竣工前，承包人按专用合同条款第3.7条提供履约担保的，发包人不得同时预留工程质量保证金。</w:t>
      </w:r>
    </w:p>
    <w:p>
      <w:pPr>
        <w:spacing w:line="480" w:lineRule="exact"/>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rPr>
        <w:t>承包人提供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pPr>
        <w:spacing w:line="480" w:lineRule="exact"/>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pPr>
        <w:spacing w:line="480" w:lineRule="exact"/>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pPr>
        <w:spacing w:line="480" w:lineRule="exac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kern w:val="0"/>
          <w:szCs w:val="21"/>
          <w:highlight w:val="none"/>
          <w:u w:val="single"/>
        </w:rPr>
        <w:t xml:space="preserve">      </w:t>
      </w:r>
      <w:r>
        <w:rPr>
          <w:rFonts w:ascii="宋体" w:hAnsi="宋体"/>
          <w:color w:val="auto"/>
          <w:kern w:val="0"/>
          <w:szCs w:val="21"/>
          <w:highlight w:val="none"/>
        </w:rPr>
        <w:t>%的工程款；</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 xml:space="preserve">15.3.2 质量保证金的扣留 </w:t>
      </w:r>
    </w:p>
    <w:p>
      <w:pPr>
        <w:spacing w:line="480" w:lineRule="exact"/>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pPr>
        <w:spacing w:line="480" w:lineRule="exact"/>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pPr>
        <w:spacing w:line="480" w:lineRule="exact"/>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pPr>
        <w:spacing w:line="480" w:lineRule="exact"/>
        <w:rPr>
          <w:rFonts w:ascii="宋体" w:hAnsi="宋体"/>
          <w:color w:val="auto"/>
          <w:kern w:val="0"/>
          <w:szCs w:val="21"/>
          <w:highlight w:val="none"/>
        </w:rPr>
      </w:pPr>
      <w:r>
        <w:rPr>
          <w:rFonts w:ascii="宋体" w:hAnsi="宋体"/>
          <w:color w:val="auto"/>
          <w:kern w:val="0"/>
          <w:szCs w:val="21"/>
          <w:highlight w:val="none"/>
        </w:rPr>
        <w:t>（3）其他扣留方式: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bookmarkEnd w:id="746"/>
    <w:bookmarkEnd w:id="747"/>
    <w:p>
      <w:pPr>
        <w:spacing w:line="480" w:lineRule="exact"/>
        <w:rPr>
          <w:rFonts w:ascii="宋体" w:hAnsi="宋体"/>
          <w:color w:val="auto"/>
          <w:szCs w:val="21"/>
          <w:highlight w:val="none"/>
        </w:rPr>
      </w:pPr>
      <w:r>
        <w:rPr>
          <w:rFonts w:ascii="宋体" w:hAnsi="宋体"/>
          <w:color w:val="auto"/>
          <w:szCs w:val="21"/>
          <w:highlight w:val="none"/>
        </w:rPr>
        <w:t>15.4保修</w:t>
      </w:r>
    </w:p>
    <w:bookmarkEnd w:id="748"/>
    <w:p>
      <w:pPr>
        <w:spacing w:line="480" w:lineRule="exact"/>
        <w:rPr>
          <w:rFonts w:ascii="宋体" w:hAnsi="宋体"/>
          <w:color w:val="auto"/>
          <w:szCs w:val="21"/>
          <w:highlight w:val="none"/>
        </w:rPr>
      </w:pPr>
      <w:r>
        <w:rPr>
          <w:rFonts w:ascii="宋体" w:hAnsi="宋体"/>
          <w:color w:val="auto"/>
          <w:szCs w:val="21"/>
          <w:highlight w:val="none"/>
        </w:rPr>
        <w:t>15.4.1 保修责任</w:t>
      </w:r>
    </w:p>
    <w:p>
      <w:pPr>
        <w:spacing w:line="480" w:lineRule="exact"/>
        <w:rPr>
          <w:rFonts w:ascii="宋体" w:hAnsi="宋体"/>
          <w:color w:val="auto"/>
          <w:kern w:val="0"/>
          <w:szCs w:val="21"/>
          <w:highlight w:val="none"/>
        </w:rPr>
      </w:pPr>
      <w:r>
        <w:rPr>
          <w:rFonts w:ascii="宋体" w:hAnsi="宋体"/>
          <w:color w:val="auto"/>
          <w:szCs w:val="21"/>
          <w:highlight w:val="none"/>
        </w:rPr>
        <w:t>工程保修期为：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15.4.3 修复通知</w:t>
      </w:r>
    </w:p>
    <w:p>
      <w:pPr>
        <w:spacing w:line="480" w:lineRule="exact"/>
        <w:rPr>
          <w:rFonts w:ascii="宋体" w:hAnsi="宋体"/>
          <w:color w:val="auto"/>
          <w:kern w:val="0"/>
          <w:szCs w:val="21"/>
          <w:highlight w:val="none"/>
        </w:rPr>
      </w:pPr>
      <w:r>
        <w:rPr>
          <w:rFonts w:ascii="宋体" w:hAnsi="宋体"/>
          <w:color w:val="auto"/>
          <w:kern w:val="0"/>
          <w:szCs w:val="21"/>
          <w:highlight w:val="none"/>
        </w:rPr>
        <w:t>承包人收到保修通知并到达工程现场的合理时间：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749"/>
    <w:bookmarkEnd w:id="750"/>
    <w:bookmarkEnd w:id="751"/>
    <w:bookmarkEnd w:id="752"/>
    <w:p>
      <w:pPr>
        <w:spacing w:line="480" w:lineRule="exact"/>
        <w:rPr>
          <w:rFonts w:ascii="宋体" w:hAnsi="宋体"/>
          <w:color w:val="auto"/>
          <w:szCs w:val="21"/>
          <w:highlight w:val="none"/>
        </w:rPr>
      </w:pPr>
      <w:bookmarkStart w:id="775" w:name="_Toc351203648"/>
      <w:bookmarkStart w:id="776" w:name="_Toc280868717"/>
      <w:bookmarkStart w:id="777" w:name="_Toc280868718"/>
      <w:r>
        <w:rPr>
          <w:rFonts w:ascii="宋体" w:hAnsi="宋体"/>
          <w:color w:val="auto"/>
          <w:szCs w:val="21"/>
          <w:highlight w:val="none"/>
        </w:rPr>
        <w:t>16. 违约</w:t>
      </w:r>
      <w:bookmarkEnd w:id="775"/>
    </w:p>
    <w:p>
      <w:pPr>
        <w:spacing w:line="480" w:lineRule="exact"/>
        <w:rPr>
          <w:rFonts w:ascii="宋体" w:hAnsi="宋体"/>
          <w:color w:val="auto"/>
          <w:szCs w:val="21"/>
          <w:highlight w:val="none"/>
        </w:rPr>
      </w:pPr>
      <w:r>
        <w:rPr>
          <w:rFonts w:ascii="宋体" w:hAnsi="宋体"/>
          <w:color w:val="auto"/>
          <w:szCs w:val="21"/>
          <w:highlight w:val="none"/>
        </w:rPr>
        <w:t>16.1 发包人违约</w:t>
      </w:r>
    </w:p>
    <w:p>
      <w:pPr>
        <w:spacing w:line="480" w:lineRule="exact"/>
        <w:rPr>
          <w:rFonts w:ascii="宋体" w:hAnsi="宋体"/>
          <w:color w:val="auto"/>
          <w:szCs w:val="21"/>
          <w:highlight w:val="none"/>
        </w:rPr>
      </w:pPr>
      <w:r>
        <w:rPr>
          <w:rFonts w:ascii="宋体" w:hAnsi="宋体"/>
          <w:color w:val="auto"/>
          <w:szCs w:val="21"/>
          <w:highlight w:val="none"/>
        </w:rPr>
        <w:t>16.1.1发包人违约的情形</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发包人违约的其他情形：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 xml:space="preserve">    16.1.2 发包人违约的责任</w:t>
      </w:r>
    </w:p>
    <w:p>
      <w:pPr>
        <w:spacing w:line="480" w:lineRule="exact"/>
        <w:rPr>
          <w:rFonts w:ascii="宋体" w:hAnsi="宋体"/>
          <w:color w:val="auto"/>
          <w:kern w:val="0"/>
          <w:szCs w:val="21"/>
          <w:highlight w:val="none"/>
        </w:rPr>
      </w:pPr>
      <w:r>
        <w:rPr>
          <w:rFonts w:ascii="宋体" w:hAnsi="宋体"/>
          <w:color w:val="auto"/>
          <w:kern w:val="0"/>
          <w:szCs w:val="21"/>
          <w:highlight w:val="none"/>
        </w:rPr>
        <w:t>发包人违约责任的承担方式和计算方法：</w:t>
      </w:r>
    </w:p>
    <w:p>
      <w:pPr>
        <w:spacing w:line="480" w:lineRule="exact"/>
        <w:rPr>
          <w:rFonts w:ascii="宋体" w:hAnsi="宋体"/>
          <w:color w:val="auto"/>
          <w:kern w:val="0"/>
          <w:szCs w:val="21"/>
          <w:highlight w:val="none"/>
          <w:u w:val="single"/>
        </w:rPr>
      </w:pPr>
      <w:r>
        <w:rPr>
          <w:rFonts w:ascii="宋体" w:hAnsi="宋体"/>
          <w:color w:val="auto"/>
          <w:kern w:val="0"/>
          <w:szCs w:val="21"/>
          <w:highlight w:val="none"/>
        </w:rPr>
        <w:t>（1）因发包人原因未能在计划开工日期前7天内下达开工通知的违约责任：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（2）因发包人原因未能按合同约定支付合同价款的违约责任：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（3）发包人违反第10.1款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（5）因发包人违反合同约定造成暂停施工的违约责任：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（6）发包人无正当理由没有在约定期限内发出复工指示，导致承包人无法复工的违约责任：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16.1.3 因发包人违约解除合同</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承包人按16.1.1项</w:t>
      </w:r>
      <w:r>
        <w:rPr>
          <w:rFonts w:hint="eastAsia" w:ascii="宋体" w:hAnsi="宋体"/>
          <w:color w:val="auto"/>
          <w:kern w:val="0"/>
          <w:szCs w:val="21"/>
          <w:highlight w:val="none"/>
        </w:rPr>
        <w:t>〔</w:t>
      </w:r>
      <w:r>
        <w:rPr>
          <w:rFonts w:ascii="宋体" w:hAnsi="宋体"/>
          <w:color w:val="auto"/>
          <w:kern w:val="0"/>
          <w:szCs w:val="21"/>
          <w:highlight w:val="none"/>
        </w:rPr>
        <w:t>发包人违约的情形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ascii="宋体" w:hAnsi="宋体"/>
          <w:color w:val="auto"/>
          <w:kern w:val="0"/>
          <w:szCs w:val="21"/>
          <w:highlight w:val="none"/>
          <w:u w:val="single"/>
        </w:rPr>
        <w:t xml:space="preserve">    </w:t>
      </w:r>
      <w:r>
        <w:rPr>
          <w:rFonts w:ascii="宋体" w:hAnsi="宋体"/>
          <w:color w:val="auto"/>
          <w:kern w:val="0"/>
          <w:szCs w:val="21"/>
          <w:highlight w:val="none"/>
        </w:rPr>
        <w:t>天后发包人仍不纠正其违约行为并致使合同目的不能实现的，承包人有权解除合同。</w:t>
      </w:r>
    </w:p>
    <w:p>
      <w:pPr>
        <w:spacing w:line="480" w:lineRule="exact"/>
        <w:rPr>
          <w:rFonts w:ascii="宋体" w:hAnsi="宋体"/>
          <w:color w:val="auto"/>
          <w:szCs w:val="21"/>
          <w:highlight w:val="none"/>
        </w:rPr>
      </w:pPr>
      <w:r>
        <w:rPr>
          <w:rFonts w:ascii="宋体" w:hAnsi="宋体"/>
          <w:color w:val="auto"/>
          <w:szCs w:val="21"/>
          <w:highlight w:val="none"/>
        </w:rPr>
        <w:t>16.2 承包人违约</w:t>
      </w:r>
    </w:p>
    <w:p>
      <w:pPr>
        <w:spacing w:line="480" w:lineRule="exact"/>
        <w:rPr>
          <w:rFonts w:ascii="宋体" w:hAnsi="宋体"/>
          <w:color w:val="auto"/>
          <w:kern w:val="0"/>
          <w:szCs w:val="21"/>
          <w:highlight w:val="none"/>
        </w:rPr>
      </w:pPr>
      <w:r>
        <w:rPr>
          <w:rFonts w:ascii="宋体" w:hAnsi="宋体"/>
          <w:color w:val="auto"/>
          <w:kern w:val="0"/>
          <w:szCs w:val="21"/>
          <w:highlight w:val="none"/>
        </w:rPr>
        <w:t>16.2.1 承包人违约的情形</w:t>
      </w:r>
    </w:p>
    <w:p>
      <w:pPr>
        <w:spacing w:line="480" w:lineRule="exact"/>
        <w:rPr>
          <w:rFonts w:ascii="宋体" w:hAnsi="宋体"/>
          <w:color w:val="auto"/>
          <w:kern w:val="0"/>
          <w:szCs w:val="21"/>
          <w:highlight w:val="none"/>
        </w:rPr>
      </w:pPr>
      <w:r>
        <w:rPr>
          <w:rFonts w:ascii="宋体" w:hAnsi="宋体"/>
          <w:color w:val="auto"/>
          <w:kern w:val="0"/>
          <w:szCs w:val="21"/>
          <w:highlight w:val="none"/>
        </w:rPr>
        <w:t>承包人违约的其他情形：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16.2.2承包人违约的责任</w:t>
      </w:r>
    </w:p>
    <w:p>
      <w:pPr>
        <w:spacing w:line="480" w:lineRule="exact"/>
        <w:rPr>
          <w:rFonts w:ascii="宋体" w:hAnsi="宋体"/>
          <w:color w:val="auto"/>
          <w:kern w:val="0"/>
          <w:szCs w:val="21"/>
          <w:highlight w:val="none"/>
          <w:u w:val="single"/>
        </w:rPr>
      </w:pPr>
      <w:r>
        <w:rPr>
          <w:rFonts w:ascii="宋体" w:hAnsi="宋体"/>
          <w:color w:val="auto"/>
          <w:kern w:val="0"/>
          <w:szCs w:val="21"/>
          <w:highlight w:val="none"/>
        </w:rPr>
        <w:t>承包人违约责任的承担方式和计算方法：</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16.2.3 因承包人违约解除合同</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关于承包人违约解除合同的特别约定：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发包人</w:t>
      </w:r>
      <w:r>
        <w:rPr>
          <w:rFonts w:hint="eastAsia" w:ascii="宋体" w:hAnsi="宋体"/>
          <w:color w:val="auto"/>
          <w:kern w:val="0"/>
          <w:szCs w:val="21"/>
          <w:highlight w:val="none"/>
        </w:rPr>
        <w:t>继续</w:t>
      </w:r>
      <w:r>
        <w:rPr>
          <w:rFonts w:ascii="宋体" w:hAnsi="宋体"/>
          <w:color w:val="auto"/>
          <w:kern w:val="0"/>
          <w:szCs w:val="21"/>
          <w:highlight w:val="none"/>
        </w:rPr>
        <w:t>使用承包人在施工现场的材料、设备、临时工程、承包人文件和由承包人或以其名义编制的其他文件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480" w:lineRule="exact"/>
        <w:rPr>
          <w:rFonts w:ascii="宋体" w:hAnsi="宋体"/>
          <w:color w:val="auto"/>
          <w:szCs w:val="21"/>
          <w:highlight w:val="none"/>
        </w:rPr>
      </w:pPr>
      <w:bookmarkStart w:id="778" w:name="_Toc351203649"/>
      <w:r>
        <w:rPr>
          <w:rFonts w:ascii="宋体" w:hAnsi="宋体"/>
          <w:color w:val="auto"/>
          <w:szCs w:val="21"/>
          <w:highlight w:val="none"/>
        </w:rPr>
        <w:t>17. 不可抗力</w:t>
      </w:r>
      <w:bookmarkEnd w:id="778"/>
      <w:r>
        <w:rPr>
          <w:rFonts w:ascii="宋体" w:hAnsi="宋体"/>
          <w:color w:val="auto"/>
          <w:szCs w:val="21"/>
          <w:highlight w:val="none"/>
        </w:rPr>
        <w:t xml:space="preserve"> </w:t>
      </w:r>
      <w:bookmarkEnd w:id="776"/>
    </w:p>
    <w:p>
      <w:pPr>
        <w:spacing w:line="480" w:lineRule="exact"/>
        <w:rPr>
          <w:rFonts w:ascii="宋体" w:hAnsi="宋体"/>
          <w:color w:val="auto"/>
          <w:szCs w:val="21"/>
          <w:highlight w:val="none"/>
        </w:rPr>
      </w:pPr>
      <w:r>
        <w:rPr>
          <w:rFonts w:ascii="宋体" w:hAnsi="宋体"/>
          <w:color w:val="auto"/>
          <w:szCs w:val="21"/>
          <w:highlight w:val="none"/>
        </w:rPr>
        <w:t>17.1 不可抗力的确认</w:t>
      </w:r>
    </w:p>
    <w:p>
      <w:pPr>
        <w:spacing w:line="480" w:lineRule="exact"/>
        <w:rPr>
          <w:rFonts w:ascii="宋体" w:hAnsi="宋体"/>
          <w:color w:val="auto"/>
          <w:kern w:val="0"/>
          <w:szCs w:val="21"/>
          <w:highlight w:val="none"/>
          <w:u w:val="single"/>
        </w:rPr>
      </w:pPr>
      <w:r>
        <w:rPr>
          <w:rFonts w:ascii="宋体" w:hAnsi="宋体"/>
          <w:color w:val="auto"/>
          <w:szCs w:val="21"/>
          <w:highlight w:val="none"/>
        </w:rPr>
        <w:t xml:space="preserve">除通用合同条款约定的不可抗力事件之外，视为不可抗力的其他情形：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17.4 因不可抗力解除合同</w:t>
      </w:r>
    </w:p>
    <w:p>
      <w:pPr>
        <w:spacing w:line="480" w:lineRule="exact"/>
        <w:rPr>
          <w:rFonts w:hint="eastAsia" w:ascii="宋体" w:hAnsi="宋体"/>
          <w:color w:val="auto"/>
          <w:szCs w:val="21"/>
          <w:highlight w:val="none"/>
        </w:rPr>
      </w:pPr>
      <w:r>
        <w:rPr>
          <w:rFonts w:ascii="宋体" w:hAnsi="宋体"/>
          <w:color w:val="auto"/>
          <w:szCs w:val="21"/>
          <w:highlight w:val="none"/>
        </w:rPr>
        <w:t>合同解除后，发包人应在商定或确定发包人应支付款项后</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pPr>
        <w:spacing w:line="480" w:lineRule="exact"/>
        <w:rPr>
          <w:rFonts w:ascii="宋体" w:hAnsi="宋体"/>
          <w:color w:val="auto"/>
          <w:szCs w:val="21"/>
          <w:highlight w:val="none"/>
        </w:rPr>
      </w:pPr>
      <w:bookmarkStart w:id="779" w:name="_Toc351203650"/>
      <w:r>
        <w:rPr>
          <w:rFonts w:ascii="宋体" w:hAnsi="宋体"/>
          <w:color w:val="auto"/>
          <w:szCs w:val="21"/>
          <w:highlight w:val="none"/>
        </w:rPr>
        <w:t>18. 保险</w:t>
      </w:r>
      <w:bookmarkEnd w:id="779"/>
    </w:p>
    <w:bookmarkEnd w:id="777"/>
    <w:p>
      <w:pPr>
        <w:spacing w:line="480" w:lineRule="exact"/>
        <w:rPr>
          <w:rFonts w:ascii="宋体" w:hAnsi="宋体"/>
          <w:color w:val="auto"/>
          <w:szCs w:val="21"/>
          <w:highlight w:val="none"/>
        </w:rPr>
      </w:pPr>
      <w:r>
        <w:rPr>
          <w:rFonts w:ascii="宋体" w:hAnsi="宋体"/>
          <w:color w:val="auto"/>
          <w:szCs w:val="21"/>
          <w:highlight w:val="none"/>
        </w:rPr>
        <w:t>18.1 工程保险</w:t>
      </w:r>
    </w:p>
    <w:p>
      <w:pPr>
        <w:spacing w:line="480" w:lineRule="exact"/>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18.3 其他保险</w:t>
      </w:r>
    </w:p>
    <w:p>
      <w:pPr>
        <w:spacing w:line="480" w:lineRule="exact"/>
        <w:rPr>
          <w:rFonts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szCs w:val="21"/>
          <w:highlight w:val="none"/>
        </w:rPr>
        <w:t>承包人是否应为其施工设备等办理财产保险：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18.7 通知义务</w:t>
      </w:r>
    </w:p>
    <w:p>
      <w:pPr>
        <w:spacing w:line="480" w:lineRule="exact"/>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53"/>
    <w:bookmarkEnd w:id="754"/>
    <w:bookmarkEnd w:id="755"/>
    <w:bookmarkEnd w:id="756"/>
    <w:bookmarkEnd w:id="757"/>
    <w:bookmarkEnd w:id="758"/>
    <w:bookmarkEnd w:id="759"/>
    <w:bookmarkEnd w:id="760"/>
    <w:bookmarkEnd w:id="761"/>
    <w:bookmarkEnd w:id="762"/>
    <w:bookmarkEnd w:id="763"/>
    <w:bookmarkEnd w:id="764"/>
    <w:p>
      <w:pPr>
        <w:spacing w:line="480" w:lineRule="exact"/>
        <w:rPr>
          <w:rFonts w:ascii="宋体" w:hAnsi="宋体"/>
          <w:color w:val="auto"/>
          <w:szCs w:val="21"/>
          <w:highlight w:val="none"/>
        </w:rPr>
      </w:pPr>
      <w:bookmarkStart w:id="780" w:name="_Toc351203651"/>
      <w:r>
        <w:rPr>
          <w:rFonts w:ascii="宋体" w:hAnsi="宋体"/>
          <w:color w:val="auto"/>
          <w:szCs w:val="21"/>
          <w:highlight w:val="none"/>
        </w:rPr>
        <w:t>20. 争议解决</w:t>
      </w:r>
      <w:bookmarkEnd w:id="780"/>
    </w:p>
    <w:bookmarkEnd w:id="765"/>
    <w:bookmarkEnd w:id="766"/>
    <w:p>
      <w:pPr>
        <w:spacing w:line="480" w:lineRule="exact"/>
        <w:rPr>
          <w:rFonts w:ascii="宋体" w:hAnsi="宋体"/>
          <w:color w:val="auto"/>
          <w:szCs w:val="21"/>
          <w:highlight w:val="none"/>
        </w:rPr>
      </w:pPr>
      <w:r>
        <w:rPr>
          <w:rFonts w:ascii="宋体" w:hAnsi="宋体"/>
          <w:color w:val="auto"/>
          <w:szCs w:val="21"/>
          <w:highlight w:val="none"/>
        </w:rPr>
        <w:t>20.3 争</w:t>
      </w:r>
      <w:bookmarkEnd w:id="767"/>
      <w:r>
        <w:rPr>
          <w:rFonts w:ascii="宋体" w:hAnsi="宋体"/>
          <w:color w:val="auto"/>
          <w:szCs w:val="21"/>
          <w:highlight w:val="none"/>
        </w:rPr>
        <w:t>议评审</w:t>
      </w:r>
    </w:p>
    <w:p>
      <w:pPr>
        <w:spacing w:line="480" w:lineRule="exact"/>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20.3.1 争议评审小组的确定</w:t>
      </w:r>
    </w:p>
    <w:p>
      <w:pPr>
        <w:spacing w:line="480" w:lineRule="exact"/>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20.3.2 争议评审小组的决定</w:t>
      </w:r>
    </w:p>
    <w:p>
      <w:pPr>
        <w:spacing w:line="480" w:lineRule="exact"/>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20.4仲裁或诉讼</w:t>
      </w:r>
      <w:bookmarkEnd w:id="768"/>
    </w:p>
    <w:p>
      <w:pPr>
        <w:spacing w:line="480" w:lineRule="exact"/>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szCs w:val="21"/>
          <w:highlight w:val="none"/>
          <w:u w:val="single"/>
        </w:rPr>
        <w:t xml:space="preserve">     </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pPr>
        <w:spacing w:line="480" w:lineRule="exac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spacing w:line="480" w:lineRule="exac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bookmarkEnd w:id="769"/>
      <w:bookmarkEnd w:id="770"/>
      <w:bookmarkEnd w:id="771"/>
      <w:bookmarkEnd w:id="772"/>
      <w:bookmarkEnd w:id="773"/>
      <w:bookmarkEnd w:id="774"/>
    </w:p>
    <w:p>
      <w:pPr>
        <w:spacing w:line="480" w:lineRule="exact"/>
        <w:rPr>
          <w:rFonts w:ascii="宋体" w:hAnsi="宋体"/>
          <w:color w:val="auto"/>
          <w:szCs w:val="21"/>
          <w:highlight w:val="none"/>
        </w:rPr>
      </w:pPr>
      <w:r>
        <w:rPr>
          <w:rFonts w:ascii="宋体" w:hAnsi="宋体"/>
          <w:color w:val="auto"/>
          <w:szCs w:val="21"/>
          <w:highlight w:val="none"/>
        </w:rPr>
        <w:br w:type="page"/>
      </w:r>
      <w:bookmarkStart w:id="781" w:name="_Toc351203652"/>
      <w:r>
        <w:rPr>
          <w:rFonts w:ascii="宋体" w:hAnsi="宋体"/>
          <w:color w:val="auto"/>
          <w:szCs w:val="21"/>
          <w:highlight w:val="none"/>
        </w:rPr>
        <w:t>附件</w:t>
      </w:r>
      <w:bookmarkEnd w:id="781"/>
    </w:p>
    <w:p>
      <w:pPr>
        <w:spacing w:line="480" w:lineRule="exact"/>
        <w:rPr>
          <w:rFonts w:hint="eastAsia" w:ascii="宋体" w:hAnsi="宋体"/>
          <w:color w:val="auto"/>
          <w:szCs w:val="21"/>
          <w:highlight w:val="none"/>
        </w:rPr>
      </w:pPr>
      <w:r>
        <w:rPr>
          <w:rFonts w:hint="eastAsia" w:ascii="宋体" w:hAnsi="宋体"/>
          <w:color w:val="auto"/>
          <w:szCs w:val="21"/>
          <w:highlight w:val="none"/>
        </w:rPr>
        <w:t>协议书附件：</w:t>
      </w:r>
    </w:p>
    <w:p>
      <w:pPr>
        <w:spacing w:line="480" w:lineRule="exact"/>
        <w:rPr>
          <w:rFonts w:hint="eastAsia" w:ascii="宋体" w:hAnsi="宋体"/>
          <w:color w:val="auto"/>
          <w:szCs w:val="21"/>
          <w:highlight w:val="none"/>
        </w:rPr>
      </w:pPr>
      <w:r>
        <w:rPr>
          <w:rFonts w:ascii="宋体" w:hAnsi="宋体"/>
          <w:color w:val="auto"/>
          <w:szCs w:val="21"/>
          <w:highlight w:val="none"/>
        </w:rPr>
        <w:t>附件1：承包人承揽工程项目一览表</w:t>
      </w:r>
    </w:p>
    <w:p>
      <w:pPr>
        <w:spacing w:line="480" w:lineRule="exact"/>
        <w:rPr>
          <w:rFonts w:ascii="宋体" w:hAnsi="宋体"/>
          <w:color w:val="auto"/>
          <w:szCs w:val="21"/>
          <w:highlight w:val="none"/>
        </w:rPr>
      </w:pPr>
      <w:r>
        <w:rPr>
          <w:rFonts w:hint="eastAsia" w:ascii="宋体" w:hAnsi="宋体"/>
          <w:color w:val="auto"/>
          <w:szCs w:val="21"/>
          <w:highlight w:val="none"/>
        </w:rPr>
        <w:t>专用合同条款附件：</w:t>
      </w:r>
    </w:p>
    <w:p>
      <w:pPr>
        <w:spacing w:line="480" w:lineRule="exact"/>
        <w:rPr>
          <w:rFonts w:ascii="宋体" w:hAnsi="宋体"/>
          <w:color w:val="auto"/>
          <w:szCs w:val="21"/>
          <w:highlight w:val="none"/>
        </w:rPr>
      </w:pPr>
      <w:r>
        <w:rPr>
          <w:rFonts w:ascii="宋体" w:hAnsi="宋体"/>
          <w:color w:val="auto"/>
          <w:szCs w:val="21"/>
          <w:highlight w:val="none"/>
        </w:rPr>
        <w:t>附件2：发包人供应材料设备一览表</w:t>
      </w:r>
    </w:p>
    <w:p>
      <w:pPr>
        <w:spacing w:line="480" w:lineRule="exact"/>
        <w:rPr>
          <w:rFonts w:ascii="宋体" w:hAnsi="宋体"/>
          <w:color w:val="auto"/>
          <w:szCs w:val="21"/>
          <w:highlight w:val="none"/>
        </w:rPr>
      </w:pPr>
      <w:r>
        <w:rPr>
          <w:rFonts w:ascii="宋体" w:hAnsi="宋体"/>
          <w:color w:val="auto"/>
          <w:szCs w:val="21"/>
          <w:highlight w:val="none"/>
        </w:rPr>
        <w:t>附件3：工程质量保修书</w:t>
      </w:r>
    </w:p>
    <w:p>
      <w:pPr>
        <w:spacing w:line="480" w:lineRule="exact"/>
        <w:rPr>
          <w:rFonts w:ascii="宋体" w:hAnsi="宋体"/>
          <w:color w:val="auto"/>
          <w:szCs w:val="21"/>
          <w:highlight w:val="none"/>
        </w:rPr>
      </w:pPr>
      <w:r>
        <w:rPr>
          <w:rFonts w:ascii="宋体" w:hAnsi="宋体"/>
          <w:color w:val="auto"/>
          <w:szCs w:val="21"/>
          <w:highlight w:val="none"/>
        </w:rPr>
        <w:t>附件4：主要建设工程文件目录</w:t>
      </w:r>
    </w:p>
    <w:p>
      <w:pPr>
        <w:spacing w:line="480" w:lineRule="exact"/>
        <w:rPr>
          <w:rFonts w:ascii="宋体" w:hAnsi="宋体"/>
          <w:color w:val="auto"/>
          <w:szCs w:val="21"/>
          <w:highlight w:val="none"/>
        </w:rPr>
      </w:pPr>
      <w:r>
        <w:rPr>
          <w:rFonts w:ascii="宋体" w:hAnsi="宋体"/>
          <w:color w:val="auto"/>
          <w:szCs w:val="21"/>
          <w:highlight w:val="none"/>
        </w:rPr>
        <w:t>附件5：承包人用于本工程施工的机械设备表</w:t>
      </w:r>
    </w:p>
    <w:p>
      <w:pPr>
        <w:spacing w:line="480" w:lineRule="exact"/>
        <w:rPr>
          <w:rFonts w:ascii="宋体" w:hAnsi="宋体"/>
          <w:color w:val="auto"/>
          <w:szCs w:val="21"/>
          <w:highlight w:val="none"/>
        </w:rPr>
      </w:pPr>
      <w:r>
        <w:rPr>
          <w:rFonts w:ascii="宋体" w:hAnsi="宋体"/>
          <w:color w:val="auto"/>
          <w:szCs w:val="21"/>
          <w:highlight w:val="none"/>
        </w:rPr>
        <w:t>附件6：承包人主要施工管理人员表</w:t>
      </w:r>
    </w:p>
    <w:p>
      <w:pPr>
        <w:spacing w:line="480" w:lineRule="exact"/>
        <w:rPr>
          <w:rFonts w:ascii="宋体" w:hAnsi="宋体"/>
          <w:color w:val="auto"/>
          <w:szCs w:val="21"/>
          <w:highlight w:val="none"/>
        </w:rPr>
      </w:pPr>
      <w:r>
        <w:rPr>
          <w:rFonts w:ascii="宋体" w:hAnsi="宋体"/>
          <w:color w:val="auto"/>
          <w:szCs w:val="21"/>
          <w:highlight w:val="none"/>
        </w:rPr>
        <w:t>附件7：分包人主要施工管理人员表</w:t>
      </w:r>
    </w:p>
    <w:p>
      <w:pPr>
        <w:spacing w:line="480" w:lineRule="exact"/>
        <w:rPr>
          <w:rFonts w:ascii="宋体" w:hAnsi="宋体"/>
          <w:bCs/>
          <w:color w:val="auto"/>
          <w:szCs w:val="21"/>
          <w:highlight w:val="none"/>
        </w:rPr>
      </w:pPr>
      <w:r>
        <w:rPr>
          <w:rFonts w:ascii="宋体" w:hAnsi="宋体"/>
          <w:color w:val="auto"/>
          <w:szCs w:val="21"/>
          <w:highlight w:val="none"/>
        </w:rPr>
        <w:t>附件8：履约担保格式</w:t>
      </w:r>
      <w:r>
        <w:rPr>
          <w:rFonts w:hint="eastAsia" w:ascii="宋体" w:hAnsi="宋体"/>
          <w:bCs/>
          <w:color w:val="auto"/>
          <w:szCs w:val="21"/>
          <w:highlight w:val="none"/>
        </w:rPr>
        <w:t>（经评审最低投标价法中标履约担保格式见本章附件4-</w:t>
      </w:r>
      <w:r>
        <w:rPr>
          <w:rFonts w:ascii="宋体" w:hAnsi="宋体"/>
          <w:bCs/>
          <w:color w:val="auto"/>
          <w:szCs w:val="21"/>
          <w:highlight w:val="none"/>
        </w:rPr>
        <w:t>1</w:t>
      </w:r>
      <w:r>
        <w:rPr>
          <w:rFonts w:hint="eastAsia" w:ascii="宋体" w:hAnsi="宋体"/>
          <w:bCs/>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附件9：预付款担保格式</w:t>
      </w:r>
    </w:p>
    <w:p>
      <w:pPr>
        <w:spacing w:line="480" w:lineRule="exact"/>
        <w:rPr>
          <w:rFonts w:ascii="宋体" w:hAnsi="宋体"/>
          <w:color w:val="auto"/>
          <w:szCs w:val="21"/>
          <w:highlight w:val="none"/>
        </w:rPr>
      </w:pPr>
      <w:r>
        <w:rPr>
          <w:rFonts w:ascii="宋体" w:hAnsi="宋体"/>
          <w:color w:val="auto"/>
          <w:szCs w:val="21"/>
          <w:highlight w:val="none"/>
        </w:rPr>
        <w:t>附件10：支付担保格式</w:t>
      </w:r>
    </w:p>
    <w:p>
      <w:pPr>
        <w:spacing w:line="480" w:lineRule="exact"/>
        <w:rPr>
          <w:rFonts w:ascii="宋体" w:hAnsi="宋体"/>
          <w:color w:val="auto"/>
          <w:szCs w:val="21"/>
          <w:highlight w:val="none"/>
        </w:rPr>
      </w:pPr>
      <w:r>
        <w:rPr>
          <w:rFonts w:ascii="宋体" w:hAnsi="宋体"/>
          <w:color w:val="auto"/>
          <w:szCs w:val="21"/>
          <w:highlight w:val="none"/>
        </w:rPr>
        <w:t>附件11：暂估价一览表</w:t>
      </w:r>
    </w:p>
    <w:p>
      <w:pPr>
        <w:spacing w:line="480" w:lineRule="exact"/>
        <w:rPr>
          <w:rFonts w:ascii="宋体" w:hAnsi="宋体"/>
          <w:color w:val="auto"/>
          <w:szCs w:val="21"/>
          <w:highlight w:val="non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ascii="宋体" w:hAnsi="宋体"/>
          <w:bCs/>
          <w:color w:val="auto"/>
          <w:szCs w:val="21"/>
          <w:highlight w:val="none"/>
        </w:rPr>
      </w:pPr>
      <w:r>
        <w:rPr>
          <w:rFonts w:hint="eastAsia" w:ascii="宋体" w:hAnsi="宋体"/>
          <w:bCs/>
          <w:color w:val="auto"/>
          <w:szCs w:val="21"/>
          <w:highlight w:val="none"/>
        </w:rPr>
        <w:t>说明：请招标人根据《建设工程施工合同（示范文本）》（GF-2017-0201）的“附件”格式填写相关内容</w:t>
      </w:r>
    </w:p>
    <w:p>
      <w:pPr>
        <w:spacing w:line="480" w:lineRule="exact"/>
        <w:rPr>
          <w:rFonts w:ascii="宋体" w:hAnsi="宋体"/>
          <w:color w:val="auto"/>
          <w:szCs w:val="21"/>
          <w:highlight w:val="none"/>
        </w:rPr>
        <w:sectPr>
          <w:footerReference r:id="rId12" w:type="first"/>
          <w:footerReference r:id="rId11" w:type="default"/>
          <w:pgSz w:w="11906" w:h="16838"/>
          <w:pgMar w:top="1417" w:right="1440" w:bottom="1417" w:left="1440" w:header="850" w:footer="850" w:gutter="0"/>
          <w:pgNumType w:fmt="decimal"/>
          <w:cols w:space="720" w:num="1"/>
          <w:titlePg/>
          <w:docGrid w:type="lines" w:linePitch="315" w:charSpace="0"/>
        </w:sectPr>
      </w:pPr>
    </w:p>
    <w:bookmarkEnd w:id="225"/>
    <w:p>
      <w:pPr>
        <w:rPr>
          <w:color w:val="auto"/>
          <w:szCs w:val="21"/>
          <w:highlight w:val="none"/>
        </w:rPr>
      </w:pPr>
      <w:r>
        <w:rPr>
          <w:rFonts w:hint="eastAsia"/>
          <w:color w:val="auto"/>
          <w:szCs w:val="21"/>
          <w:highlight w:val="none"/>
        </w:rPr>
        <w:t>附件4-1-1：</w:t>
      </w:r>
      <w:r>
        <w:rPr>
          <w:color w:val="auto"/>
          <w:szCs w:val="21"/>
          <w:highlight w:val="none"/>
        </w:rPr>
        <w:t>经评审最低投标价法中标履约担保格式</w:t>
      </w:r>
    </w:p>
    <w:p>
      <w:pPr>
        <w:jc w:val="center"/>
        <w:rPr>
          <w:rFonts w:eastAsia="黑体"/>
          <w:color w:val="auto"/>
          <w:sz w:val="30"/>
          <w:szCs w:val="30"/>
          <w:highlight w:val="none"/>
        </w:rPr>
      </w:pPr>
    </w:p>
    <w:p>
      <w:pPr>
        <w:jc w:val="center"/>
        <w:rPr>
          <w:rFonts w:eastAsia="黑体"/>
          <w:color w:val="auto"/>
          <w:sz w:val="30"/>
          <w:szCs w:val="30"/>
          <w:highlight w:val="none"/>
        </w:rPr>
      </w:pPr>
      <w:r>
        <w:rPr>
          <w:rFonts w:eastAsia="黑体"/>
          <w:color w:val="auto"/>
          <w:sz w:val="30"/>
          <w:szCs w:val="30"/>
          <w:highlight w:val="none"/>
        </w:rPr>
        <w:t>履约保函（格式）</w:t>
      </w:r>
    </w:p>
    <w:p>
      <w:pPr>
        <w:spacing w:line="360" w:lineRule="auto"/>
        <w:rPr>
          <w:color w:val="auto"/>
          <w:szCs w:val="32"/>
          <w:highlight w:val="none"/>
        </w:rPr>
      </w:pPr>
      <w:r>
        <w:rPr>
          <w:color w:val="auto"/>
          <w:szCs w:val="32"/>
          <w:highlight w:val="none"/>
          <w:u w:val="single"/>
        </w:rPr>
        <w:t xml:space="preserve">              </w:t>
      </w:r>
      <w:r>
        <w:rPr>
          <w:color w:val="auto"/>
          <w:szCs w:val="32"/>
          <w:highlight w:val="none"/>
        </w:rPr>
        <w:t>（受益人名称）：</w:t>
      </w:r>
    </w:p>
    <w:p>
      <w:pPr>
        <w:spacing w:line="360" w:lineRule="auto"/>
        <w:ind w:firstLine="420" w:firstLineChars="200"/>
        <w:rPr>
          <w:color w:val="auto"/>
          <w:szCs w:val="32"/>
          <w:highlight w:val="none"/>
        </w:rPr>
      </w:pPr>
      <w:r>
        <w:rPr>
          <w:color w:val="auto"/>
          <w:szCs w:val="32"/>
          <w:highlight w:val="none"/>
        </w:rPr>
        <w:t>鉴于你方作为招标人已经于</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日向</w:t>
      </w:r>
      <w:r>
        <w:rPr>
          <w:color w:val="auto"/>
          <w:szCs w:val="32"/>
          <w:highlight w:val="none"/>
          <w:u w:val="single"/>
        </w:rPr>
        <w:t xml:space="preserve">                              </w:t>
      </w:r>
      <w:r>
        <w:rPr>
          <w:color w:val="auto"/>
          <w:szCs w:val="32"/>
          <w:highlight w:val="none"/>
        </w:rPr>
        <w:t>公司（以下称“中标人”）发出</w:t>
      </w:r>
      <w:r>
        <w:rPr>
          <w:color w:val="auto"/>
          <w:szCs w:val="32"/>
          <w:highlight w:val="none"/>
          <w:u w:val="single"/>
        </w:rPr>
        <w:t xml:space="preserve">  （</w:t>
      </w:r>
      <w:r>
        <w:rPr>
          <w:rFonts w:hint="eastAsia"/>
          <w:color w:val="auto"/>
          <w:szCs w:val="32"/>
          <w:highlight w:val="none"/>
          <w:u w:val="single"/>
        </w:rPr>
        <w:t>招标项目及标段</w:t>
      </w:r>
      <w:r>
        <w:rPr>
          <w:color w:val="auto"/>
          <w:szCs w:val="32"/>
          <w:highlight w:val="none"/>
          <w:u w:val="single"/>
        </w:rPr>
        <w:t>）</w:t>
      </w:r>
      <w:r>
        <w:rPr>
          <w:rFonts w:hint="eastAsia"/>
          <w:color w:val="auto"/>
          <w:szCs w:val="32"/>
          <w:highlight w:val="none"/>
          <w:u w:val="single"/>
        </w:rPr>
        <w:t xml:space="preserve">  </w:t>
      </w:r>
      <w:r>
        <w:rPr>
          <w:color w:val="auto"/>
          <w:szCs w:val="32"/>
          <w:highlight w:val="none"/>
        </w:rPr>
        <w:t>发出中标通知书，我方愿意无条件、不可撤销地就中标人履行与你方签订的工程建设合同义务，向你方出具见索即付保函：</w:t>
      </w:r>
    </w:p>
    <w:p>
      <w:pPr>
        <w:spacing w:line="360" w:lineRule="auto"/>
        <w:ind w:firstLine="420"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 xml:space="preserve"> 元（¥</w:t>
      </w:r>
      <w:r>
        <w:rPr>
          <w:color w:val="auto"/>
          <w:szCs w:val="32"/>
          <w:highlight w:val="none"/>
          <w:u w:val="single"/>
        </w:rPr>
        <w:t xml:space="preserve">             </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本保函有效期自保函签发之日起至合同约定的主要义务履行完毕止，或者至我方收到你方与中标人共同签署的解除工程建设合同的书面通知书，或者建设工程中止施工超过3个月的书面通知书止。但本保函有效期最迟不超过</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spacing w:line="360" w:lineRule="auto"/>
        <w:ind w:firstLine="420" w:firstLineChars="200"/>
        <w:rPr>
          <w:color w:val="auto"/>
          <w:szCs w:val="32"/>
          <w:highlight w:val="none"/>
        </w:rPr>
      </w:pPr>
      <w:r>
        <w:rPr>
          <w:color w:val="auto"/>
          <w:szCs w:val="32"/>
          <w:highlight w:val="none"/>
        </w:rPr>
        <w:t>3．在本保函有效期内，因中标人未能按照合同约定履行义务时，我方在收到你方提出的书面索赔通知以及本保函原件后，在10个工作日内无条件地向你方支付累计总额不超过本保函第1款约定的经济赔偿金。</w:t>
      </w:r>
    </w:p>
    <w:p>
      <w:pPr>
        <w:spacing w:line="360" w:lineRule="auto"/>
        <w:ind w:firstLine="420" w:firstLineChars="200"/>
        <w:rPr>
          <w:color w:val="auto"/>
          <w:szCs w:val="32"/>
          <w:highlight w:val="none"/>
        </w:rPr>
      </w:pPr>
      <w:r>
        <w:rPr>
          <w:color w:val="auto"/>
          <w:szCs w:val="32"/>
          <w:highlight w:val="none"/>
        </w:rPr>
        <w:t>4．你方的索赔通知应当符合下列要求：</w:t>
      </w:r>
    </w:p>
    <w:p>
      <w:pPr>
        <w:spacing w:line="360" w:lineRule="auto"/>
        <w:ind w:firstLine="420" w:firstLineChars="200"/>
        <w:rPr>
          <w:color w:val="auto"/>
          <w:szCs w:val="32"/>
          <w:highlight w:val="none"/>
        </w:rPr>
      </w:pPr>
      <w:r>
        <w:rPr>
          <w:color w:val="auto"/>
          <w:szCs w:val="32"/>
          <w:highlight w:val="none"/>
        </w:rPr>
        <w:t>（1）索赔通知应当列明索赔金额，由你方加盖单位公章和法定代表人印章；</w:t>
      </w:r>
    </w:p>
    <w:p>
      <w:pPr>
        <w:spacing w:line="360" w:lineRule="auto"/>
        <w:ind w:firstLine="420"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pPr>
        <w:spacing w:line="360" w:lineRule="auto"/>
        <w:rPr>
          <w:color w:val="auto"/>
          <w:szCs w:val="32"/>
          <w:highlight w:val="none"/>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5．你方和中标人变更合同时，我方承担本保函规定的义务不变。</w:t>
      </w:r>
    </w:p>
    <w:p>
      <w:pPr>
        <w:spacing w:line="360" w:lineRule="auto"/>
        <w:ind w:firstLine="420" w:firstLineChars="200"/>
        <w:rPr>
          <w:color w:val="auto"/>
          <w:szCs w:val="32"/>
          <w:highlight w:val="none"/>
        </w:rPr>
      </w:pPr>
      <w:r>
        <w:rPr>
          <w:color w:val="auto"/>
          <w:szCs w:val="32"/>
          <w:highlight w:val="none"/>
        </w:rPr>
        <w:t>6．本保函项下的权利不得转让或设定担保。</w:t>
      </w:r>
    </w:p>
    <w:p>
      <w:pPr>
        <w:spacing w:line="360" w:lineRule="auto"/>
        <w:ind w:firstLine="420" w:firstLineChars="200"/>
        <w:rPr>
          <w:color w:val="auto"/>
          <w:szCs w:val="32"/>
          <w:highlight w:val="none"/>
        </w:rPr>
      </w:pPr>
      <w:r>
        <w:rPr>
          <w:color w:val="auto"/>
          <w:szCs w:val="32"/>
          <w:highlight w:val="none"/>
        </w:rPr>
        <w:t>7．本保函有效期届满，或者我方收到你方与中标人共同签署的解除工程建设合同的书面通知书，或者建设工程项目中止施工超过3个月的书面通知书后，无论是否将保函原件退回我方，本保函自行失效。我方在本保函项下的保证责任解除，此后提出的要求我方履行担保责任的主张无效。</w:t>
      </w:r>
    </w:p>
    <w:p>
      <w:pPr>
        <w:spacing w:line="360" w:lineRule="auto"/>
        <w:ind w:firstLine="420" w:firstLineChars="200"/>
        <w:rPr>
          <w:color w:val="auto"/>
          <w:szCs w:val="32"/>
          <w:highlight w:val="none"/>
        </w:rPr>
      </w:pPr>
      <w:r>
        <w:rPr>
          <w:color w:val="auto"/>
          <w:szCs w:val="32"/>
          <w:highlight w:val="none"/>
        </w:rPr>
        <w:t>8．本保函项下所有权利和义务均受中华人民共和国法律管辖和制约。</w:t>
      </w:r>
    </w:p>
    <w:p>
      <w:pPr>
        <w:spacing w:line="360" w:lineRule="auto"/>
        <w:ind w:firstLine="420" w:firstLineChars="200"/>
        <w:rPr>
          <w:color w:val="auto"/>
          <w:szCs w:val="32"/>
          <w:highlight w:val="none"/>
        </w:rPr>
      </w:pPr>
    </w:p>
    <w:p>
      <w:pPr>
        <w:spacing w:line="360" w:lineRule="auto"/>
        <w:ind w:firstLine="420" w:firstLineChars="200"/>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（盖章）</w:t>
      </w:r>
    </w:p>
    <w:p>
      <w:pPr>
        <w:spacing w:line="360" w:lineRule="auto"/>
        <w:ind w:firstLine="420" w:firstLineChars="200"/>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pPr>
        <w:spacing w:line="360" w:lineRule="auto"/>
        <w:ind w:firstLine="420" w:firstLineChars="200"/>
        <w:rPr>
          <w:color w:val="auto"/>
          <w:szCs w:val="32"/>
          <w:highlight w:val="none"/>
        </w:rPr>
      </w:pPr>
      <w:r>
        <w:rPr>
          <w:color w:val="auto"/>
          <w:szCs w:val="32"/>
          <w:highlight w:val="none"/>
        </w:rPr>
        <w:t>地址：</w:t>
      </w:r>
      <w:r>
        <w:rPr>
          <w:color w:val="auto"/>
          <w:szCs w:val="32"/>
          <w:highlight w:val="none"/>
          <w:u w:val="single"/>
        </w:rPr>
        <w:t xml:space="preserve">                                           </w:t>
      </w:r>
    </w:p>
    <w:p>
      <w:pPr>
        <w:spacing w:line="360" w:lineRule="auto"/>
        <w:ind w:firstLine="420" w:firstLineChars="200"/>
        <w:rPr>
          <w:color w:val="auto"/>
          <w:szCs w:val="32"/>
          <w:highlight w:val="none"/>
          <w:u w:val="single"/>
        </w:rPr>
      </w:pPr>
      <w:r>
        <w:rPr>
          <w:color w:val="auto"/>
          <w:szCs w:val="32"/>
          <w:highlight w:val="none"/>
        </w:rPr>
        <w:t>邮政编码：</w:t>
      </w:r>
      <w:r>
        <w:rPr>
          <w:color w:val="auto"/>
          <w:szCs w:val="32"/>
          <w:highlight w:val="none"/>
          <w:u w:val="single"/>
        </w:rPr>
        <w:t xml:space="preserve">                                       </w:t>
      </w:r>
    </w:p>
    <w:p>
      <w:pPr>
        <w:spacing w:line="360" w:lineRule="auto"/>
        <w:ind w:firstLine="420" w:firstLineChars="200"/>
        <w:rPr>
          <w:color w:val="auto"/>
          <w:szCs w:val="32"/>
          <w:highlight w:val="none"/>
        </w:rPr>
      </w:pPr>
      <w:r>
        <w:rPr>
          <w:color w:val="auto"/>
          <w:szCs w:val="32"/>
          <w:highlight w:val="none"/>
        </w:rPr>
        <w:t>电话：</w:t>
      </w:r>
      <w:r>
        <w:rPr>
          <w:color w:val="auto"/>
          <w:szCs w:val="32"/>
          <w:highlight w:val="none"/>
          <w:u w:val="single"/>
        </w:rPr>
        <w:t xml:space="preserve">                                           </w:t>
      </w:r>
    </w:p>
    <w:p>
      <w:pPr>
        <w:spacing w:line="360" w:lineRule="auto"/>
        <w:ind w:firstLine="420" w:firstLineChars="200"/>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360" w:lineRule="auto"/>
        <w:ind w:firstLine="420" w:firstLineChars="200"/>
        <w:rPr>
          <w:color w:val="auto"/>
          <w:szCs w:val="32"/>
          <w:highlight w:val="none"/>
        </w:rPr>
      </w:pPr>
    </w:p>
    <w:p>
      <w:pPr>
        <w:spacing w:line="360" w:lineRule="auto"/>
        <w:ind w:firstLine="420" w:firstLineChars="2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widowControl/>
        <w:jc w:val="left"/>
        <w:rPr>
          <w:color w:val="auto"/>
          <w:szCs w:val="32"/>
          <w:highlight w:val="none"/>
        </w:rPr>
      </w:pPr>
      <w:r>
        <w:rPr>
          <w:color w:val="auto"/>
          <w:szCs w:val="32"/>
          <w:highlight w:val="none"/>
        </w:rPr>
        <w:br w:type="page"/>
      </w:r>
    </w:p>
    <w:p>
      <w:pPr>
        <w:rPr>
          <w:color w:val="auto"/>
          <w:szCs w:val="32"/>
          <w:highlight w:val="none"/>
        </w:rPr>
      </w:pPr>
      <w:r>
        <w:rPr>
          <w:rFonts w:hint="eastAsia"/>
          <w:color w:val="auto"/>
          <w:szCs w:val="21"/>
          <w:highlight w:val="none"/>
        </w:rPr>
        <w:t>附件4-1-2：</w:t>
      </w:r>
      <w:r>
        <w:rPr>
          <w:color w:val="auto"/>
          <w:szCs w:val="21"/>
          <w:highlight w:val="none"/>
        </w:rPr>
        <w:t>经评审最低投标价法中标履约担保格式</w:t>
      </w:r>
    </w:p>
    <w:p>
      <w:pPr>
        <w:jc w:val="center"/>
        <w:rPr>
          <w:rFonts w:eastAsia="黑体"/>
          <w:color w:val="auto"/>
          <w:sz w:val="30"/>
          <w:szCs w:val="30"/>
          <w:highlight w:val="none"/>
        </w:rPr>
      </w:pPr>
    </w:p>
    <w:p>
      <w:pPr>
        <w:jc w:val="center"/>
        <w:rPr>
          <w:rFonts w:eastAsia="黑体"/>
          <w:color w:val="auto"/>
          <w:sz w:val="30"/>
          <w:szCs w:val="30"/>
          <w:highlight w:val="none"/>
        </w:rPr>
      </w:pPr>
      <w:r>
        <w:rPr>
          <w:rFonts w:hint="eastAsia" w:eastAsia="黑体"/>
          <w:color w:val="auto"/>
          <w:sz w:val="30"/>
          <w:szCs w:val="30"/>
          <w:highlight w:val="none"/>
        </w:rPr>
        <w:t>建设工程施工履约保证保险</w:t>
      </w:r>
    </w:p>
    <w:p>
      <w:pPr>
        <w:jc w:val="center"/>
        <w:rPr>
          <w:rFonts w:eastAsia="黑体"/>
          <w:color w:val="auto"/>
          <w:sz w:val="30"/>
          <w:szCs w:val="30"/>
          <w:highlight w:val="none"/>
        </w:rPr>
      </w:pPr>
    </w:p>
    <w:p>
      <w:pPr>
        <w:pStyle w:val="133"/>
        <w:snapToGrid w:val="0"/>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（招标人名称）</w:t>
      </w:r>
      <w:r>
        <w:rPr>
          <w:rFonts w:hint="eastAsia" w:hAnsi="宋体" w:cs="宋体"/>
          <w:color w:val="auto"/>
          <w:sz w:val="21"/>
          <w:szCs w:val="21"/>
          <w:highlight w:val="none"/>
        </w:rPr>
        <w:t xml:space="preserve">： </w:t>
      </w:r>
    </w:p>
    <w:p>
      <w:pPr>
        <w:pStyle w:val="133"/>
        <w:snapToGrid w:val="0"/>
        <w:spacing w:after="0" w:line="3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w:t>
      </w:r>
      <w:r>
        <w:rPr>
          <w:rFonts w:hint="eastAsia" w:hAnsi="宋体" w:cs="宋体"/>
          <w:color w:val="auto"/>
          <w:sz w:val="21"/>
          <w:szCs w:val="21"/>
          <w:highlight w:val="none"/>
        </w:rPr>
        <w:t>（以下简称“中标人”）于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w:t>
      </w:r>
      <w:r>
        <w:rPr>
          <w:rFonts w:hint="eastAsia" w:hAnsi="宋体" w:cs="宋体"/>
          <w:bCs/>
          <w:color w:val="auto"/>
          <w:sz w:val="21"/>
          <w:szCs w:val="21"/>
          <w:highlight w:val="none"/>
          <w:u w:val="single"/>
        </w:rPr>
        <w:t>（招标项目及标段）</w:t>
      </w:r>
      <w:r>
        <w:rPr>
          <w:rFonts w:hint="eastAsia" w:hAnsi="宋体" w:cs="宋体"/>
          <w:color w:val="auto"/>
          <w:sz w:val="21"/>
          <w:szCs w:val="21"/>
          <w:highlight w:val="none"/>
        </w:rPr>
        <w:t>施工的招标投标，并收到你方发出的中标通知书。现中标人向我方投保建设工程施工合同履约保证保险（保险单号：              ）。我方愿就中标人履行《建设工程施工合同》约定的义务向贵方提供如下保证保险：</w:t>
      </w:r>
    </w:p>
    <w:p>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我方承担的履约保证保险的保险金额（最高限额）为人民币</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color w:val="auto"/>
          <w:szCs w:val="32"/>
          <w:highlight w:val="none"/>
        </w:rPr>
        <w:t>（¥</w:t>
      </w:r>
      <w:r>
        <w:rPr>
          <w:color w:val="auto"/>
          <w:szCs w:val="32"/>
          <w:highlight w:val="none"/>
          <w:u w:val="single"/>
        </w:rPr>
        <w:t xml:space="preserve">             </w:t>
      </w:r>
      <w:r>
        <w:rPr>
          <w:color w:val="auto"/>
          <w:szCs w:val="32"/>
          <w:highlight w:val="none"/>
        </w:rPr>
        <w:t xml:space="preserve"> ）</w:t>
      </w:r>
      <w:r>
        <w:rPr>
          <w:rFonts w:hint="eastAsia" w:ascii="宋体" w:hAnsi="宋体" w:cs="宋体"/>
          <w:color w:val="auto"/>
          <w:szCs w:val="21"/>
          <w:highlight w:val="none"/>
        </w:rPr>
        <w:t>。</w:t>
      </w:r>
    </w:p>
    <w:p>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在保险期间内，中标人（投保人）因自身原因未按照与招标人（被保险人）签订的《建设工程施工合同》（合同编号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）履行相关义务，导致工程竣工延误或工程质量不符合建设工程施工合同要求，给被保险人造成直接经济损失的，被保险人可向保险人提出索赔，保险人按照保险合同的约定承担损失赔偿责任。</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贵方要求我方承担保证保险责任的，应向我方发出书面索赔通知。索赔通知应写明要求索赔的金额，支付款项应到达的帐号，并附有说明中标人违约造成贵方损失情况的证明材料。</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个工作日内进行核定后，按照保险合同的约定承诺承担保证保险责任。</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四、保单凭证有效期</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本保单凭证的有效期自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日零时起至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日二十四时止。</w:t>
      </w:r>
    </w:p>
    <w:p>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（即：保险合同签发之日起至合同到期之日止，具体以保险合同载明为准。）</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五、争议解决方式</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本保单凭证（函）发生争议协商解决不成，按以下方式解决：提交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诉讼</w:t>
      </w:r>
    </w:p>
    <w:p>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九、本保险保单凭证/保函未载明事宜以保险合同约定为准。</w:t>
      </w:r>
    </w:p>
    <w:p>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十、本保险保单凭证/保函自保险人或授权代理人签字并加盖公章之日起生效。</w:t>
      </w:r>
    </w:p>
    <w:p>
      <w:pPr>
        <w:snapToGrid w:val="0"/>
        <w:spacing w:line="380" w:lineRule="exact"/>
        <w:ind w:firstLine="420" w:firstLineChars="200"/>
        <w:jc w:val="left"/>
        <w:rPr>
          <w:rFonts w:hint="eastAsia" w:ascii="宋体" w:hAnsi="宋体" w:cs="宋体"/>
          <w:color w:val="auto"/>
          <w:szCs w:val="21"/>
          <w:highlight w:val="none"/>
        </w:rPr>
      </w:pPr>
    </w:p>
    <w:p>
      <w:pPr>
        <w:snapToGrid w:val="0"/>
        <w:spacing w:line="380" w:lineRule="exact"/>
        <w:ind w:firstLine="420" w:firstLineChars="200"/>
        <w:jc w:val="left"/>
        <w:rPr>
          <w:rFonts w:hint="eastAsia" w:ascii="宋体" w:hAnsi="宋体" w:cs="宋体"/>
          <w:color w:val="auto"/>
          <w:szCs w:val="21"/>
          <w:highlight w:val="none"/>
        </w:rPr>
      </w:pPr>
    </w:p>
    <w:p>
      <w:pPr>
        <w:pStyle w:val="182"/>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pPr>
        <w:pStyle w:val="182"/>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pPr>
        <w:pStyle w:val="182"/>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pPr>
        <w:rPr>
          <w:rFonts w:eastAsia="黑体"/>
          <w:bCs/>
          <w:color w:val="auto"/>
          <w:highlight w:val="none"/>
        </w:rPr>
      </w:pPr>
    </w:p>
    <w:p>
      <w:pPr>
        <w:rPr>
          <w:rFonts w:eastAsia="黑体"/>
          <w:bCs/>
          <w:color w:val="auto"/>
          <w:highlight w:val="none"/>
        </w:rPr>
      </w:pPr>
    </w:p>
    <w:p>
      <w:pPr>
        <w:rPr>
          <w:rFonts w:eastAsia="黑体"/>
          <w:bCs/>
          <w:color w:val="auto"/>
          <w:highlight w:val="none"/>
        </w:rPr>
      </w:pPr>
    </w:p>
    <w:p>
      <w:pPr>
        <w:rPr>
          <w:color w:val="auto"/>
          <w:highlight w:val="none"/>
        </w:rPr>
        <w:sectPr>
          <w:headerReference r:id="rId13" w:type="default"/>
          <w:footerReference r:id="rId14" w:type="default"/>
          <w:pgSz w:w="11907" w:h="16840"/>
          <w:pgMar w:top="1440" w:right="1440" w:bottom="1440" w:left="1440" w:header="851" w:footer="850" w:gutter="0"/>
          <w:cols w:space="720" w:num="1"/>
          <w:docGrid w:linePitch="326" w:charSpace="0"/>
        </w:sectPr>
      </w:pPr>
    </w:p>
    <w:p>
      <w:pPr>
        <w:pStyle w:val="2"/>
        <w:spacing w:before="0" w:after="0"/>
        <w:jc w:val="center"/>
        <w:rPr>
          <w:rFonts w:ascii="Times New Roman" w:hAnsi="Times New Roman"/>
          <w:b w:val="0"/>
          <w:color w:val="auto"/>
          <w:spacing w:val="-20"/>
          <w:w w:val="80"/>
          <w:sz w:val="21"/>
          <w:szCs w:val="21"/>
          <w:highlight w:val="none"/>
        </w:rPr>
      </w:pPr>
      <w:bookmarkStart w:id="782" w:name="_Toc80006223"/>
      <w:bookmarkStart w:id="783" w:name="_Toc80006113"/>
      <w:r>
        <w:rPr>
          <w:rFonts w:ascii="Times New Roman" w:hAnsi="Times New Roman" w:eastAsia="黑体"/>
          <w:b w:val="0"/>
          <w:bCs w:val="0"/>
          <w:color w:val="auto"/>
          <w:highlight w:val="none"/>
        </w:rPr>
        <w:t>第五章  工程量清单</w:t>
      </w:r>
      <w:bookmarkEnd w:id="782"/>
      <w:bookmarkEnd w:id="783"/>
    </w:p>
    <w:p>
      <w:pPr>
        <w:rPr>
          <w:rFonts w:eastAsia="黑体"/>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784" w:name="_Toc80006114"/>
      <w:bookmarkStart w:id="785" w:name="_Toc80006224"/>
      <w:bookmarkStart w:id="786" w:name="_Toc9178540"/>
      <w:r>
        <w:rPr>
          <w:rFonts w:hint="eastAsia" w:ascii="Times New Roman" w:hAnsi="Times New Roman" w:eastAsia="黑体"/>
          <w:b w:val="0"/>
          <w:bCs w:val="0"/>
          <w:color w:val="auto"/>
          <w:sz w:val="30"/>
          <w:highlight w:val="none"/>
        </w:rPr>
        <w:t>1.工程量清单说明</w:t>
      </w:r>
      <w:bookmarkEnd w:id="784"/>
      <w:bookmarkEnd w:id="785"/>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1.1本工程量清单是依据《建设工程工程量清单计价规范》(GB50500-2013,简称“国家计价规范”)、《关于印发2020&lt;湖南省建设工程计价办法&gt;及&lt;湖南省建设工程消耗量标准&gt;的通知》(湘建价〔2020〕56号,以下简称《计价办法》)以及招标文件中包括的图纸等编制。《计价办法》中规定的工程量计算规则中没有的项目,在本章第1.4款及本文件《第四章合同条款及格式》中约定;《计价办法》中规定的工程量计算规则中没有且本章第1.4款及本文件《第四章合同条款及格式》中也未约定的,双方协商确定;协商不成的,可向省级建设工程造价管理机构申请裁定。</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1.2本工程量清单应与招标文件中的投标人须知、通用合同条款、专用合同条款、技术标准和要求及图纸等章节内容一起阅读和理解。</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1.3本工程量清单是工程量清单计价的基础,应为编制最高投标限价、投标报价、计算或调整工程量、索赔等的依据之一。合同履行期间,本工程量清单缺陷经发承包双方确认后,应按照承包人实际完成合同工程的应予计量的工程量和实际发生的措施项目调整,合同价格的确定以及价款支付应遵循合同条款(包括通用合同条款和专用合同条款)、技术标准和要求以及本章的有关约定。</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1.4补充项目的项目特征、计量单位、工程量计算规则及工作内容说明如下:</w:t>
      </w:r>
      <w:r>
        <w:rPr>
          <w:color w:val="auto"/>
          <w:kern w:val="2"/>
          <w:highlight w:val="none"/>
          <w:u w:val="single"/>
        </w:rPr>
        <w:t xml:space="preserve">                 </w:t>
      </w:r>
      <w:r>
        <w:rPr>
          <w:rFonts w:hint="eastAsia"/>
          <w:color w:val="auto"/>
          <w:kern w:val="2"/>
          <w:highlight w:val="none"/>
        </w:rPr>
        <w:t>。</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1.5本条第1.1款中约定的计量和计价规则适用于合同履约过程中工程量计量与价款支付、工程变更、索赔和工程结算。</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1.6本条与下述第2条和第3条的说明内容是构成合同文件的已标价工程量清单的组成部分。</w:t>
      </w:r>
    </w:p>
    <w:p>
      <w:pPr>
        <w:pStyle w:val="3"/>
        <w:spacing w:before="0" w:after="0" w:line="360" w:lineRule="auto"/>
        <w:rPr>
          <w:rFonts w:hint="eastAsia" w:ascii="Times New Roman" w:hAnsi="Times New Roman" w:eastAsia="黑体"/>
          <w:b w:val="0"/>
          <w:bCs w:val="0"/>
          <w:color w:val="auto"/>
          <w:sz w:val="30"/>
          <w:highlight w:val="none"/>
        </w:rPr>
      </w:pPr>
      <w:bookmarkStart w:id="787" w:name="_Toc80006115"/>
      <w:bookmarkStart w:id="788" w:name="_Toc80006225"/>
      <w:r>
        <w:rPr>
          <w:rFonts w:ascii="Times New Roman" w:hAnsi="Times New Roman" w:eastAsia="黑体"/>
          <w:b w:val="0"/>
          <w:bCs w:val="0"/>
          <w:color w:val="auto"/>
          <w:sz w:val="30"/>
          <w:highlight w:val="none"/>
        </w:rPr>
        <w:t>2.最高投标限价编制说明及公布内容</w:t>
      </w:r>
      <w:bookmarkEnd w:id="787"/>
      <w:bookmarkEnd w:id="788"/>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  2.1最高投标限价编制依据</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2.1.1本招标文件及补充通知、答疑纪要、招标工程量清单;</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2.1.2《建设工程工程量清单计价规范》;</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2.1.3《关于印发2020&lt;湖南省建设工程计价办法&gt;及&lt;湖南省建设工程消耗量标准&gt;的通知》(湘建价〔2020〕56号);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2.1.4湖南省建设行政主管部门颁发的建设工程消耗量标准,取费标准、计费程序、人工费及机械费系数;</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2.1.5建设工程设计文件及相关资料;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2.1.6与建设项目相关的标准、规范、技术资料;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2.1.7工程造价管理机构发布的工程造价信息,工程造价信息没有发布的参照市场价;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2.1.8施工现场情况、工程特点及常规施工方案;</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2.1.9其他的相关资料(招标人可根据有关规定进行细化);</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2.2本最高投标限价由具有编制能力的招标人或受其委托并具有相应资质的工程造价咨询机构(招标人根据情况选择)编制和复核。</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2.3最高投标限价公布内容</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2.3.1本项目设最高投标限价,最高投标限价见投标人须知前附表。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2.3.2投标人对最高投标限价有疑问的,可在投标人须知前附表规定的时间和方式向招标人或招标代理机构提出;招标人对最高投标限价若有调整,则在投标截止时间15日前在</w:t>
      </w:r>
      <w:r>
        <w:rPr>
          <w:rFonts w:hint="eastAsia"/>
          <w:color w:val="auto"/>
          <w:kern w:val="2"/>
          <w:highlight w:val="none"/>
          <w:u w:val="single"/>
        </w:rPr>
        <w:t>(最高投标限价调整文件发布的媒介名称)</w:t>
      </w:r>
      <w:r>
        <w:rPr>
          <w:rFonts w:hint="eastAsia"/>
          <w:color w:val="auto"/>
          <w:kern w:val="2"/>
          <w:highlight w:val="none"/>
        </w:rPr>
        <w:t>上公示。投标人应自行查阅,招标代理机构不另行通知。</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2.3.3公布的最高投标限价至少载明下列内容:</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(1)最高投标限价的总价;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(2)各单位工程的分部分项工程费;</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(3)措施项目费（含绿色施工安全防护措施费及费率）;</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(4)其他项目费（含安全责任险、环境保护税及费率）;</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(5)销项税额（应纳税额）;</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(6)重点评审的工程量清单综合单价(含能计量的措施项目)和材料、设备单价;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(7)其它重要信息和数据(由招标人根据需要进行补充)。</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2.4最高投标限价应按本章第2.1款的规定编制,不应上浮或下调。</w:t>
      </w:r>
    </w:p>
    <w:p>
      <w:pPr>
        <w:pStyle w:val="3"/>
        <w:spacing w:before="0" w:after="0" w:line="360" w:lineRule="auto"/>
        <w:rPr>
          <w:rFonts w:hint="eastAsia" w:ascii="Times New Roman" w:hAnsi="Times New Roman" w:eastAsia="黑体"/>
          <w:b w:val="0"/>
          <w:bCs w:val="0"/>
          <w:color w:val="auto"/>
          <w:sz w:val="30"/>
          <w:highlight w:val="none"/>
        </w:rPr>
      </w:pPr>
      <w:bookmarkStart w:id="789" w:name="_Toc80006116"/>
      <w:bookmarkStart w:id="790" w:name="_Toc80006226"/>
      <w:r>
        <w:rPr>
          <w:rFonts w:hint="eastAsia" w:ascii="Times New Roman" w:hAnsi="Times New Roman" w:eastAsia="黑体"/>
          <w:b w:val="0"/>
          <w:bCs w:val="0"/>
          <w:color w:val="auto"/>
          <w:sz w:val="30"/>
          <w:highlight w:val="none"/>
        </w:rPr>
        <w:t>3.投标报价说明</w:t>
      </w:r>
      <w:bookmarkEnd w:id="789"/>
      <w:bookmarkEnd w:id="790"/>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 3.1投标报价应根据招标文件中的有关计价要求,并按照下列依据自主报价。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(1)本招标文件、招标工程量清单;</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(2)《建设工程工程量清单计价规范》;</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(3)《关于印发2020&lt;湖南省建设工程计价办法&gt;及&lt;湖南省建设工程消耗量标准&gt;的通知》(湘建价〔2020〕56号);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(4)企业定额和企业数据,湖南省建设行政主管部门颁发的建设工程消耗量标准,取费标准、计费程序;</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(5)招标文件(包括工程量清单)的澄清、补充和修改文件;</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(6)建设工程设计文件及相关资料;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(7)施工现场情况、工程特点及拟定的投标施工组织设计或施工方案;</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(8)与建设项目相关的标准、规范等技术资料;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(9)市场价格信息或工程造价管理机构发布的工程造价信息;</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(10)其他的相关资料(招标人可根据有关规定进行细化);</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3.2工程量清单与计价表中列明的所有需要填写单价和合价的项目,投标人均应填写且只允许有一个报价。未填写单价和合价的项目,可视为此项费用已包括在已标价工程量清单中其他相关项目的单价和合价之中。结算时,此项目不得重新组价与调整。</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3.3工程量清单中标价的综合单价或金额,应包括所需人工费、材料费、施工机具使用费、企业管理费、利润,以及一定范围和幅度内风险的费用。所谓“一定范围和幅度内风险”是指合同约定的风险。</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3.4“投标总价应当与分部分项工程费、措施项目费、其他项目费、增值税的合计金额一致。</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3.5分部分项工程项目和单价措施项目,应根据工程量清单项目中的特征描述确定综合单价。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3.6总价措施项目金额应根据招标文件和投标人拟定的施工组织设计计算,并列出其计算公式或计算方法。</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3.7绿色施工安全防护措施项目应按国家或省级建设行政主管部门的规定计算,不得作为竞争性费用。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3.8其他项目清单应按照下列要求报价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(1)暂列金额应按工程量清单中列出的金额填写;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(2)暂估价项目应按工程量清单中列出的金额填写;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(3)计日工应按工程量清单中列出的项目和数量,参考国家、省级、行业建设主管部门颁发的计价文件及其计价办法和市场定价方法、类似工程计价方法及企业定额和数据确定综合单价计算计日工金额;</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(4)总承包服务费应按工程量清单中列出的项目及其项目特征描述和招标文件中相应提出的服务范围、内容与要求自主确定;</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(5)安全责任险、环境保护税应按工程量清单中列出的项目,和国家或省级、行业建设主管部门的规定计算,不得作为竞争性费用。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3.9增值税应按政府有关主管部门的规定计算费用,不得作为竞争性费用。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3.10除招标文件有强制性规定以及不可竞争部分以外,投标报价由投标人自主确定,但不得低于工程成本。</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3.11工程量清单计价所涉及的生产资源(包括各类人工、材料、工程设备、施工设备、临时设施、临时用水、临时用电等)的投标价格,应根据自身的信息渠道和采购渠道,分析其市场价格水平,体现投标人自身的管理水平、技术水平和综合实力。</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3.12管理费应由投标人在保证不低于其成本的基础上做竞争性考虑;利润由投标人根据自身情况和综合实力做竞争性考虑。</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3.13投标总价为投标人在投标文件中提出的各项支付金额的总和,为实施、完成招标工程并修补缺陷以及履行招标文件中约定的风险范围内的所有责任和义务所发生的全部费用。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3.14投标报价文件制作时所用的计价软件采用通过湖南省住房和城乡建设厅测评合格的软件。</w:t>
      </w:r>
    </w:p>
    <w:p>
      <w:pPr>
        <w:pStyle w:val="3"/>
        <w:spacing w:before="0" w:after="0" w:line="360" w:lineRule="auto"/>
        <w:rPr>
          <w:rFonts w:hint="eastAsia" w:ascii="Times New Roman" w:hAnsi="Times New Roman" w:eastAsia="黑体"/>
          <w:b w:val="0"/>
          <w:bCs w:val="0"/>
          <w:color w:val="auto"/>
          <w:sz w:val="30"/>
          <w:highlight w:val="none"/>
        </w:rPr>
      </w:pPr>
      <w:bookmarkStart w:id="791" w:name="_Toc80006117"/>
      <w:bookmarkStart w:id="792" w:name="_Toc80006227"/>
      <w:r>
        <w:rPr>
          <w:rFonts w:hint="eastAsia" w:ascii="Times New Roman" w:hAnsi="Times New Roman" w:eastAsia="黑体"/>
          <w:b w:val="0"/>
          <w:bCs w:val="0"/>
          <w:color w:val="auto"/>
          <w:sz w:val="30"/>
          <w:highlight w:val="none"/>
        </w:rPr>
        <w:t>4.其他说明</w:t>
      </w:r>
      <w:bookmarkEnd w:id="791"/>
      <w:bookmarkEnd w:id="792"/>
    </w:p>
    <w:p>
      <w:pPr>
        <w:pStyle w:val="36"/>
        <w:shd w:val="clear" w:color="auto" w:fill="FFFFFF"/>
        <w:spacing w:before="0" w:beforeAutospacing="0" w:after="0" w:afterAutospacing="0" w:line="480" w:lineRule="atLeast"/>
        <w:textAlignment w:val="baseline"/>
        <w:rPr>
          <w:rFonts w:hint="eastAsia" w:ascii="微软雅黑" w:hAnsi="微软雅黑" w:eastAsia="微软雅黑"/>
          <w:color w:val="auto"/>
          <w:highlight w:val="none"/>
        </w:rPr>
      </w:pPr>
      <w:r>
        <w:rPr>
          <w:rFonts w:hint="eastAsia" w:ascii="微软雅黑" w:hAnsi="微软雅黑" w:eastAsia="微软雅黑"/>
          <w:color w:val="auto"/>
          <w:highlight w:val="none"/>
        </w:rPr>
        <w:t>……</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w:t>
      </w:r>
    </w:p>
    <w:bookmarkEnd w:id="786"/>
    <w:p>
      <w:pPr>
        <w:pStyle w:val="3"/>
        <w:spacing w:before="0" w:after="0" w:line="360" w:lineRule="auto"/>
        <w:rPr>
          <w:rFonts w:ascii="Times New Roman" w:hAnsi="Times New Roman" w:eastAsia="黑体"/>
          <w:b w:val="0"/>
          <w:bCs w:val="0"/>
          <w:color w:val="auto"/>
          <w:sz w:val="30"/>
          <w:highlight w:val="none"/>
        </w:rPr>
      </w:pPr>
      <w:bookmarkStart w:id="793" w:name="_Toc80006118"/>
      <w:bookmarkStart w:id="794" w:name="_Toc9178544"/>
      <w:bookmarkStart w:id="795" w:name="_Toc80006228"/>
      <w:r>
        <w:rPr>
          <w:rFonts w:ascii="Times New Roman" w:hAnsi="Times New Roman" w:eastAsia="黑体"/>
          <w:b w:val="0"/>
          <w:bCs w:val="0"/>
          <w:color w:val="auto"/>
          <w:sz w:val="30"/>
          <w:highlight w:val="none"/>
        </w:rPr>
        <w:t>5.工程量清单（另册）</w:t>
      </w:r>
      <w:bookmarkEnd w:id="793"/>
      <w:bookmarkEnd w:id="794"/>
      <w:bookmarkEnd w:id="795"/>
    </w:p>
    <w:p>
      <w:pPr>
        <w:ind w:firstLine="480"/>
        <w:jc w:val="left"/>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 xml:space="preserve"> 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jc w:val="center"/>
        <w:rPr>
          <w:rFonts w:ascii="Times New Roman" w:hAnsi="Times New Roman" w:eastAsia="黑体"/>
          <w:b w:val="0"/>
          <w:bCs w:val="0"/>
          <w:color w:val="auto"/>
          <w:sz w:val="44"/>
          <w:szCs w:val="44"/>
          <w:highlight w:val="none"/>
        </w:rPr>
      </w:pPr>
      <w:bookmarkStart w:id="796" w:name="_Toc300678501"/>
      <w:bookmarkStart w:id="797" w:name="_Toc80006119"/>
      <w:bookmarkStart w:id="798" w:name="_Toc80006229"/>
      <w:r>
        <w:rPr>
          <w:rFonts w:ascii="Times New Roman" w:hAnsi="Times New Roman" w:eastAsia="黑体"/>
          <w:b w:val="0"/>
          <w:bCs w:val="0"/>
          <w:color w:val="auto"/>
          <w:sz w:val="44"/>
          <w:szCs w:val="44"/>
          <w:highlight w:val="none"/>
        </w:rPr>
        <w:t>第  二  卷</w:t>
      </w:r>
      <w:bookmarkEnd w:id="796"/>
      <w:bookmarkEnd w:id="797"/>
      <w:bookmarkEnd w:id="798"/>
    </w:p>
    <w:p>
      <w:pPr>
        <w:rPr>
          <w:color w:val="auto"/>
          <w:highlight w:val="none"/>
          <w:lang w:val="zh-CN"/>
        </w:rPr>
      </w:pPr>
    </w:p>
    <w:p>
      <w:pPr>
        <w:rPr>
          <w:color w:val="auto"/>
          <w:highlight w:val="none"/>
          <w:lang w:val="zh-CN"/>
        </w:rPr>
      </w:pPr>
    </w:p>
    <w:p>
      <w:pPr>
        <w:rPr>
          <w:color w:val="auto"/>
          <w:highlight w:val="none"/>
        </w:rPr>
      </w:pPr>
    </w:p>
    <w:p>
      <w:pPr>
        <w:pStyle w:val="2"/>
        <w:spacing w:before="0" w:after="0"/>
        <w:jc w:val="center"/>
        <w:rPr>
          <w:rFonts w:ascii="Times New Roman" w:hAnsi="Times New Roman" w:eastAsia="黑体"/>
          <w:b w:val="0"/>
          <w:color w:val="auto"/>
          <w:highlight w:val="none"/>
        </w:rPr>
      </w:pPr>
      <w:bookmarkStart w:id="799" w:name="_Toc300678502"/>
      <w:bookmarkStart w:id="800" w:name="_Toc80006120"/>
      <w:bookmarkStart w:id="801" w:name="_Toc80006230"/>
      <w:r>
        <w:rPr>
          <w:rFonts w:ascii="Times New Roman" w:hAnsi="Times New Roman" w:eastAsia="黑体"/>
          <w:b w:val="0"/>
          <w:bCs w:val="0"/>
          <w:color w:val="auto"/>
          <w:highlight w:val="none"/>
        </w:rPr>
        <w:t>第六章  图  纸</w:t>
      </w:r>
      <w:bookmarkEnd w:id="799"/>
      <w:r>
        <w:rPr>
          <w:rFonts w:ascii="Times New Roman" w:hAnsi="Times New Roman" w:eastAsia="黑体"/>
          <w:b w:val="0"/>
          <w:color w:val="auto"/>
          <w:highlight w:val="none"/>
        </w:rPr>
        <w:t>（另册）</w:t>
      </w:r>
      <w:bookmarkEnd w:id="800"/>
      <w:bookmarkEnd w:id="801"/>
    </w:p>
    <w:p>
      <w:pPr>
        <w:spacing w:line="420" w:lineRule="exact"/>
        <w:jc w:val="center"/>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招标投标</w:t>
      </w:r>
      <w:r>
        <w:rPr>
          <w:color w:val="auto"/>
          <w:highlight w:val="none"/>
          <w:u w:val="single"/>
        </w:rPr>
        <w:t>交易平台</w:t>
      </w:r>
      <w:r>
        <w:rPr>
          <w:rFonts w:hint="eastAsia"/>
          <w:color w:val="auto"/>
          <w:highlight w:val="none"/>
          <w:u w:val="single"/>
        </w:rPr>
        <w:t>名称</w:t>
      </w:r>
      <w:r>
        <w:rPr>
          <w:color w:val="auto"/>
          <w:highlight w:val="none"/>
          <w:u w:val="single"/>
        </w:rPr>
        <w:t xml:space="preserve">  </w:t>
      </w:r>
      <w:r>
        <w:rPr>
          <w:color w:val="auto"/>
          <w:highlight w:val="none"/>
        </w:rPr>
        <w:t>下载</w:t>
      </w: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sectPr>
          <w:pgSz w:w="11907" w:h="16840"/>
          <w:pgMar w:top="1440" w:right="1440" w:bottom="1440" w:left="1440" w:header="851" w:footer="850" w:gutter="0"/>
          <w:cols w:space="720" w:num="1"/>
          <w:docGrid w:linePitch="326" w:charSpace="0"/>
        </w:sectPr>
      </w:pPr>
    </w:p>
    <w:p>
      <w:pPr>
        <w:spacing w:line="420" w:lineRule="exact"/>
        <w:jc w:val="center"/>
        <w:rPr>
          <w:color w:val="auto"/>
          <w:highlight w:val="none"/>
        </w:rPr>
      </w:pPr>
    </w:p>
    <w:p>
      <w:pPr>
        <w:pStyle w:val="181"/>
        <w:rPr>
          <w:rFonts w:hint="eastAsia"/>
          <w:color w:val="auto"/>
          <w:highlight w:val="none"/>
        </w:rPr>
      </w:pPr>
      <w:bookmarkStart w:id="802" w:name="_Toc152042572"/>
      <w:bookmarkStart w:id="803" w:name="_Toc79998407"/>
      <w:bookmarkStart w:id="804" w:name="_Toc80006231"/>
      <w:bookmarkStart w:id="805" w:name="_Toc144974852"/>
      <w:bookmarkStart w:id="806" w:name="_Toc179632801"/>
      <w:bookmarkStart w:id="807" w:name="_Toc9178547"/>
      <w:bookmarkStart w:id="808" w:name="_Toc80006121"/>
      <w:bookmarkStart w:id="809" w:name="_Toc152045783"/>
      <w:r>
        <w:rPr>
          <w:rFonts w:hint="eastAsia"/>
          <w:color w:val="auto"/>
          <w:highlight w:val="none"/>
        </w:rPr>
        <w:t>1. 图纸目录</w:t>
      </w:r>
      <w:bookmarkEnd w:id="802"/>
      <w:bookmarkEnd w:id="803"/>
      <w:bookmarkEnd w:id="804"/>
      <w:bookmarkEnd w:id="805"/>
      <w:bookmarkEnd w:id="806"/>
      <w:bookmarkEnd w:id="807"/>
      <w:bookmarkEnd w:id="808"/>
      <w:bookmarkEnd w:id="809"/>
    </w:p>
    <w:p>
      <w:pPr>
        <w:spacing w:line="400" w:lineRule="exact"/>
        <w:rPr>
          <w:color w:val="auto"/>
          <w:highlight w:val="none"/>
        </w:rPr>
      </w:pPr>
    </w:p>
    <w:tbl>
      <w:tblPr>
        <w:tblStyle w:val="39"/>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570"/>
        <w:gridCol w:w="1570"/>
        <w:gridCol w:w="1570"/>
        <w:gridCol w:w="157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图名</w:t>
            </w: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图号</w:t>
            </w: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版本</w:t>
            </w: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出图日期</w:t>
            </w: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spacing w:line="400" w:lineRule="exact"/>
        <w:rPr>
          <w:rFonts w:hint="eastAsia"/>
          <w:color w:val="auto"/>
          <w:highlight w:val="none"/>
        </w:rPr>
      </w:pPr>
      <w:bookmarkStart w:id="810" w:name="_Toc152045784"/>
      <w:bookmarkStart w:id="811" w:name="_Toc179632802"/>
      <w:bookmarkStart w:id="812" w:name="_Toc144974853"/>
      <w:bookmarkStart w:id="813" w:name="_Toc9178548"/>
      <w:bookmarkStart w:id="814" w:name="_Toc152042573"/>
    </w:p>
    <w:p>
      <w:pPr>
        <w:spacing w:line="400" w:lineRule="exact"/>
        <w:rPr>
          <w:rFonts w:hint="eastAsia"/>
          <w:color w:val="auto"/>
          <w:highlight w:val="none"/>
        </w:rPr>
      </w:pPr>
      <w:r>
        <w:rPr>
          <w:rFonts w:hint="eastAsia"/>
          <w:color w:val="auto"/>
          <w:highlight w:val="none"/>
        </w:rPr>
        <w:t>2. 图纸</w:t>
      </w:r>
      <w:bookmarkEnd w:id="810"/>
      <w:bookmarkEnd w:id="811"/>
      <w:bookmarkEnd w:id="812"/>
      <w:bookmarkEnd w:id="813"/>
      <w:bookmarkEnd w:id="814"/>
    </w:p>
    <w:p>
      <w:pPr>
        <w:spacing w:line="400" w:lineRule="exact"/>
        <w:rPr>
          <w:rFonts w:hint="eastAsia"/>
          <w:color w:val="auto"/>
          <w:highlight w:val="none"/>
        </w:rPr>
      </w:pPr>
    </w:p>
    <w:p>
      <w:pPr>
        <w:spacing w:line="420" w:lineRule="exact"/>
        <w:jc w:val="center"/>
        <w:rPr>
          <w:rFonts w:eastAsia="楷体_GB2312"/>
          <w:color w:val="auto"/>
          <w:highlight w:val="none"/>
        </w:rPr>
      </w:pPr>
      <w:r>
        <w:rPr>
          <w:color w:val="auto"/>
          <w:highlight w:val="none"/>
        </w:rPr>
        <w:br w:type="page"/>
      </w: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pStyle w:val="2"/>
        <w:jc w:val="center"/>
        <w:rPr>
          <w:rFonts w:ascii="Times New Roman" w:hAnsi="Times New Roman" w:eastAsia="黑体"/>
          <w:b w:val="0"/>
          <w:bCs w:val="0"/>
          <w:color w:val="auto"/>
          <w:sz w:val="44"/>
          <w:szCs w:val="44"/>
          <w:highlight w:val="none"/>
        </w:rPr>
      </w:pPr>
      <w:bookmarkStart w:id="815" w:name="_Toc80006122"/>
      <w:bookmarkStart w:id="816" w:name="_Toc300678505"/>
      <w:bookmarkStart w:id="817" w:name="_Toc80006232"/>
      <w:r>
        <w:rPr>
          <w:rFonts w:ascii="Times New Roman" w:hAnsi="Times New Roman" w:eastAsia="黑体"/>
          <w:b w:val="0"/>
          <w:bCs w:val="0"/>
          <w:color w:val="auto"/>
          <w:sz w:val="44"/>
          <w:szCs w:val="44"/>
          <w:highlight w:val="none"/>
        </w:rPr>
        <w:t>第  三  卷</w:t>
      </w:r>
      <w:bookmarkEnd w:id="815"/>
      <w:bookmarkEnd w:id="816"/>
      <w:bookmarkEnd w:id="817"/>
    </w:p>
    <w:p>
      <w:pPr>
        <w:spacing w:line="360" w:lineRule="auto"/>
        <w:rPr>
          <w:rFonts w:eastAsia="楷体_GB2312"/>
          <w:color w:val="auto"/>
          <w:highlight w:val="none"/>
        </w:rPr>
      </w:pPr>
      <w:r>
        <w:rPr>
          <w:rFonts w:eastAsia="楷体_GB2312"/>
          <w:color w:val="auto"/>
          <w:highlight w:val="none"/>
        </w:rPr>
        <w:br w:type="page"/>
      </w:r>
    </w:p>
    <w:p>
      <w:pPr>
        <w:pStyle w:val="2"/>
        <w:spacing w:before="0" w:after="0" w:line="360" w:lineRule="auto"/>
        <w:jc w:val="center"/>
        <w:rPr>
          <w:rFonts w:ascii="Times New Roman" w:hAnsi="Times New Roman" w:eastAsia="黑体"/>
          <w:b w:val="0"/>
          <w:bCs w:val="0"/>
          <w:color w:val="auto"/>
          <w:highlight w:val="none"/>
        </w:rPr>
      </w:pPr>
      <w:bookmarkStart w:id="818" w:name="_Toc80006123"/>
      <w:bookmarkStart w:id="819" w:name="_Toc300678506"/>
      <w:bookmarkStart w:id="820" w:name="_Toc80006233"/>
      <w:r>
        <w:rPr>
          <w:rFonts w:ascii="Times New Roman" w:hAnsi="Times New Roman" w:eastAsia="黑体"/>
          <w:b w:val="0"/>
          <w:bCs w:val="0"/>
          <w:color w:val="auto"/>
          <w:highlight w:val="none"/>
        </w:rPr>
        <w:t>第七章  技术标准和要求</w:t>
      </w:r>
      <w:bookmarkEnd w:id="818"/>
      <w:bookmarkEnd w:id="819"/>
      <w:bookmarkEnd w:id="820"/>
    </w:p>
    <w:p>
      <w:pPr>
        <w:pStyle w:val="3"/>
        <w:spacing w:line="360" w:lineRule="auto"/>
        <w:jc w:val="center"/>
        <w:rPr>
          <w:rFonts w:ascii="Times New Roman" w:hAnsi="Times New Roman" w:eastAsia="黑体"/>
          <w:b w:val="0"/>
          <w:bCs w:val="0"/>
          <w:color w:val="auto"/>
          <w:sz w:val="30"/>
          <w:highlight w:val="none"/>
        </w:rPr>
      </w:pPr>
      <w:bookmarkStart w:id="821" w:name="_Toc80006234"/>
      <w:bookmarkStart w:id="822" w:name="_Toc80006124"/>
      <w:bookmarkStart w:id="823" w:name="_Toc300678507"/>
      <w:r>
        <w:rPr>
          <w:rFonts w:ascii="Times New Roman" w:hAnsi="Times New Roman" w:eastAsia="黑体"/>
          <w:b w:val="0"/>
          <w:bCs w:val="0"/>
          <w:color w:val="auto"/>
          <w:sz w:val="30"/>
          <w:highlight w:val="none"/>
        </w:rPr>
        <w:t>第一节 一般要求</w:t>
      </w:r>
      <w:bookmarkEnd w:id="821"/>
      <w:bookmarkEnd w:id="822"/>
      <w:bookmarkEnd w:id="823"/>
    </w:p>
    <w:p>
      <w:pPr>
        <w:pStyle w:val="4"/>
        <w:keepNext/>
        <w:keepLines/>
        <w:widowControl w:val="0"/>
        <w:jc w:val="left"/>
        <w:rPr>
          <w:rFonts w:eastAsia="黑体"/>
          <w:b w:val="0"/>
          <w:bCs w:val="0"/>
          <w:color w:val="auto"/>
          <w:sz w:val="28"/>
          <w:szCs w:val="28"/>
          <w:highlight w:val="none"/>
        </w:rPr>
      </w:pPr>
      <w:bookmarkStart w:id="824" w:name="_Toc79998411"/>
      <w:bookmarkStart w:id="825" w:name="_Toc79998855"/>
      <w:bookmarkStart w:id="826" w:name="_Toc80006235"/>
      <w:bookmarkStart w:id="827" w:name="_Toc9178552"/>
      <w:bookmarkStart w:id="828" w:name="_Toc300678508"/>
      <w:bookmarkStart w:id="829" w:name="_Toc80006125"/>
      <w:r>
        <w:rPr>
          <w:rFonts w:eastAsia="黑体"/>
          <w:b w:val="0"/>
          <w:bCs w:val="0"/>
          <w:color w:val="auto"/>
          <w:sz w:val="28"/>
          <w:szCs w:val="28"/>
          <w:highlight w:val="none"/>
        </w:rPr>
        <w:t>1.工程说明</w:t>
      </w:r>
      <w:bookmarkEnd w:id="824"/>
      <w:bookmarkEnd w:id="825"/>
      <w:bookmarkEnd w:id="826"/>
      <w:bookmarkEnd w:id="827"/>
      <w:bookmarkEnd w:id="828"/>
      <w:bookmarkEnd w:id="829"/>
    </w:p>
    <w:p>
      <w:pPr>
        <w:pStyle w:val="5"/>
        <w:rPr>
          <w:rFonts w:ascii="Times New Roman" w:hAnsi="Times New Roman" w:eastAsia="黑体"/>
          <w:b w:val="0"/>
          <w:bCs w:val="0"/>
          <w:color w:val="auto"/>
          <w:sz w:val="24"/>
          <w:highlight w:val="none"/>
        </w:rPr>
      </w:pPr>
      <w:bookmarkStart w:id="830" w:name="_Toc300678509"/>
      <w:r>
        <w:rPr>
          <w:rFonts w:ascii="Times New Roman" w:hAnsi="Times New Roman" w:eastAsia="黑体"/>
          <w:b w:val="0"/>
          <w:bCs w:val="0"/>
          <w:color w:val="auto"/>
          <w:sz w:val="24"/>
          <w:highlight w:val="none"/>
        </w:rPr>
        <w:t>1.1 工程概况</w:t>
      </w:r>
      <w:bookmarkEnd w:id="830"/>
    </w:p>
    <w:p>
      <w:pPr>
        <w:spacing w:line="360" w:lineRule="auto"/>
        <w:ind w:firstLine="420" w:firstLineChars="200"/>
        <w:rPr>
          <w:color w:val="auto"/>
          <w:szCs w:val="21"/>
          <w:highlight w:val="none"/>
        </w:rPr>
      </w:pPr>
      <w:r>
        <w:rPr>
          <w:color w:val="auto"/>
          <w:szCs w:val="21"/>
          <w:highlight w:val="none"/>
        </w:rPr>
        <w:t>l.1.1 本工程基本情况如下：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1.1.2 本工程施工场地（现场）具体地理位置如下：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31" w:name="_Toc300678510"/>
      <w:r>
        <w:rPr>
          <w:rFonts w:ascii="Times New Roman" w:hAnsi="Times New Roman" w:eastAsia="黑体"/>
          <w:b w:val="0"/>
          <w:bCs w:val="0"/>
          <w:color w:val="auto"/>
          <w:sz w:val="24"/>
          <w:highlight w:val="none"/>
        </w:rPr>
        <w:t>1.2 现场条件和周围环境</w:t>
      </w:r>
      <w:bookmarkEnd w:id="831"/>
    </w:p>
    <w:p>
      <w:pPr>
        <w:spacing w:line="360" w:lineRule="auto"/>
        <w:ind w:firstLine="420" w:firstLineChars="200"/>
        <w:rPr>
          <w:color w:val="auto"/>
          <w:szCs w:val="21"/>
          <w:highlight w:val="none"/>
        </w:rPr>
      </w:pPr>
      <w:r>
        <w:rPr>
          <w:color w:val="auto"/>
          <w:szCs w:val="21"/>
          <w:highlight w:val="non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pPr>
        <w:spacing w:line="360" w:lineRule="auto"/>
        <w:ind w:firstLine="420" w:firstLineChars="200"/>
        <w:rPr>
          <w:color w:val="auto"/>
          <w:szCs w:val="21"/>
          <w:highlight w:val="none"/>
        </w:rPr>
      </w:pPr>
      <w:r>
        <w:rPr>
          <w:color w:val="auto"/>
          <w:szCs w:val="21"/>
          <w:highlight w:val="none"/>
        </w:rPr>
        <w:t>1.2.2 施工场地（现场）临时供水管径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施工场地（现场）临时排污管径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施工场地（现场）临时雨水管径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施工现场临时供电容量（变压器输出功率）</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1.2.3 现场条件和周围环境的其他资料和信息数据如下：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1.2.4 承包人被认为已在本工程投标阶段踏勘现场时充分了解本工程现场条件和周围环境，并已在其投标时就此给予了充分的考虑。 </w:t>
      </w:r>
    </w:p>
    <w:p>
      <w:pPr>
        <w:pStyle w:val="5"/>
        <w:rPr>
          <w:rFonts w:ascii="Times New Roman" w:hAnsi="Times New Roman" w:eastAsia="黑体"/>
          <w:b w:val="0"/>
          <w:bCs w:val="0"/>
          <w:color w:val="auto"/>
          <w:sz w:val="24"/>
          <w:highlight w:val="none"/>
        </w:rPr>
      </w:pPr>
      <w:bookmarkStart w:id="832" w:name="_Toc300678511"/>
      <w:r>
        <w:rPr>
          <w:rFonts w:ascii="Times New Roman" w:hAnsi="Times New Roman" w:eastAsia="黑体"/>
          <w:b w:val="0"/>
          <w:bCs w:val="0"/>
          <w:color w:val="auto"/>
          <w:sz w:val="24"/>
          <w:highlight w:val="none"/>
        </w:rPr>
        <w:t>1.3 地质及水文资料</w:t>
      </w:r>
      <w:bookmarkEnd w:id="832"/>
    </w:p>
    <w:p>
      <w:pPr>
        <w:spacing w:line="360" w:lineRule="auto"/>
        <w:ind w:firstLine="420" w:firstLineChars="200"/>
        <w:rPr>
          <w:color w:val="auto"/>
          <w:szCs w:val="21"/>
          <w:highlight w:val="none"/>
        </w:rPr>
      </w:pPr>
      <w:r>
        <w:rPr>
          <w:color w:val="auto"/>
          <w:szCs w:val="21"/>
          <w:highlight w:val="none"/>
        </w:rPr>
        <w:t>1.3.1 现场地质及水文资料和信息数据如下：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33" w:name="_Toc300678512"/>
      <w:r>
        <w:rPr>
          <w:rFonts w:ascii="Times New Roman" w:hAnsi="Times New Roman" w:eastAsia="黑体"/>
          <w:b w:val="0"/>
          <w:bCs w:val="0"/>
          <w:color w:val="auto"/>
          <w:sz w:val="24"/>
          <w:highlight w:val="none"/>
        </w:rPr>
        <w:t>1.4 资料和信息的使用</w:t>
      </w:r>
      <w:bookmarkEnd w:id="833"/>
    </w:p>
    <w:p>
      <w:pPr>
        <w:spacing w:line="360" w:lineRule="auto"/>
        <w:ind w:firstLine="420" w:firstLineChars="200"/>
        <w:rPr>
          <w:color w:val="auto"/>
          <w:szCs w:val="21"/>
          <w:highlight w:val="none"/>
        </w:rPr>
      </w:pPr>
      <w:r>
        <w:rPr>
          <w:color w:val="auto"/>
          <w:szCs w:val="21"/>
          <w:highlight w:val="non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pPr>
        <w:pStyle w:val="4"/>
        <w:keepNext/>
        <w:keepLines/>
        <w:widowControl w:val="0"/>
        <w:jc w:val="left"/>
        <w:rPr>
          <w:rFonts w:eastAsia="黑体"/>
          <w:b w:val="0"/>
          <w:bCs w:val="0"/>
          <w:color w:val="auto"/>
          <w:sz w:val="28"/>
          <w:szCs w:val="28"/>
          <w:highlight w:val="none"/>
        </w:rPr>
      </w:pPr>
      <w:bookmarkStart w:id="834" w:name="_Toc300678513"/>
      <w:bookmarkStart w:id="835" w:name="_Toc80006126"/>
      <w:bookmarkStart w:id="836" w:name="_Toc79998412"/>
      <w:bookmarkStart w:id="837" w:name="_Toc80006236"/>
      <w:bookmarkStart w:id="838" w:name="_Toc79998856"/>
      <w:bookmarkStart w:id="839" w:name="_Toc9178553"/>
      <w:r>
        <w:rPr>
          <w:rFonts w:eastAsia="黑体"/>
          <w:b w:val="0"/>
          <w:bCs w:val="0"/>
          <w:color w:val="auto"/>
          <w:sz w:val="28"/>
          <w:szCs w:val="28"/>
          <w:highlight w:val="none"/>
        </w:rPr>
        <w:t>2.承包范围</w:t>
      </w:r>
      <w:bookmarkEnd w:id="834"/>
      <w:bookmarkEnd w:id="835"/>
      <w:bookmarkEnd w:id="836"/>
      <w:bookmarkEnd w:id="837"/>
      <w:bookmarkEnd w:id="838"/>
      <w:bookmarkEnd w:id="839"/>
    </w:p>
    <w:p>
      <w:pPr>
        <w:pStyle w:val="5"/>
        <w:rPr>
          <w:rFonts w:ascii="Times New Roman" w:hAnsi="Times New Roman" w:eastAsia="黑体"/>
          <w:b w:val="0"/>
          <w:bCs w:val="0"/>
          <w:color w:val="auto"/>
          <w:sz w:val="24"/>
          <w:highlight w:val="none"/>
        </w:rPr>
      </w:pPr>
      <w:bookmarkStart w:id="840" w:name="_Toc300678514"/>
      <w:r>
        <w:rPr>
          <w:rFonts w:ascii="Times New Roman" w:hAnsi="Times New Roman" w:eastAsia="黑体"/>
          <w:b w:val="0"/>
          <w:bCs w:val="0"/>
          <w:color w:val="auto"/>
          <w:sz w:val="24"/>
          <w:highlight w:val="none"/>
        </w:rPr>
        <w:t>2.1 承包范围</w:t>
      </w:r>
      <w:bookmarkEnd w:id="840"/>
    </w:p>
    <w:p>
      <w:pPr>
        <w:spacing w:line="360" w:lineRule="auto"/>
        <w:ind w:firstLine="420" w:firstLineChars="200"/>
        <w:rPr>
          <w:color w:val="auto"/>
          <w:szCs w:val="21"/>
          <w:highlight w:val="none"/>
        </w:rPr>
      </w:pPr>
      <w:r>
        <w:rPr>
          <w:color w:val="auto"/>
          <w:szCs w:val="21"/>
          <w:highlight w:val="none"/>
        </w:rPr>
        <w:t>2.1.1 承包人自行施工范围</w:t>
      </w:r>
    </w:p>
    <w:p>
      <w:pPr>
        <w:spacing w:line="360" w:lineRule="auto"/>
        <w:ind w:firstLine="420" w:firstLineChars="200"/>
        <w:rPr>
          <w:color w:val="auto"/>
          <w:szCs w:val="21"/>
          <w:highlight w:val="none"/>
        </w:rPr>
      </w:pPr>
      <w:r>
        <w:rPr>
          <w:color w:val="auto"/>
          <w:szCs w:val="21"/>
          <w:highlight w:val="none"/>
        </w:rPr>
        <w:t>本工程承包人自行施工的工程范围如下：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2.1.2 承包范围内的暂估价项目</w:t>
      </w:r>
    </w:p>
    <w:p>
      <w:pPr>
        <w:spacing w:line="360" w:lineRule="auto"/>
        <w:ind w:firstLine="420" w:firstLineChars="200"/>
        <w:rPr>
          <w:color w:val="auto"/>
          <w:szCs w:val="21"/>
          <w:highlight w:val="none"/>
        </w:rPr>
      </w:pPr>
      <w:r>
        <w:rPr>
          <w:color w:val="auto"/>
          <w:szCs w:val="21"/>
          <w:highlight w:val="none"/>
        </w:rPr>
        <w:t>2.1.2.1 承包范围内以暂估价形式实施的专业工程见第五章“工程量清单”中“其他项目措施费表”。</w:t>
      </w:r>
    </w:p>
    <w:p>
      <w:pPr>
        <w:tabs>
          <w:tab w:val="left" w:pos="1260"/>
        </w:tabs>
        <w:spacing w:line="360" w:lineRule="auto"/>
        <w:ind w:firstLine="420" w:firstLineChars="200"/>
        <w:rPr>
          <w:color w:val="auto"/>
          <w:szCs w:val="21"/>
          <w:highlight w:val="none"/>
        </w:rPr>
      </w:pPr>
      <w:r>
        <w:rPr>
          <w:color w:val="auto"/>
          <w:szCs w:val="21"/>
          <w:highlight w:val="none"/>
        </w:rPr>
        <w:t>2.1.2.2 承包范围内以暂估价形式实施的材料和工程设备见第五章“工程量清单”中的“材料(工程设备)暂估单价表”。</w:t>
      </w:r>
    </w:p>
    <w:p>
      <w:pPr>
        <w:spacing w:line="360" w:lineRule="auto"/>
        <w:ind w:firstLine="420" w:firstLineChars="200"/>
        <w:rPr>
          <w:color w:val="auto"/>
          <w:szCs w:val="21"/>
          <w:highlight w:val="none"/>
        </w:rPr>
      </w:pPr>
      <w:r>
        <w:rPr>
          <w:color w:val="auto"/>
          <w:szCs w:val="21"/>
          <w:highlight w:val="none"/>
        </w:rPr>
        <w:t>2.1.2.3 上述暂估价项目与本节第2.1.1项承包人自行施工范围的工作界面划分如下：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2.1.3 承包范围内的暂列金额项目</w:t>
      </w:r>
    </w:p>
    <w:p>
      <w:pPr>
        <w:spacing w:line="360" w:lineRule="auto"/>
        <w:ind w:firstLine="420" w:firstLineChars="200"/>
        <w:rPr>
          <w:color w:val="auto"/>
          <w:szCs w:val="21"/>
          <w:highlight w:val="none"/>
        </w:rPr>
      </w:pPr>
      <w:r>
        <w:rPr>
          <w:color w:val="auto"/>
          <w:szCs w:val="21"/>
          <w:highlight w:val="none"/>
        </w:rPr>
        <w:t>2.1.3.1 承包范围内以暂列金额（包括计日工）方式实施的项目见第五章“工程量清单”中“暂列金额明细表”（不包括计日工）和 “计日工表”，其中计日工金额为承包人在其投标报价中按 “计日工表”所列计日工项目、数量和相应规定填报的金额。</w:t>
      </w:r>
    </w:p>
    <w:p>
      <w:pPr>
        <w:spacing w:line="360" w:lineRule="auto"/>
        <w:ind w:firstLine="420" w:firstLineChars="200"/>
        <w:rPr>
          <w:color w:val="auto"/>
          <w:szCs w:val="21"/>
          <w:highlight w:val="none"/>
        </w:rPr>
      </w:pPr>
      <w:r>
        <w:rPr>
          <w:color w:val="auto"/>
          <w:szCs w:val="21"/>
          <w:highlight w:val="none"/>
        </w:rPr>
        <w:t>2.1.3.2 暂列金额明细表中每笔暂列金额所对应的项目，包括计日工，均只是可能发生的项目。承包人应当充分认识到，合同履行过程中所列暂列金额可能不发生，也可能部分发生。即便发生，监理人按照合同约定发出的使用暂列金额的指示也不限于只能用于表中所列项目。</w:t>
      </w:r>
    </w:p>
    <w:p>
      <w:pPr>
        <w:spacing w:line="360" w:lineRule="auto"/>
        <w:ind w:firstLine="420" w:firstLineChars="200"/>
        <w:rPr>
          <w:color w:val="auto"/>
          <w:szCs w:val="21"/>
          <w:highlight w:val="none"/>
        </w:rPr>
      </w:pPr>
      <w:r>
        <w:rPr>
          <w:color w:val="auto"/>
          <w:szCs w:val="21"/>
          <w:highlight w:val="none"/>
        </w:rPr>
        <w:t>2.1.3.3 暂列金额是否实际发生、其再分和合并等均不应成为承包人要求任何追加费用和（或）延长工期的理由。</w:t>
      </w:r>
    </w:p>
    <w:p>
      <w:pPr>
        <w:spacing w:line="360" w:lineRule="auto"/>
        <w:ind w:firstLine="420" w:firstLineChars="200"/>
        <w:rPr>
          <w:color w:val="auto"/>
          <w:szCs w:val="21"/>
          <w:highlight w:val="none"/>
        </w:rPr>
      </w:pPr>
      <w:r>
        <w:rPr>
          <w:color w:val="auto"/>
          <w:szCs w:val="21"/>
          <w:highlight w:val="none"/>
        </w:rPr>
        <w:t>2.1.3.4 关于暂列金额的其他说明：</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41" w:name="_Toc300678515"/>
      <w:r>
        <w:rPr>
          <w:rFonts w:ascii="Times New Roman" w:hAnsi="Times New Roman" w:eastAsia="黑体"/>
          <w:b w:val="0"/>
          <w:bCs w:val="0"/>
          <w:color w:val="auto"/>
          <w:sz w:val="24"/>
          <w:highlight w:val="none"/>
        </w:rPr>
        <w:t>2.2 发包人发包专业工程和发包人供应的材料和工程设备</w:t>
      </w:r>
      <w:bookmarkEnd w:id="841"/>
    </w:p>
    <w:p>
      <w:pPr>
        <w:spacing w:line="360" w:lineRule="auto"/>
        <w:ind w:firstLine="420" w:firstLineChars="200"/>
        <w:rPr>
          <w:color w:val="auto"/>
          <w:szCs w:val="21"/>
          <w:highlight w:val="none"/>
        </w:rPr>
      </w:pPr>
      <w:r>
        <w:rPr>
          <w:color w:val="auto"/>
          <w:szCs w:val="21"/>
          <w:highlight w:val="none"/>
        </w:rPr>
        <w:t>2.2.1 由发包人发包的专业工程属于与本工程有关的其他工程，不属于承包人的承包范围。发包人发包的专业工程如下：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2.2.2 由发包人供应的材料和工程设备不属于承包人的承包范围。发包人供应的材料和工程设备见合同附件二“发包人供应的材料和工程设备一览表”。</w:t>
      </w:r>
    </w:p>
    <w:p>
      <w:pPr>
        <w:pStyle w:val="5"/>
        <w:rPr>
          <w:rFonts w:ascii="Times New Roman" w:hAnsi="Times New Roman" w:eastAsia="黑体"/>
          <w:b w:val="0"/>
          <w:bCs w:val="0"/>
          <w:color w:val="auto"/>
          <w:sz w:val="24"/>
          <w:highlight w:val="none"/>
        </w:rPr>
      </w:pPr>
      <w:bookmarkStart w:id="842" w:name="_Toc300678516"/>
      <w:r>
        <w:rPr>
          <w:rFonts w:ascii="Times New Roman" w:hAnsi="Times New Roman" w:eastAsia="黑体"/>
          <w:b w:val="0"/>
          <w:bCs w:val="0"/>
          <w:color w:val="auto"/>
          <w:sz w:val="24"/>
          <w:highlight w:val="none"/>
        </w:rPr>
        <w:t>2.3 承包人与发包人发包专业工程承包人的工作界面</w:t>
      </w:r>
      <w:bookmarkEnd w:id="842"/>
    </w:p>
    <w:p>
      <w:pPr>
        <w:spacing w:line="360" w:lineRule="auto"/>
        <w:ind w:firstLine="420" w:firstLineChars="200"/>
        <w:rPr>
          <w:color w:val="auto"/>
          <w:szCs w:val="21"/>
          <w:highlight w:val="none"/>
        </w:rPr>
      </w:pPr>
      <w:r>
        <w:rPr>
          <w:color w:val="auto"/>
          <w:szCs w:val="21"/>
          <w:highlight w:val="none"/>
        </w:rPr>
        <w:t>2.3.1 承包人与发包人发包专业工程承包人以及与发包人供应的材料和设备的供应商之间的工作界面划分如下：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43" w:name="_Toc300678517"/>
      <w:r>
        <w:rPr>
          <w:rFonts w:ascii="Times New Roman" w:hAnsi="Times New Roman" w:eastAsia="黑体"/>
          <w:b w:val="0"/>
          <w:bCs w:val="0"/>
          <w:color w:val="auto"/>
          <w:sz w:val="24"/>
          <w:highlight w:val="none"/>
        </w:rPr>
        <w:t>2.4 承包人需要为发包人和监理人提供的现场办公条件和设施</w:t>
      </w:r>
      <w:bookmarkEnd w:id="843"/>
    </w:p>
    <w:p>
      <w:pPr>
        <w:spacing w:line="360" w:lineRule="auto"/>
        <w:ind w:firstLine="420" w:firstLineChars="200"/>
        <w:rPr>
          <w:rFonts w:hint="eastAsia"/>
          <w:color w:val="auto"/>
          <w:szCs w:val="21"/>
          <w:highlight w:val="none"/>
        </w:rPr>
      </w:pPr>
      <w:r>
        <w:rPr>
          <w:color w:val="auto"/>
          <w:szCs w:val="21"/>
          <w:highlight w:val="none"/>
        </w:rPr>
        <w:t>2.4.1 承包人需要为发包人和监理人提供的现场办公条件和设施及其详细要求如下：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844" w:name="_Toc80006237"/>
      <w:bookmarkStart w:id="845" w:name="_Toc79998413"/>
      <w:bookmarkStart w:id="846" w:name="_Toc300678518"/>
      <w:bookmarkStart w:id="847" w:name="_Toc79998857"/>
      <w:bookmarkStart w:id="848" w:name="_Toc80006127"/>
      <w:bookmarkStart w:id="849" w:name="_Toc9178554"/>
      <w:r>
        <w:rPr>
          <w:rFonts w:eastAsia="黑体"/>
          <w:b w:val="0"/>
          <w:bCs w:val="0"/>
          <w:color w:val="auto"/>
          <w:sz w:val="28"/>
          <w:szCs w:val="28"/>
          <w:highlight w:val="none"/>
        </w:rPr>
        <w:t>3.工期要求</w:t>
      </w:r>
      <w:bookmarkEnd w:id="844"/>
      <w:bookmarkEnd w:id="845"/>
      <w:bookmarkEnd w:id="846"/>
      <w:bookmarkEnd w:id="847"/>
      <w:bookmarkEnd w:id="848"/>
      <w:bookmarkEnd w:id="849"/>
    </w:p>
    <w:p>
      <w:pPr>
        <w:pStyle w:val="5"/>
        <w:rPr>
          <w:rFonts w:ascii="Times New Roman" w:hAnsi="Times New Roman" w:eastAsia="黑体"/>
          <w:b w:val="0"/>
          <w:bCs w:val="0"/>
          <w:color w:val="auto"/>
          <w:sz w:val="24"/>
          <w:highlight w:val="none"/>
        </w:rPr>
      </w:pPr>
      <w:bookmarkStart w:id="850" w:name="_Toc300678519"/>
      <w:r>
        <w:rPr>
          <w:rFonts w:ascii="Times New Roman" w:hAnsi="Times New Roman" w:eastAsia="黑体"/>
          <w:b w:val="0"/>
          <w:bCs w:val="0"/>
          <w:color w:val="auto"/>
          <w:sz w:val="24"/>
          <w:highlight w:val="none"/>
        </w:rPr>
        <w:t>3.1 合同工期</w:t>
      </w:r>
      <w:bookmarkEnd w:id="850"/>
    </w:p>
    <w:p>
      <w:pPr>
        <w:spacing w:line="360" w:lineRule="auto"/>
        <w:ind w:firstLine="420" w:firstLineChars="200"/>
        <w:rPr>
          <w:color w:val="auto"/>
          <w:szCs w:val="21"/>
          <w:highlight w:val="none"/>
        </w:rPr>
      </w:pPr>
      <w:r>
        <w:rPr>
          <w:color w:val="auto"/>
          <w:szCs w:val="21"/>
          <w:highlight w:val="none"/>
        </w:rPr>
        <w:t>本工程合同工期和计划开、竣工日期为承包人在投标函附录中承诺的工期和计划开、竣工日期，并在合同协议书中载明。</w:t>
      </w:r>
    </w:p>
    <w:p>
      <w:pPr>
        <w:pStyle w:val="5"/>
        <w:rPr>
          <w:rFonts w:ascii="Times New Roman" w:hAnsi="Times New Roman" w:eastAsia="黑体"/>
          <w:b w:val="0"/>
          <w:bCs w:val="0"/>
          <w:color w:val="auto"/>
          <w:sz w:val="24"/>
          <w:highlight w:val="none"/>
        </w:rPr>
      </w:pPr>
      <w:bookmarkStart w:id="851" w:name="_Toc300678520"/>
      <w:r>
        <w:rPr>
          <w:rFonts w:ascii="Times New Roman" w:hAnsi="Times New Roman" w:eastAsia="黑体"/>
          <w:b w:val="0"/>
          <w:bCs w:val="0"/>
          <w:color w:val="auto"/>
          <w:sz w:val="24"/>
          <w:highlight w:val="none"/>
        </w:rPr>
        <w:t>3.2 关于工期的一般规定</w:t>
      </w:r>
      <w:bookmarkEnd w:id="851"/>
    </w:p>
    <w:p>
      <w:pPr>
        <w:spacing w:line="360" w:lineRule="auto"/>
        <w:ind w:firstLine="420" w:firstLineChars="200"/>
        <w:rPr>
          <w:color w:val="auto"/>
          <w:szCs w:val="21"/>
          <w:highlight w:val="none"/>
        </w:rPr>
      </w:pPr>
      <w:r>
        <w:rPr>
          <w:color w:val="auto"/>
          <w:szCs w:val="21"/>
          <w:highlight w:val="none"/>
        </w:rPr>
        <w:t>3.2.1 承包人在投标函中承诺的工期和计划开、竣工日期之间发生矛盾或者不一致时，以承包人承诺的工期为准。实际开工日期以合同条款约定的监理人发出的开工通知中载明的开工日期为准。</w:t>
      </w:r>
    </w:p>
    <w:p>
      <w:pPr>
        <w:spacing w:line="360" w:lineRule="auto"/>
        <w:ind w:firstLine="420" w:firstLineChars="200"/>
        <w:rPr>
          <w:color w:val="auto"/>
          <w:szCs w:val="21"/>
          <w:highlight w:val="none"/>
        </w:rPr>
      </w:pPr>
      <w:r>
        <w:rPr>
          <w:color w:val="auto"/>
          <w:szCs w:val="21"/>
          <w:highlight w:val="none"/>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line="360" w:lineRule="auto"/>
        <w:ind w:firstLine="420" w:firstLineChars="200"/>
        <w:rPr>
          <w:color w:val="auto"/>
          <w:szCs w:val="21"/>
          <w:highlight w:val="none"/>
        </w:rPr>
      </w:pPr>
      <w:r>
        <w:rPr>
          <w:color w:val="auto"/>
          <w:szCs w:val="21"/>
          <w:highlight w:val="none"/>
        </w:rPr>
        <w:t>3.2.3 承包人在投标函附录中所承诺的工期应当包括实施并完成本节上述2.1.2项规定的暂估价项目和上述2.1.3项规定的实际可能发生的暂列金额在内的所有工作的工期。</w:t>
      </w:r>
    </w:p>
    <w:p>
      <w:pPr>
        <w:pStyle w:val="4"/>
        <w:keepNext/>
        <w:keepLines/>
        <w:widowControl w:val="0"/>
        <w:jc w:val="left"/>
        <w:rPr>
          <w:rFonts w:eastAsia="黑体"/>
          <w:b w:val="0"/>
          <w:bCs w:val="0"/>
          <w:color w:val="auto"/>
          <w:sz w:val="28"/>
          <w:szCs w:val="28"/>
          <w:highlight w:val="none"/>
        </w:rPr>
      </w:pPr>
      <w:bookmarkStart w:id="852" w:name="_Toc80006128"/>
      <w:bookmarkStart w:id="853" w:name="_Toc300678521"/>
      <w:bookmarkStart w:id="854" w:name="_Toc9178555"/>
      <w:bookmarkStart w:id="855" w:name="_Toc79998858"/>
      <w:bookmarkStart w:id="856" w:name="_Toc79998414"/>
      <w:bookmarkStart w:id="857" w:name="_Toc80006238"/>
      <w:r>
        <w:rPr>
          <w:rFonts w:eastAsia="黑体"/>
          <w:b w:val="0"/>
          <w:bCs w:val="0"/>
          <w:color w:val="auto"/>
          <w:sz w:val="28"/>
          <w:szCs w:val="28"/>
          <w:highlight w:val="none"/>
        </w:rPr>
        <w:t>4.质量要求</w:t>
      </w:r>
      <w:bookmarkEnd w:id="852"/>
      <w:bookmarkEnd w:id="853"/>
      <w:bookmarkEnd w:id="854"/>
      <w:bookmarkEnd w:id="855"/>
      <w:bookmarkEnd w:id="856"/>
      <w:bookmarkEnd w:id="857"/>
    </w:p>
    <w:p>
      <w:pPr>
        <w:pStyle w:val="5"/>
        <w:rPr>
          <w:rFonts w:ascii="Times New Roman" w:hAnsi="Times New Roman" w:eastAsia="黑体"/>
          <w:b w:val="0"/>
          <w:bCs w:val="0"/>
          <w:color w:val="auto"/>
          <w:sz w:val="24"/>
          <w:highlight w:val="none"/>
        </w:rPr>
      </w:pPr>
      <w:bookmarkStart w:id="858" w:name="_Toc300678522"/>
      <w:r>
        <w:rPr>
          <w:rFonts w:ascii="Times New Roman" w:hAnsi="Times New Roman" w:eastAsia="黑体"/>
          <w:b w:val="0"/>
          <w:bCs w:val="0"/>
          <w:color w:val="auto"/>
          <w:sz w:val="24"/>
          <w:highlight w:val="none"/>
        </w:rPr>
        <w:t>4.1 质量标准</w:t>
      </w:r>
      <w:bookmarkEnd w:id="858"/>
    </w:p>
    <w:p>
      <w:pPr>
        <w:spacing w:line="360" w:lineRule="auto"/>
        <w:ind w:firstLine="420" w:firstLineChars="200"/>
        <w:rPr>
          <w:color w:val="auto"/>
          <w:szCs w:val="21"/>
          <w:highlight w:val="none"/>
        </w:rPr>
      </w:pPr>
      <w:r>
        <w:rPr>
          <w:color w:val="auto"/>
          <w:szCs w:val="21"/>
          <w:highlight w:val="none"/>
        </w:rPr>
        <w:t>4.1.1 本工程要求的质量标准为符合现行国家有关工程施工验收规范和标准的要求合格。</w:t>
      </w:r>
    </w:p>
    <w:p>
      <w:pPr>
        <w:pStyle w:val="5"/>
        <w:rPr>
          <w:rFonts w:ascii="Times New Roman" w:hAnsi="Times New Roman" w:eastAsia="黑体"/>
          <w:b w:val="0"/>
          <w:bCs w:val="0"/>
          <w:color w:val="auto"/>
          <w:sz w:val="24"/>
          <w:highlight w:val="none"/>
        </w:rPr>
      </w:pPr>
      <w:bookmarkStart w:id="859" w:name="_Toc300678523"/>
      <w:r>
        <w:rPr>
          <w:rFonts w:ascii="Times New Roman" w:hAnsi="Times New Roman" w:eastAsia="黑体"/>
          <w:b w:val="0"/>
          <w:bCs w:val="0"/>
          <w:color w:val="auto"/>
          <w:sz w:val="24"/>
          <w:highlight w:val="none"/>
        </w:rPr>
        <w:t>4.2 特殊质量要求</w:t>
      </w:r>
      <w:bookmarkEnd w:id="859"/>
    </w:p>
    <w:p>
      <w:pPr>
        <w:spacing w:line="360" w:lineRule="auto"/>
        <w:ind w:firstLine="420" w:firstLineChars="200"/>
        <w:rPr>
          <w:color w:val="auto"/>
          <w:szCs w:val="21"/>
          <w:highlight w:val="none"/>
        </w:rPr>
      </w:pPr>
      <w:r>
        <w:rPr>
          <w:color w:val="auto"/>
          <w:szCs w:val="21"/>
          <w:highlight w:val="none"/>
        </w:rPr>
        <w:t>4.2.1 有关本工程质量方面的特殊要求如下：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860" w:name="_Toc79998859"/>
      <w:bookmarkStart w:id="861" w:name="_Toc9178556"/>
      <w:bookmarkStart w:id="862" w:name="_Toc300678524"/>
      <w:bookmarkStart w:id="863" w:name="_Toc79998415"/>
      <w:bookmarkStart w:id="864" w:name="_Toc80006239"/>
      <w:bookmarkStart w:id="865" w:name="_Toc80006129"/>
      <w:r>
        <w:rPr>
          <w:rFonts w:eastAsia="黑体"/>
          <w:b w:val="0"/>
          <w:bCs w:val="0"/>
          <w:color w:val="auto"/>
          <w:sz w:val="28"/>
          <w:szCs w:val="28"/>
          <w:highlight w:val="none"/>
        </w:rPr>
        <w:t>5.适用规范和标准</w:t>
      </w:r>
      <w:bookmarkEnd w:id="860"/>
      <w:bookmarkEnd w:id="861"/>
      <w:bookmarkEnd w:id="862"/>
      <w:bookmarkEnd w:id="863"/>
      <w:bookmarkEnd w:id="864"/>
      <w:bookmarkEnd w:id="865"/>
    </w:p>
    <w:p>
      <w:pPr>
        <w:pStyle w:val="5"/>
        <w:rPr>
          <w:rFonts w:ascii="Times New Roman" w:hAnsi="Times New Roman" w:eastAsia="黑体"/>
          <w:b w:val="0"/>
          <w:bCs w:val="0"/>
          <w:color w:val="auto"/>
          <w:sz w:val="24"/>
          <w:highlight w:val="none"/>
        </w:rPr>
      </w:pPr>
      <w:bookmarkStart w:id="866" w:name="_Toc300678525"/>
      <w:r>
        <w:rPr>
          <w:rFonts w:ascii="Times New Roman" w:hAnsi="Times New Roman" w:eastAsia="黑体"/>
          <w:b w:val="0"/>
          <w:bCs w:val="0"/>
          <w:color w:val="auto"/>
          <w:sz w:val="24"/>
          <w:highlight w:val="none"/>
        </w:rPr>
        <w:t>5.1 适用的规范、标准和规程</w:t>
      </w:r>
      <w:bookmarkEnd w:id="866"/>
    </w:p>
    <w:p>
      <w:pPr>
        <w:spacing w:line="360" w:lineRule="auto"/>
        <w:ind w:firstLine="420" w:firstLineChars="200"/>
        <w:rPr>
          <w:color w:val="auto"/>
          <w:szCs w:val="21"/>
          <w:highlight w:val="none"/>
        </w:rPr>
      </w:pPr>
      <w:r>
        <w:rPr>
          <w:color w:val="auto"/>
          <w:szCs w:val="21"/>
          <w:highlight w:val="none"/>
        </w:rPr>
        <w:t>5.1.1 除合同另有约定外，本工程适用现行国家、行业和地方规范、标准和规程。适用于本工程的国家、行业和地方的规范、标准和规范等的名录见本章第三节。</w:t>
      </w:r>
    </w:p>
    <w:p>
      <w:pPr>
        <w:spacing w:line="360" w:lineRule="auto"/>
        <w:ind w:firstLine="420" w:firstLineChars="200"/>
        <w:rPr>
          <w:color w:val="auto"/>
          <w:szCs w:val="21"/>
          <w:highlight w:val="none"/>
        </w:rPr>
      </w:pPr>
      <w:r>
        <w:rPr>
          <w:color w:val="auto"/>
          <w:szCs w:val="21"/>
          <w:highlight w:val="none"/>
        </w:rPr>
        <w:t>构成合同文件的任何内容与适用的规范、标准和规程之间出现矛盾，承包人应书面要求监理人予以澄清，除监理人有特别指示外，承包人应按照其中要求最严格的标准执行。</w:t>
      </w:r>
    </w:p>
    <w:p>
      <w:pPr>
        <w:spacing w:line="360" w:lineRule="auto"/>
        <w:ind w:firstLine="420" w:firstLineChars="200"/>
        <w:rPr>
          <w:color w:val="auto"/>
          <w:szCs w:val="21"/>
          <w:highlight w:val="none"/>
        </w:rPr>
      </w:pPr>
      <w:r>
        <w:rPr>
          <w:color w:val="auto"/>
          <w:szCs w:val="21"/>
          <w:highlight w:val="none"/>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pPr>
        <w:pStyle w:val="5"/>
        <w:ind w:firstLine="480" w:firstLineChars="200"/>
        <w:rPr>
          <w:rFonts w:ascii="Times New Roman" w:hAnsi="Times New Roman" w:eastAsia="黑体"/>
          <w:b w:val="0"/>
          <w:bCs w:val="0"/>
          <w:color w:val="auto"/>
          <w:sz w:val="24"/>
          <w:highlight w:val="none"/>
        </w:rPr>
      </w:pPr>
      <w:bookmarkStart w:id="867" w:name="_Toc300678526"/>
      <w:r>
        <w:rPr>
          <w:rFonts w:ascii="Times New Roman" w:hAnsi="Times New Roman" w:eastAsia="黑体"/>
          <w:b w:val="0"/>
          <w:bCs w:val="0"/>
          <w:color w:val="auto"/>
          <w:sz w:val="24"/>
          <w:highlight w:val="none"/>
        </w:rPr>
        <w:t>5.2 特殊技术标准和要求</w:t>
      </w:r>
      <w:bookmarkEnd w:id="867"/>
    </w:p>
    <w:p>
      <w:pPr>
        <w:spacing w:line="360" w:lineRule="auto"/>
        <w:ind w:firstLine="420" w:firstLineChars="200"/>
        <w:rPr>
          <w:color w:val="auto"/>
          <w:szCs w:val="21"/>
          <w:highlight w:val="none"/>
        </w:rPr>
      </w:pPr>
      <w:r>
        <w:rPr>
          <w:color w:val="auto"/>
          <w:szCs w:val="21"/>
          <w:highlight w:val="none"/>
        </w:rPr>
        <w:t>5.2.1 适用本工程的特殊技术标准和要求见本章第二节。</w:t>
      </w:r>
    </w:p>
    <w:p>
      <w:pPr>
        <w:spacing w:line="360" w:lineRule="auto"/>
        <w:ind w:firstLine="420" w:firstLineChars="200"/>
        <w:rPr>
          <w:color w:val="auto"/>
          <w:szCs w:val="21"/>
          <w:highlight w:val="none"/>
        </w:rPr>
      </w:pPr>
      <w:r>
        <w:rPr>
          <w:color w:val="auto"/>
          <w:szCs w:val="21"/>
          <w:highlight w:val="none"/>
        </w:rPr>
        <w:t>5.2.2 有合同约束力的图纸和其他设计文件中的有关文字说明是本节的组成内容。</w:t>
      </w:r>
    </w:p>
    <w:p>
      <w:pPr>
        <w:pStyle w:val="4"/>
        <w:keepNext/>
        <w:keepLines/>
        <w:widowControl w:val="0"/>
        <w:jc w:val="left"/>
        <w:rPr>
          <w:rFonts w:eastAsia="黑体"/>
          <w:b w:val="0"/>
          <w:bCs w:val="0"/>
          <w:color w:val="auto"/>
          <w:sz w:val="28"/>
          <w:szCs w:val="28"/>
          <w:highlight w:val="none"/>
        </w:rPr>
      </w:pPr>
      <w:bookmarkStart w:id="868" w:name="_Toc300678527"/>
      <w:bookmarkStart w:id="869" w:name="_Toc79998416"/>
      <w:bookmarkStart w:id="870" w:name="_Toc79998860"/>
      <w:bookmarkStart w:id="871" w:name="_Toc9178557"/>
      <w:bookmarkStart w:id="872" w:name="_Toc80006130"/>
      <w:bookmarkStart w:id="873" w:name="_Toc80006240"/>
      <w:r>
        <w:rPr>
          <w:rFonts w:eastAsia="黑体"/>
          <w:b w:val="0"/>
          <w:bCs w:val="0"/>
          <w:color w:val="auto"/>
          <w:sz w:val="28"/>
          <w:szCs w:val="28"/>
          <w:highlight w:val="none"/>
        </w:rPr>
        <w:t>6.安全文明施工</w:t>
      </w:r>
      <w:bookmarkEnd w:id="868"/>
      <w:bookmarkEnd w:id="869"/>
      <w:bookmarkEnd w:id="870"/>
      <w:bookmarkEnd w:id="871"/>
      <w:bookmarkEnd w:id="872"/>
      <w:bookmarkEnd w:id="873"/>
    </w:p>
    <w:p>
      <w:pPr>
        <w:pStyle w:val="5"/>
        <w:rPr>
          <w:rFonts w:ascii="Times New Roman" w:hAnsi="Times New Roman" w:eastAsia="黑体"/>
          <w:b w:val="0"/>
          <w:bCs w:val="0"/>
          <w:color w:val="auto"/>
          <w:sz w:val="24"/>
          <w:highlight w:val="none"/>
        </w:rPr>
      </w:pPr>
      <w:bookmarkStart w:id="874" w:name="_Toc300678528"/>
      <w:r>
        <w:rPr>
          <w:rFonts w:ascii="Times New Roman" w:hAnsi="Times New Roman" w:eastAsia="黑体"/>
          <w:b w:val="0"/>
          <w:bCs w:val="0"/>
          <w:color w:val="auto"/>
          <w:sz w:val="24"/>
          <w:highlight w:val="none"/>
        </w:rPr>
        <w:t>6.1 安全防护</w:t>
      </w:r>
      <w:bookmarkEnd w:id="874"/>
    </w:p>
    <w:p>
      <w:pPr>
        <w:spacing w:line="360" w:lineRule="auto"/>
        <w:ind w:firstLine="420" w:firstLineChars="200"/>
        <w:rPr>
          <w:color w:val="auto"/>
          <w:szCs w:val="21"/>
          <w:highlight w:val="none"/>
        </w:rPr>
      </w:pPr>
      <w:r>
        <w:rPr>
          <w:color w:val="auto"/>
          <w:szCs w:val="21"/>
          <w:highlight w:val="none"/>
        </w:rPr>
        <w:t>6.1.1 在工程施工、竣工、交付及修补任何缺陷的过程中，承包人应当始终遵守国家和地方有关安全生产的法律、法规、规范、标准和规程等，按照合同条款的约定履行其安全施工职责。</w:t>
      </w:r>
    </w:p>
    <w:p>
      <w:pPr>
        <w:spacing w:line="360" w:lineRule="auto"/>
        <w:ind w:firstLine="420" w:firstLineChars="200"/>
        <w:rPr>
          <w:color w:val="auto"/>
          <w:szCs w:val="21"/>
          <w:highlight w:val="none"/>
        </w:rPr>
      </w:pPr>
      <w:r>
        <w:rPr>
          <w:color w:val="auto"/>
          <w:szCs w:val="21"/>
          <w:highlight w:val="none"/>
        </w:rPr>
        <w:t>6.1.2 承包人应坚持“安全第一，预防为主”的方针，建立、健全安全生产责任制度和安全生产教育培训制度。在整个工程施工期间，承包人应在施工场地（现场）设立、提供和维护并在有关工作完成或竣工后撤除：</w:t>
      </w:r>
    </w:p>
    <w:p>
      <w:pPr>
        <w:spacing w:line="360" w:lineRule="auto"/>
        <w:ind w:firstLine="420" w:firstLineChars="200"/>
        <w:rPr>
          <w:color w:val="auto"/>
          <w:szCs w:val="21"/>
          <w:highlight w:val="none"/>
        </w:rPr>
      </w:pPr>
      <w:r>
        <w:rPr>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pPr>
        <w:spacing w:line="360" w:lineRule="auto"/>
        <w:ind w:firstLine="420" w:firstLineChars="200"/>
        <w:rPr>
          <w:color w:val="auto"/>
          <w:szCs w:val="21"/>
          <w:highlight w:val="none"/>
        </w:rPr>
      </w:pPr>
      <w:r>
        <w:rPr>
          <w:color w:val="auto"/>
          <w:szCs w:val="21"/>
          <w:highlight w:val="none"/>
        </w:rPr>
        <w:t>（2）为确保工程安全施工须设立的足够的标志、宣传画、标语、指示牌、警告牌、火警、匪警和急救电话提示牌等等；</w:t>
      </w:r>
    </w:p>
    <w:p>
      <w:pPr>
        <w:spacing w:line="360" w:lineRule="auto"/>
        <w:ind w:firstLine="420" w:firstLineChars="200"/>
        <w:rPr>
          <w:color w:val="auto"/>
          <w:szCs w:val="21"/>
          <w:highlight w:val="none"/>
        </w:rPr>
      </w:pPr>
      <w:r>
        <w:rPr>
          <w:color w:val="auto"/>
          <w:szCs w:val="21"/>
          <w:highlight w:val="none"/>
        </w:rPr>
        <w:t>（3）洞口和临边位置的安全防护设施，包括护身栏杆、脚手架、洞口盖板和加筋、竖井防护栏杆、防护棚、防护网、坡道等等；</w:t>
      </w:r>
    </w:p>
    <w:p>
      <w:pPr>
        <w:spacing w:line="360" w:lineRule="auto"/>
        <w:ind w:firstLine="420" w:firstLineChars="200"/>
        <w:rPr>
          <w:color w:val="auto"/>
          <w:szCs w:val="21"/>
          <w:highlight w:val="none"/>
        </w:rPr>
      </w:pPr>
      <w:r>
        <w:rPr>
          <w:color w:val="auto"/>
          <w:szCs w:val="21"/>
          <w:highlight w:val="none"/>
        </w:rPr>
        <w:t>（4）安全带、安全绳、安全帽、安全网、绝缘鞋、绝缘手套、防护口罩和防护衣等安全生产用品；</w:t>
      </w:r>
    </w:p>
    <w:p>
      <w:pPr>
        <w:spacing w:line="360" w:lineRule="auto"/>
        <w:ind w:firstLine="420" w:firstLineChars="200"/>
        <w:rPr>
          <w:color w:val="auto"/>
          <w:szCs w:val="21"/>
          <w:highlight w:val="none"/>
        </w:rPr>
      </w:pPr>
      <w:r>
        <w:rPr>
          <w:color w:val="auto"/>
          <w:szCs w:val="21"/>
          <w:highlight w:val="none"/>
        </w:rPr>
        <w:t>（5）所有机械设备包括各类电动工具的安全保护和接地装置和操作说明；</w:t>
      </w:r>
    </w:p>
    <w:p>
      <w:pPr>
        <w:spacing w:line="360" w:lineRule="auto"/>
        <w:ind w:firstLine="420" w:firstLineChars="200"/>
        <w:rPr>
          <w:color w:val="auto"/>
          <w:szCs w:val="21"/>
          <w:highlight w:val="none"/>
        </w:rPr>
      </w:pPr>
      <w:r>
        <w:rPr>
          <w:color w:val="auto"/>
          <w:szCs w:val="21"/>
          <w:highlight w:val="none"/>
        </w:rPr>
        <w:t>（6）装备良好的临时急救站和配备称职的医护人员；</w:t>
      </w:r>
    </w:p>
    <w:p>
      <w:pPr>
        <w:spacing w:line="360" w:lineRule="auto"/>
        <w:ind w:firstLine="420" w:firstLineChars="200"/>
        <w:rPr>
          <w:color w:val="auto"/>
          <w:szCs w:val="21"/>
          <w:highlight w:val="none"/>
        </w:rPr>
      </w:pPr>
      <w:r>
        <w:rPr>
          <w:color w:val="auto"/>
          <w:szCs w:val="21"/>
          <w:highlight w:val="none"/>
        </w:rPr>
        <w:t>（7）主要作业场所和临时安全疏散通道24小时36伏安全照明和必要的警示等以防止各种可能的事故；</w:t>
      </w:r>
    </w:p>
    <w:p>
      <w:pPr>
        <w:spacing w:line="360" w:lineRule="auto"/>
        <w:ind w:firstLine="420" w:firstLineChars="200"/>
        <w:rPr>
          <w:color w:val="auto"/>
          <w:szCs w:val="21"/>
          <w:highlight w:val="none"/>
        </w:rPr>
      </w:pPr>
      <w:r>
        <w:rPr>
          <w:color w:val="auto"/>
          <w:szCs w:val="21"/>
          <w:highlight w:val="none"/>
        </w:rPr>
        <w:t>（8）足够数量的和合格的手提灭火器；</w:t>
      </w:r>
    </w:p>
    <w:p>
      <w:pPr>
        <w:spacing w:line="360" w:lineRule="auto"/>
        <w:ind w:firstLine="420" w:firstLineChars="200"/>
        <w:rPr>
          <w:color w:val="auto"/>
          <w:szCs w:val="21"/>
          <w:highlight w:val="none"/>
        </w:rPr>
      </w:pPr>
      <w:r>
        <w:rPr>
          <w:color w:val="auto"/>
          <w:szCs w:val="21"/>
          <w:highlight w:val="none"/>
        </w:rPr>
        <w:t>（9）装备良好的易燃易爆物品仓库和相应的使用管理制度；</w:t>
      </w:r>
    </w:p>
    <w:p>
      <w:pPr>
        <w:spacing w:line="360" w:lineRule="auto"/>
        <w:ind w:firstLine="420" w:firstLineChars="200"/>
        <w:rPr>
          <w:color w:val="auto"/>
          <w:szCs w:val="21"/>
          <w:highlight w:val="none"/>
        </w:rPr>
      </w:pPr>
      <w:r>
        <w:rPr>
          <w:color w:val="auto"/>
          <w:szCs w:val="21"/>
          <w:highlight w:val="none"/>
        </w:rPr>
        <w:t>（10）对涉及明火施工的工作制定诸如用火证等的管理制度；</w:t>
      </w:r>
    </w:p>
    <w:p>
      <w:pPr>
        <w:spacing w:line="360" w:lineRule="auto"/>
        <w:ind w:firstLine="420" w:firstLineChars="200"/>
        <w:rPr>
          <w:color w:val="auto"/>
          <w:szCs w:val="21"/>
          <w:highlight w:val="none"/>
        </w:rPr>
      </w:pPr>
      <w:r>
        <w:rPr>
          <w:color w:val="auto"/>
          <w:szCs w:val="21"/>
          <w:highlight w:val="none"/>
        </w:rPr>
        <w:t>（11）其他：</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6.1.3 安全文明施工费用必须专款专用，承包人应对其由于安全文明施工费用和施工安全措施不到位而发生的安全事故承担全部责任。</w:t>
      </w:r>
    </w:p>
    <w:p>
      <w:pPr>
        <w:spacing w:line="360" w:lineRule="auto"/>
        <w:ind w:firstLine="420" w:firstLineChars="200"/>
        <w:rPr>
          <w:color w:val="auto"/>
          <w:szCs w:val="21"/>
          <w:highlight w:val="none"/>
        </w:rPr>
      </w:pPr>
      <w:r>
        <w:rPr>
          <w:color w:val="auto"/>
          <w:szCs w:val="21"/>
          <w:highlight w:val="none"/>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spacing w:line="360" w:lineRule="auto"/>
        <w:ind w:firstLine="420" w:firstLineChars="200"/>
        <w:rPr>
          <w:color w:val="auto"/>
          <w:szCs w:val="21"/>
          <w:highlight w:val="none"/>
        </w:rPr>
      </w:pPr>
      <w:r>
        <w:rPr>
          <w:color w:val="auto"/>
          <w:szCs w:val="21"/>
          <w:highlight w:val="none"/>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auto"/>
        <w:ind w:firstLine="420" w:firstLineChars="200"/>
        <w:rPr>
          <w:color w:val="auto"/>
          <w:szCs w:val="21"/>
          <w:highlight w:val="none"/>
        </w:rPr>
      </w:pPr>
      <w:r>
        <w:rPr>
          <w:color w:val="auto"/>
          <w:szCs w:val="21"/>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spacing w:line="360" w:lineRule="auto"/>
        <w:ind w:firstLine="420" w:firstLineChars="200"/>
        <w:rPr>
          <w:color w:val="auto"/>
          <w:szCs w:val="21"/>
          <w:highlight w:val="none"/>
        </w:rPr>
      </w:pPr>
      <w:r>
        <w:rPr>
          <w:color w:val="auto"/>
          <w:szCs w:val="21"/>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spacing w:line="360" w:lineRule="auto"/>
        <w:ind w:firstLine="420" w:firstLineChars="200"/>
        <w:rPr>
          <w:color w:val="auto"/>
          <w:szCs w:val="21"/>
          <w:highlight w:val="none"/>
        </w:rPr>
      </w:pPr>
      <w:r>
        <w:rPr>
          <w:color w:val="auto"/>
          <w:szCs w:val="21"/>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spacing w:line="360" w:lineRule="auto"/>
        <w:ind w:firstLine="420" w:firstLineChars="200"/>
        <w:rPr>
          <w:color w:val="auto"/>
          <w:szCs w:val="21"/>
          <w:highlight w:val="none"/>
        </w:rPr>
      </w:pPr>
      <w:r>
        <w:rPr>
          <w:color w:val="auto"/>
          <w:szCs w:val="21"/>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spacing w:line="360" w:lineRule="auto"/>
        <w:ind w:firstLine="420" w:firstLineChars="200"/>
        <w:rPr>
          <w:color w:val="auto"/>
          <w:szCs w:val="21"/>
          <w:highlight w:val="none"/>
        </w:rPr>
      </w:pPr>
      <w:r>
        <w:rPr>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auto"/>
        <w:ind w:firstLine="420" w:firstLineChars="200"/>
        <w:rPr>
          <w:color w:val="auto"/>
          <w:szCs w:val="21"/>
          <w:highlight w:val="none"/>
        </w:rPr>
      </w:pPr>
      <w:r>
        <w:rPr>
          <w:color w:val="auto"/>
          <w:szCs w:val="21"/>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spacing w:line="360" w:lineRule="auto"/>
        <w:ind w:firstLine="420" w:firstLineChars="200"/>
        <w:rPr>
          <w:color w:val="auto"/>
          <w:szCs w:val="21"/>
          <w:highlight w:val="none"/>
        </w:rPr>
      </w:pPr>
      <w:r>
        <w:rPr>
          <w:color w:val="auto"/>
          <w:szCs w:val="21"/>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spacing w:line="360" w:lineRule="auto"/>
        <w:ind w:firstLine="420" w:firstLineChars="200"/>
        <w:rPr>
          <w:color w:val="auto"/>
          <w:szCs w:val="21"/>
          <w:highlight w:val="none"/>
        </w:rPr>
      </w:pPr>
      <w:r>
        <w:rPr>
          <w:color w:val="auto"/>
          <w:szCs w:val="21"/>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pPr>
        <w:spacing w:line="360" w:lineRule="auto"/>
        <w:ind w:firstLine="420" w:firstLineChars="200"/>
        <w:rPr>
          <w:color w:val="auto"/>
          <w:szCs w:val="21"/>
          <w:highlight w:val="none"/>
        </w:rPr>
      </w:pPr>
      <w:r>
        <w:rPr>
          <w:color w:val="auto"/>
          <w:szCs w:val="21"/>
          <w:highlight w:val="none"/>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spacing w:line="360" w:lineRule="auto"/>
        <w:ind w:firstLine="420" w:firstLineChars="200"/>
        <w:rPr>
          <w:color w:val="auto"/>
          <w:szCs w:val="21"/>
          <w:highlight w:val="none"/>
        </w:rPr>
      </w:pPr>
      <w:r>
        <w:rPr>
          <w:color w:val="auto"/>
          <w:szCs w:val="21"/>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spacing w:line="360" w:lineRule="auto"/>
        <w:ind w:firstLine="420" w:firstLineChars="200"/>
        <w:rPr>
          <w:color w:val="auto"/>
          <w:szCs w:val="21"/>
          <w:highlight w:val="none"/>
        </w:rPr>
      </w:pPr>
      <w:r>
        <w:rPr>
          <w:color w:val="auto"/>
          <w:szCs w:val="21"/>
          <w:highlight w:val="none"/>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spacing w:line="360" w:lineRule="auto"/>
        <w:ind w:firstLine="420" w:firstLineChars="200"/>
        <w:rPr>
          <w:color w:val="auto"/>
          <w:szCs w:val="21"/>
          <w:highlight w:val="none"/>
        </w:rPr>
      </w:pPr>
      <w:r>
        <w:rPr>
          <w:color w:val="auto"/>
          <w:szCs w:val="21"/>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pPr>
        <w:spacing w:line="360" w:lineRule="auto"/>
        <w:ind w:firstLine="420" w:firstLineChars="200"/>
        <w:rPr>
          <w:color w:val="auto"/>
          <w:szCs w:val="21"/>
          <w:highlight w:val="none"/>
        </w:rPr>
      </w:pPr>
      <w:r>
        <w:rPr>
          <w:color w:val="auto"/>
          <w:szCs w:val="21"/>
          <w:highlight w:val="none"/>
        </w:rPr>
        <w:t>6.1.18 安全防护方面的其他要求如下：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5" w:name="_Toc300678529"/>
      <w:r>
        <w:rPr>
          <w:rFonts w:ascii="Times New Roman" w:hAnsi="Times New Roman" w:eastAsia="黑体"/>
          <w:b w:val="0"/>
          <w:bCs w:val="0"/>
          <w:color w:val="auto"/>
          <w:sz w:val="24"/>
          <w:highlight w:val="none"/>
        </w:rPr>
        <w:t>6.2 临时消防</w:t>
      </w:r>
      <w:bookmarkEnd w:id="875"/>
    </w:p>
    <w:p>
      <w:pPr>
        <w:spacing w:line="360" w:lineRule="auto"/>
        <w:ind w:firstLine="420" w:firstLineChars="200"/>
        <w:rPr>
          <w:color w:val="auto"/>
          <w:szCs w:val="21"/>
          <w:highlight w:val="none"/>
        </w:rPr>
      </w:pPr>
      <w:r>
        <w:rPr>
          <w:color w:val="auto"/>
          <w:szCs w:val="21"/>
          <w:highlight w:val="none"/>
        </w:rPr>
        <w:t>6.2.1 承包人应建立消防安全责任制度，制定用火、用电和使用易燃易爆等危险品的消防安全管理制度和操作规程。各项制度和规程等应满足相关法律法规和政府消防管理机构的要求。</w:t>
      </w:r>
    </w:p>
    <w:p>
      <w:pPr>
        <w:spacing w:line="360" w:lineRule="auto"/>
        <w:ind w:firstLine="420" w:firstLineChars="200"/>
        <w:rPr>
          <w:color w:val="auto"/>
          <w:szCs w:val="21"/>
          <w:highlight w:val="none"/>
        </w:rPr>
      </w:pPr>
      <w:r>
        <w:rPr>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spacing w:line="360" w:lineRule="auto"/>
        <w:ind w:firstLine="420" w:firstLineChars="200"/>
        <w:rPr>
          <w:color w:val="auto"/>
          <w:szCs w:val="21"/>
          <w:highlight w:val="none"/>
        </w:rPr>
      </w:pPr>
      <w:r>
        <w:rPr>
          <w:color w:val="auto"/>
          <w:szCs w:val="21"/>
          <w:highlight w:val="none"/>
        </w:rPr>
        <w:t>6.2.3 承包人应当成立由项目主要负责人担任组长的临时消防组或消防队，宣传消防基本知识和基本操作培训，组织消防演练，保证一旦发生火灾，能够组织有效的自救，保护生命和财产安全。</w:t>
      </w:r>
    </w:p>
    <w:p>
      <w:pPr>
        <w:spacing w:line="360" w:lineRule="auto"/>
        <w:ind w:firstLine="420" w:firstLineChars="200"/>
        <w:rPr>
          <w:color w:val="auto"/>
          <w:szCs w:val="21"/>
          <w:highlight w:val="none"/>
        </w:rPr>
      </w:pPr>
      <w:r>
        <w:rPr>
          <w:color w:val="auto"/>
          <w:szCs w:val="21"/>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pPr>
        <w:spacing w:line="360" w:lineRule="auto"/>
        <w:ind w:firstLine="424" w:firstLineChars="202"/>
        <w:rPr>
          <w:color w:val="auto"/>
          <w:szCs w:val="21"/>
          <w:highlight w:val="none"/>
        </w:rPr>
      </w:pPr>
      <w:r>
        <w:rPr>
          <w:color w:val="auto"/>
          <w:szCs w:val="21"/>
          <w:highlight w:val="none"/>
        </w:rPr>
        <w:t>6.2.5 临时消防方面的其他要求如下：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6" w:name="_Toc300678530"/>
      <w:r>
        <w:rPr>
          <w:rFonts w:ascii="Times New Roman" w:hAnsi="Times New Roman" w:eastAsia="黑体"/>
          <w:b w:val="0"/>
          <w:bCs w:val="0"/>
          <w:color w:val="auto"/>
          <w:sz w:val="24"/>
          <w:highlight w:val="none"/>
        </w:rPr>
        <w:t>6.3 临时供电</w:t>
      </w:r>
      <w:bookmarkEnd w:id="876"/>
    </w:p>
    <w:p>
      <w:pPr>
        <w:spacing w:line="360" w:lineRule="auto"/>
        <w:ind w:firstLine="420" w:firstLineChars="200"/>
        <w:rPr>
          <w:color w:val="auto"/>
          <w:szCs w:val="21"/>
          <w:highlight w:val="none"/>
        </w:rPr>
      </w:pPr>
      <w:r>
        <w:rPr>
          <w:color w:val="auto"/>
          <w:szCs w:val="21"/>
          <w:highlight w:val="none"/>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360" w:lineRule="auto"/>
        <w:ind w:firstLine="420" w:firstLineChars="200"/>
        <w:rPr>
          <w:color w:val="auto"/>
          <w:szCs w:val="21"/>
          <w:highlight w:val="none"/>
        </w:rPr>
      </w:pPr>
      <w:r>
        <w:rPr>
          <w:color w:val="auto"/>
          <w:szCs w:val="21"/>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line="360" w:lineRule="auto"/>
        <w:ind w:firstLine="420" w:firstLineChars="200"/>
        <w:rPr>
          <w:color w:val="auto"/>
          <w:szCs w:val="21"/>
          <w:highlight w:val="none"/>
        </w:rPr>
      </w:pPr>
      <w:r>
        <w:rPr>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pPr>
        <w:spacing w:line="360" w:lineRule="auto"/>
        <w:ind w:firstLine="420" w:firstLineChars="200"/>
        <w:rPr>
          <w:color w:val="auto"/>
          <w:szCs w:val="21"/>
          <w:highlight w:val="none"/>
        </w:rPr>
      </w:pPr>
      <w:r>
        <w:rPr>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spacing w:line="360" w:lineRule="auto"/>
        <w:ind w:firstLine="420" w:firstLineChars="200"/>
        <w:rPr>
          <w:color w:val="auto"/>
          <w:szCs w:val="21"/>
          <w:highlight w:val="none"/>
        </w:rPr>
      </w:pPr>
      <w:r>
        <w:rPr>
          <w:color w:val="auto"/>
          <w:szCs w:val="21"/>
          <w:highlight w:val="none"/>
        </w:rPr>
        <w:t>6.3.5 凡可能漏电伤人或易受雷击的电器及建筑物均应设置接地和避雷装置。承包人应负责避雷装置的采购、安装、管理和维修，并建立定期检查制度。</w:t>
      </w:r>
    </w:p>
    <w:p>
      <w:pPr>
        <w:spacing w:line="360" w:lineRule="auto"/>
        <w:ind w:firstLine="424" w:firstLineChars="202"/>
        <w:rPr>
          <w:color w:val="auto"/>
          <w:szCs w:val="21"/>
          <w:highlight w:val="none"/>
        </w:rPr>
      </w:pPr>
      <w:r>
        <w:rPr>
          <w:color w:val="auto"/>
          <w:szCs w:val="21"/>
          <w:highlight w:val="none"/>
        </w:rPr>
        <w:t>6.3.6 临时用电方面的其他要求如下：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7" w:name="_Toc300678531"/>
      <w:r>
        <w:rPr>
          <w:rFonts w:ascii="Times New Roman" w:hAnsi="Times New Roman" w:eastAsia="黑体"/>
          <w:b w:val="0"/>
          <w:bCs w:val="0"/>
          <w:color w:val="auto"/>
          <w:sz w:val="24"/>
          <w:highlight w:val="none"/>
        </w:rPr>
        <w:t>6.4 劳动保护</w:t>
      </w:r>
      <w:bookmarkEnd w:id="877"/>
    </w:p>
    <w:p>
      <w:pPr>
        <w:spacing w:line="360" w:lineRule="auto"/>
        <w:ind w:firstLine="420" w:firstLineChars="200"/>
        <w:rPr>
          <w:color w:val="auto"/>
          <w:szCs w:val="21"/>
          <w:highlight w:val="none"/>
        </w:rPr>
      </w:pPr>
      <w:r>
        <w:rPr>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360" w:lineRule="auto"/>
        <w:ind w:firstLine="420" w:firstLineChars="200"/>
        <w:rPr>
          <w:color w:val="auto"/>
          <w:szCs w:val="21"/>
          <w:highlight w:val="none"/>
        </w:rPr>
      </w:pPr>
      <w:r>
        <w:rPr>
          <w:color w:val="auto"/>
          <w:szCs w:val="21"/>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spacing w:line="360" w:lineRule="auto"/>
        <w:ind w:firstLine="420" w:firstLineChars="200"/>
        <w:rPr>
          <w:color w:val="auto"/>
          <w:szCs w:val="21"/>
          <w:highlight w:val="none"/>
        </w:rPr>
      </w:pPr>
      <w:r>
        <w:rPr>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line="360" w:lineRule="auto"/>
        <w:ind w:firstLine="420" w:firstLineChars="200"/>
        <w:rPr>
          <w:color w:val="auto"/>
          <w:szCs w:val="21"/>
          <w:highlight w:val="none"/>
        </w:rPr>
      </w:pPr>
      <w:r>
        <w:rPr>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line="360" w:lineRule="auto"/>
        <w:ind w:firstLine="420" w:firstLineChars="200"/>
        <w:rPr>
          <w:color w:val="auto"/>
          <w:szCs w:val="21"/>
          <w:highlight w:val="none"/>
        </w:rPr>
      </w:pPr>
      <w:r>
        <w:rPr>
          <w:color w:val="auto"/>
          <w:szCs w:val="21"/>
          <w:highlight w:val="none"/>
        </w:rPr>
        <w:t>6.4.5 承包人应在现场设立专门的临时医疗站，配备足够的设施、药物和称职的医务人员，承包人还应准备急救担架，用于一旦发生安全事故时对受伤人员的急救。</w:t>
      </w:r>
    </w:p>
    <w:p>
      <w:pPr>
        <w:spacing w:line="360" w:lineRule="auto"/>
        <w:ind w:firstLine="420" w:firstLineChars="200"/>
        <w:rPr>
          <w:color w:val="auto"/>
          <w:szCs w:val="21"/>
          <w:highlight w:val="none"/>
        </w:rPr>
      </w:pPr>
      <w:r>
        <w:rPr>
          <w:color w:val="auto"/>
          <w:szCs w:val="21"/>
          <w:highlight w:val="none"/>
        </w:rPr>
        <w:t>6.4.6 劳动保护方面的其他要求如下：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8" w:name="_Toc300678532"/>
      <w:r>
        <w:rPr>
          <w:rFonts w:ascii="Times New Roman" w:hAnsi="Times New Roman" w:eastAsia="黑体"/>
          <w:b w:val="0"/>
          <w:bCs w:val="0"/>
          <w:color w:val="auto"/>
          <w:sz w:val="24"/>
          <w:highlight w:val="none"/>
        </w:rPr>
        <w:t>6.5 脚手架</w:t>
      </w:r>
      <w:bookmarkEnd w:id="878"/>
    </w:p>
    <w:p>
      <w:pPr>
        <w:spacing w:line="360" w:lineRule="auto"/>
        <w:ind w:firstLine="420" w:firstLineChars="200"/>
        <w:rPr>
          <w:color w:val="auto"/>
          <w:szCs w:val="21"/>
          <w:highlight w:val="none"/>
        </w:rPr>
      </w:pPr>
      <w:r>
        <w:rPr>
          <w:color w:val="auto"/>
          <w:szCs w:val="21"/>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spacing w:line="360" w:lineRule="auto"/>
        <w:ind w:firstLine="420" w:firstLineChars="200"/>
        <w:rPr>
          <w:color w:val="auto"/>
          <w:szCs w:val="21"/>
          <w:highlight w:val="none"/>
        </w:rPr>
      </w:pPr>
      <w:r>
        <w:rPr>
          <w:color w:val="auto"/>
          <w:szCs w:val="21"/>
          <w:highlight w:val="none"/>
        </w:rPr>
        <w:t>6.5.2 所有脚手架，尤其是大型、复杂、高耸和非常规脚手架，要编制专项施工方案，还应当经过安全验算，脚手架安全验算结果必须报送监理人核查后方可实施。</w:t>
      </w:r>
    </w:p>
    <w:p>
      <w:pPr>
        <w:spacing w:line="360" w:lineRule="auto"/>
        <w:ind w:firstLine="420" w:firstLineChars="200"/>
        <w:rPr>
          <w:color w:val="auto"/>
          <w:szCs w:val="21"/>
          <w:highlight w:val="none"/>
        </w:rPr>
      </w:pPr>
      <w:r>
        <w:rPr>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pPr>
        <w:spacing w:line="360" w:lineRule="auto"/>
        <w:ind w:firstLine="420" w:firstLineChars="200"/>
        <w:rPr>
          <w:color w:val="auto"/>
          <w:szCs w:val="21"/>
          <w:highlight w:val="none"/>
        </w:rPr>
      </w:pPr>
      <w:r>
        <w:rPr>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pPr>
        <w:spacing w:line="360" w:lineRule="auto"/>
        <w:ind w:firstLine="420" w:firstLineChars="200"/>
        <w:rPr>
          <w:color w:val="auto"/>
          <w:szCs w:val="21"/>
          <w:highlight w:val="none"/>
        </w:rPr>
      </w:pPr>
      <w:r>
        <w:rPr>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pPr>
        <w:spacing w:line="360" w:lineRule="auto"/>
        <w:ind w:firstLine="420" w:firstLineChars="200"/>
        <w:rPr>
          <w:color w:val="auto"/>
          <w:szCs w:val="21"/>
          <w:highlight w:val="none"/>
        </w:rPr>
      </w:pPr>
      <w:r>
        <w:rPr>
          <w:color w:val="auto"/>
          <w:szCs w:val="21"/>
          <w:highlight w:val="none"/>
        </w:rPr>
        <w:t>6.5.6 脚手架的其他要求如下：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9" w:name="_Toc300678533"/>
      <w:r>
        <w:rPr>
          <w:rFonts w:ascii="Times New Roman" w:hAnsi="Times New Roman" w:eastAsia="黑体"/>
          <w:b w:val="0"/>
          <w:bCs w:val="0"/>
          <w:color w:val="auto"/>
          <w:sz w:val="24"/>
          <w:highlight w:val="none"/>
        </w:rPr>
        <w:t>6.6 施工安全措施计划</w:t>
      </w:r>
      <w:bookmarkEnd w:id="879"/>
    </w:p>
    <w:p>
      <w:pPr>
        <w:spacing w:line="360" w:lineRule="auto"/>
        <w:ind w:firstLine="420" w:firstLineChars="200"/>
        <w:rPr>
          <w:color w:val="auto"/>
          <w:szCs w:val="21"/>
          <w:highlight w:val="none"/>
        </w:rPr>
      </w:pPr>
      <w:r>
        <w:rPr>
          <w:color w:val="auto"/>
          <w:szCs w:val="21"/>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pPr>
        <w:spacing w:line="360" w:lineRule="auto"/>
        <w:ind w:firstLine="420" w:firstLineChars="200"/>
        <w:rPr>
          <w:color w:val="auto"/>
          <w:szCs w:val="21"/>
          <w:highlight w:val="none"/>
        </w:rPr>
      </w:pPr>
      <w:r>
        <w:rPr>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w:t>
      </w:r>
    </w:p>
    <w:p>
      <w:pPr>
        <w:spacing w:line="360" w:lineRule="auto"/>
        <w:rPr>
          <w:color w:val="auto"/>
          <w:szCs w:val="21"/>
          <w:highlight w:val="none"/>
        </w:rPr>
      </w:pPr>
      <w:r>
        <w:rPr>
          <w:color w:val="auto"/>
          <w:szCs w:val="21"/>
          <w:highlight w:val="none"/>
        </w:rPr>
        <w:t xml:space="preserve">    （1）施工安全管理机构的设置；</w:t>
      </w:r>
    </w:p>
    <w:p>
      <w:pPr>
        <w:spacing w:line="360" w:lineRule="auto"/>
        <w:rPr>
          <w:color w:val="auto"/>
          <w:szCs w:val="21"/>
          <w:highlight w:val="none"/>
        </w:rPr>
      </w:pPr>
      <w:r>
        <w:rPr>
          <w:color w:val="auto"/>
          <w:szCs w:val="21"/>
          <w:highlight w:val="none"/>
        </w:rPr>
        <w:t xml:space="preserve">    （2）专职安全管理人员的配备；</w:t>
      </w:r>
    </w:p>
    <w:p>
      <w:pPr>
        <w:spacing w:line="360" w:lineRule="auto"/>
        <w:rPr>
          <w:color w:val="auto"/>
          <w:szCs w:val="21"/>
          <w:highlight w:val="none"/>
        </w:rPr>
      </w:pPr>
      <w:r>
        <w:rPr>
          <w:color w:val="auto"/>
          <w:szCs w:val="21"/>
          <w:highlight w:val="none"/>
        </w:rPr>
        <w:t xml:space="preserve">    （3）安全责任制度和管理措施；</w:t>
      </w:r>
    </w:p>
    <w:p>
      <w:pPr>
        <w:spacing w:line="360" w:lineRule="auto"/>
        <w:rPr>
          <w:color w:val="auto"/>
          <w:szCs w:val="21"/>
          <w:highlight w:val="none"/>
        </w:rPr>
      </w:pPr>
      <w:r>
        <w:rPr>
          <w:color w:val="auto"/>
          <w:szCs w:val="21"/>
          <w:highlight w:val="none"/>
        </w:rPr>
        <w:t xml:space="preserve">    （4）安全教育和培训制度及管理措施；</w:t>
      </w:r>
    </w:p>
    <w:p>
      <w:pPr>
        <w:spacing w:line="360" w:lineRule="auto"/>
        <w:rPr>
          <w:color w:val="auto"/>
          <w:szCs w:val="21"/>
          <w:highlight w:val="none"/>
        </w:rPr>
      </w:pPr>
      <w:r>
        <w:rPr>
          <w:color w:val="auto"/>
          <w:szCs w:val="21"/>
          <w:highlight w:val="none"/>
        </w:rPr>
        <w:t xml:space="preserve">    （5）各项安全生产规章制度和操作规程；</w:t>
      </w:r>
    </w:p>
    <w:p>
      <w:pPr>
        <w:spacing w:line="360" w:lineRule="auto"/>
        <w:rPr>
          <w:color w:val="auto"/>
          <w:szCs w:val="21"/>
          <w:highlight w:val="none"/>
        </w:rPr>
      </w:pPr>
      <w:r>
        <w:rPr>
          <w:color w:val="auto"/>
          <w:szCs w:val="21"/>
          <w:highlight w:val="none"/>
        </w:rPr>
        <w:t xml:space="preserve">    （6）各项施工安全措施和防护措施；</w:t>
      </w:r>
    </w:p>
    <w:p>
      <w:pPr>
        <w:spacing w:line="360" w:lineRule="auto"/>
        <w:rPr>
          <w:color w:val="auto"/>
          <w:szCs w:val="21"/>
          <w:highlight w:val="none"/>
        </w:rPr>
      </w:pPr>
      <w:r>
        <w:rPr>
          <w:color w:val="auto"/>
          <w:szCs w:val="21"/>
          <w:highlight w:val="none"/>
        </w:rPr>
        <w:t xml:space="preserve">    （7）危险品管理和使用制度；</w:t>
      </w:r>
    </w:p>
    <w:p>
      <w:pPr>
        <w:spacing w:line="360" w:lineRule="auto"/>
        <w:rPr>
          <w:color w:val="auto"/>
          <w:szCs w:val="21"/>
          <w:highlight w:val="none"/>
        </w:rPr>
      </w:pPr>
      <w:r>
        <w:rPr>
          <w:color w:val="auto"/>
          <w:szCs w:val="21"/>
          <w:highlight w:val="none"/>
        </w:rPr>
        <w:t xml:space="preserve">    （8）安全设施、设备、器材和劳动保护用品的配置；</w:t>
      </w:r>
    </w:p>
    <w:p>
      <w:pPr>
        <w:spacing w:line="360" w:lineRule="auto"/>
        <w:rPr>
          <w:color w:val="auto"/>
          <w:szCs w:val="21"/>
          <w:highlight w:val="none"/>
        </w:rPr>
      </w:pPr>
      <w:r>
        <w:rPr>
          <w:color w:val="auto"/>
          <w:szCs w:val="21"/>
          <w:highlight w:val="none"/>
        </w:rPr>
        <w:t xml:space="preserve">    （9）其他：</w:t>
      </w:r>
    </w:p>
    <w:p>
      <w:pPr>
        <w:spacing w:line="360" w:lineRule="auto"/>
        <w:ind w:firstLine="420" w:firstLineChars="200"/>
        <w:rPr>
          <w:color w:val="auto"/>
          <w:szCs w:val="21"/>
          <w:highlight w:val="none"/>
        </w:rPr>
      </w:pPr>
      <w:r>
        <w:rPr>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line="360" w:lineRule="auto"/>
        <w:ind w:firstLine="420" w:firstLineChars="200"/>
        <w:rPr>
          <w:color w:val="auto"/>
          <w:szCs w:val="21"/>
          <w:highlight w:val="none"/>
        </w:rPr>
      </w:pPr>
      <w:r>
        <w:rPr>
          <w:color w:val="auto"/>
          <w:szCs w:val="21"/>
          <w:highlight w:val="none"/>
        </w:rPr>
        <w:t>6.6.3 施工安全措施计划应当在合同条款约定的期限内报送监理人。承包人应当严格执行经监理人批准的施工安全措施计划，并及时补充、修订和完善施工安全措施计划，确保安全生产。</w:t>
      </w:r>
    </w:p>
    <w:p>
      <w:pPr>
        <w:pStyle w:val="5"/>
        <w:rPr>
          <w:rFonts w:ascii="Times New Roman" w:hAnsi="Times New Roman" w:eastAsia="黑体"/>
          <w:b w:val="0"/>
          <w:bCs w:val="0"/>
          <w:color w:val="auto"/>
          <w:sz w:val="24"/>
          <w:highlight w:val="none"/>
        </w:rPr>
      </w:pPr>
      <w:bookmarkStart w:id="880" w:name="_Toc300678534"/>
      <w:r>
        <w:rPr>
          <w:rFonts w:ascii="Times New Roman" w:hAnsi="Times New Roman" w:eastAsia="黑体"/>
          <w:b w:val="0"/>
          <w:bCs w:val="0"/>
          <w:color w:val="auto"/>
          <w:sz w:val="24"/>
          <w:highlight w:val="none"/>
        </w:rPr>
        <w:t>6.7 文明施工</w:t>
      </w:r>
      <w:bookmarkEnd w:id="880"/>
    </w:p>
    <w:p>
      <w:pPr>
        <w:spacing w:line="360" w:lineRule="auto"/>
        <w:ind w:firstLine="420" w:firstLineChars="200"/>
        <w:rPr>
          <w:color w:val="auto"/>
          <w:szCs w:val="21"/>
          <w:highlight w:val="none"/>
        </w:rPr>
      </w:pPr>
      <w:r>
        <w:rPr>
          <w:color w:val="auto"/>
          <w:szCs w:val="21"/>
          <w:highlight w:val="none"/>
        </w:rPr>
        <w:t>6.7.1 承包人应遵守国家和工程所在地有关法规、规范、规程和标准的规定，履行文明施工义务，确保文明施工专项费用专款专用。</w:t>
      </w:r>
    </w:p>
    <w:p>
      <w:pPr>
        <w:spacing w:line="360" w:lineRule="auto"/>
        <w:ind w:firstLine="420" w:firstLineChars="200"/>
        <w:rPr>
          <w:color w:val="auto"/>
          <w:szCs w:val="21"/>
          <w:highlight w:val="none"/>
        </w:rPr>
      </w:pPr>
      <w:r>
        <w:rPr>
          <w:color w:val="auto"/>
          <w:szCs w:val="21"/>
          <w:highlight w:val="none"/>
        </w:rPr>
        <w:t>6.7.2 承包人应当规范现场施工秩序，实行标准化管理：</w:t>
      </w:r>
    </w:p>
    <w:p>
      <w:pPr>
        <w:spacing w:line="360" w:lineRule="auto"/>
        <w:ind w:firstLine="420" w:firstLineChars="200"/>
        <w:rPr>
          <w:color w:val="auto"/>
          <w:szCs w:val="21"/>
          <w:highlight w:val="none"/>
        </w:rPr>
      </w:pPr>
      <w:r>
        <w:rPr>
          <w:color w:val="auto"/>
          <w:szCs w:val="21"/>
          <w:highlight w:val="none"/>
        </w:rPr>
        <w:t>（1）承包人的施工场地（现场）必须干净</w:t>
      </w:r>
      <w:r>
        <w:rPr>
          <w:rFonts w:hint="eastAsia"/>
          <w:color w:val="auto"/>
          <w:szCs w:val="21"/>
          <w:highlight w:val="none"/>
          <w:lang w:val="en-US" w:eastAsia="zh-CN"/>
        </w:rPr>
        <w:t>整洁</w:t>
      </w:r>
      <w:r>
        <w:rPr>
          <w:color w:val="auto"/>
          <w:szCs w:val="21"/>
          <w:highlight w:val="none"/>
        </w:rPr>
        <w:t>、做到无积水、无淤泥、无杂物，材料堆放整齐；</w:t>
      </w:r>
    </w:p>
    <w:p>
      <w:pPr>
        <w:spacing w:line="360" w:lineRule="auto"/>
        <w:ind w:right="-174" w:rightChars="-83" w:firstLine="420" w:firstLineChars="200"/>
        <w:rPr>
          <w:color w:val="auto"/>
          <w:szCs w:val="21"/>
          <w:highlight w:val="none"/>
        </w:rPr>
      </w:pPr>
      <w:r>
        <w:rPr>
          <w:color w:val="auto"/>
          <w:szCs w:val="21"/>
          <w:highlight w:val="none"/>
        </w:rPr>
        <w:t>（2）施工场地（现场）应进行硬化处理，定期定时洒水，做好防治扬尘和大气污染工作；</w:t>
      </w:r>
    </w:p>
    <w:p>
      <w:pPr>
        <w:spacing w:line="360" w:lineRule="auto"/>
        <w:ind w:firstLine="420" w:firstLineChars="200"/>
        <w:rPr>
          <w:color w:val="auto"/>
          <w:szCs w:val="21"/>
          <w:highlight w:val="none"/>
        </w:rPr>
      </w:pPr>
      <w:r>
        <w:rPr>
          <w:color w:val="auto"/>
          <w:szCs w:val="21"/>
          <w:highlight w:val="none"/>
        </w:rPr>
        <w:t>（3）严格遵守“工完、料尽、场地净”的原则，不留垃圾、不留剩余施工材料和施工机具，各种设备运转正常；</w:t>
      </w:r>
    </w:p>
    <w:p>
      <w:pPr>
        <w:spacing w:line="360" w:lineRule="auto"/>
        <w:ind w:firstLine="420" w:firstLineChars="200"/>
        <w:rPr>
          <w:color w:val="auto"/>
          <w:szCs w:val="21"/>
          <w:highlight w:val="none"/>
        </w:rPr>
      </w:pPr>
      <w:r>
        <w:rPr>
          <w:color w:val="auto"/>
          <w:szCs w:val="21"/>
          <w:highlight w:val="none"/>
        </w:rPr>
        <w:t>（4）承包人修建的施工临时设施应符合监理人批准的施工规划要求，并应满足本节规定的各项安全要求；</w:t>
      </w:r>
    </w:p>
    <w:p>
      <w:pPr>
        <w:spacing w:line="360" w:lineRule="auto"/>
        <w:ind w:firstLine="420" w:firstLineChars="200"/>
        <w:rPr>
          <w:color w:val="auto"/>
          <w:szCs w:val="21"/>
          <w:highlight w:val="none"/>
        </w:rPr>
      </w:pPr>
      <w:r>
        <w:rPr>
          <w:color w:val="auto"/>
          <w:szCs w:val="21"/>
          <w:highlight w:val="none"/>
        </w:rPr>
        <w:t>（5）监理人可要求承包人在施工场地（现场）设置各级承包人的安全文明施工责任牌等文明施工警示牌；</w:t>
      </w:r>
    </w:p>
    <w:p>
      <w:pPr>
        <w:spacing w:line="360" w:lineRule="auto"/>
        <w:ind w:firstLine="420" w:firstLineChars="200"/>
        <w:rPr>
          <w:color w:val="auto"/>
          <w:szCs w:val="21"/>
          <w:highlight w:val="none"/>
        </w:rPr>
      </w:pPr>
      <w:r>
        <w:rPr>
          <w:color w:val="auto"/>
          <w:szCs w:val="21"/>
          <w:highlight w:val="none"/>
        </w:rPr>
        <w:t>（6）材料进入现场应按指定位置堆放整齐，不得影响现场施工和堵塞施工、消防通道。材料堆放场地应有专职的管理人员；</w:t>
      </w:r>
    </w:p>
    <w:p>
      <w:pPr>
        <w:spacing w:line="360" w:lineRule="auto"/>
        <w:ind w:firstLine="420" w:firstLineChars="200"/>
        <w:rPr>
          <w:color w:val="auto"/>
          <w:szCs w:val="21"/>
          <w:highlight w:val="none"/>
        </w:rPr>
      </w:pPr>
      <w:r>
        <w:rPr>
          <w:color w:val="auto"/>
          <w:szCs w:val="21"/>
          <w:highlight w:val="none"/>
        </w:rPr>
        <w:t>（7）施工和安装用的各种扣件、紧固件、绳索具、小型配件、镙钉等应在专设的仓库内装箱放置；</w:t>
      </w:r>
    </w:p>
    <w:p>
      <w:pPr>
        <w:spacing w:line="360" w:lineRule="auto"/>
        <w:ind w:firstLine="420" w:firstLineChars="200"/>
        <w:rPr>
          <w:color w:val="auto"/>
          <w:szCs w:val="21"/>
          <w:highlight w:val="none"/>
        </w:rPr>
      </w:pPr>
      <w:r>
        <w:rPr>
          <w:color w:val="auto"/>
          <w:szCs w:val="21"/>
          <w:highlight w:val="none"/>
        </w:rPr>
        <w:t>（8）现场风、水管及照明电线的布置应安全、合理、规范、有序，做到整齐美观。不得随意架设  和造成隐患或影响施工。</w:t>
      </w:r>
    </w:p>
    <w:p>
      <w:pPr>
        <w:spacing w:line="360" w:lineRule="auto"/>
        <w:ind w:right="42" w:rightChars="20" w:firstLine="420" w:firstLineChars="200"/>
        <w:rPr>
          <w:color w:val="auto"/>
          <w:szCs w:val="21"/>
          <w:highlight w:val="none"/>
        </w:rPr>
      </w:pPr>
      <w:r>
        <w:rPr>
          <w:color w:val="auto"/>
          <w:szCs w:val="21"/>
          <w:highlight w:val="none"/>
        </w:rPr>
        <w:t>6.7.3 承包人应为其雇佣的施工工人建立并维护相应的生活宿舍、食堂、浴室、厕所和文化活动室等，其标准应满足政府有关机构的生活标准和卫生标准等的要求。</w:t>
      </w:r>
    </w:p>
    <w:p>
      <w:pPr>
        <w:spacing w:line="360" w:lineRule="auto"/>
        <w:ind w:right="42" w:rightChars="20" w:firstLine="420" w:firstLineChars="200"/>
        <w:rPr>
          <w:color w:val="auto"/>
          <w:szCs w:val="21"/>
          <w:highlight w:val="none"/>
        </w:rPr>
      </w:pPr>
      <w:r>
        <w:rPr>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spacing w:line="360" w:lineRule="auto"/>
        <w:ind w:right="42" w:rightChars="20" w:firstLine="420" w:firstLineChars="200"/>
        <w:rPr>
          <w:color w:val="auto"/>
          <w:szCs w:val="21"/>
          <w:highlight w:val="none"/>
        </w:rPr>
      </w:pPr>
      <w:r>
        <w:rPr>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pPr>
        <w:spacing w:line="360" w:lineRule="auto"/>
        <w:ind w:right="42" w:rightChars="20" w:firstLine="420" w:firstLineChars="200"/>
        <w:rPr>
          <w:color w:val="auto"/>
          <w:szCs w:val="21"/>
          <w:highlight w:val="none"/>
        </w:rPr>
      </w:pPr>
      <w:r>
        <w:rPr>
          <w:color w:val="auto"/>
          <w:szCs w:val="21"/>
          <w:highlight w:val="none"/>
        </w:rPr>
        <w:t>6.7.6 承包人应为现场的工人和其他所有工作人员提供符合卫生要求的厕所，厕所应贴有</w:t>
      </w:r>
      <w:r>
        <w:rPr>
          <w:rFonts w:hint="eastAsia"/>
          <w:color w:val="auto"/>
          <w:szCs w:val="21"/>
          <w:highlight w:val="none"/>
          <w:lang w:val="en-US" w:eastAsia="zh-CN"/>
        </w:rPr>
        <w:t>瓷砖</w:t>
      </w:r>
      <w:r>
        <w:rPr>
          <w:color w:val="auto"/>
          <w:szCs w:val="21"/>
          <w:highlight w:val="none"/>
        </w:rPr>
        <w:t>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60" w:lineRule="auto"/>
        <w:ind w:right="42" w:rightChars="20" w:firstLine="420" w:firstLineChars="200"/>
        <w:rPr>
          <w:color w:val="auto"/>
          <w:szCs w:val="21"/>
          <w:highlight w:val="none"/>
        </w:rPr>
      </w:pPr>
      <w:r>
        <w:rPr>
          <w:color w:val="auto"/>
          <w:szCs w:val="21"/>
          <w:highlight w:val="none"/>
        </w:rPr>
        <w:t>6.7.7 承包人应在现场设立固定的垃圾临时存放点并在各楼层或区域设立必要的垃圾箱；所有垃圾必须在当天清除出现场，并按有关行政管理部门的规定，运送到指定的垃圾消纳场。</w:t>
      </w:r>
    </w:p>
    <w:p>
      <w:pPr>
        <w:spacing w:line="360" w:lineRule="auto"/>
        <w:ind w:right="42" w:rightChars="20" w:firstLine="420" w:firstLineChars="200"/>
        <w:rPr>
          <w:color w:val="auto"/>
          <w:szCs w:val="21"/>
          <w:highlight w:val="none"/>
        </w:rPr>
      </w:pPr>
      <w:r>
        <w:rPr>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w:t>
      </w:r>
      <w:r>
        <w:rPr>
          <w:rFonts w:hint="eastAsia"/>
          <w:color w:val="auto"/>
          <w:szCs w:val="21"/>
          <w:highlight w:val="none"/>
          <w:lang w:val="en-US" w:eastAsia="zh-CN"/>
        </w:rPr>
        <w:t>浇筑</w:t>
      </w:r>
      <w:r>
        <w:rPr>
          <w:color w:val="auto"/>
          <w:szCs w:val="21"/>
          <w:highlight w:val="none"/>
        </w:rPr>
        <w:t>、材料运输、材料装卸、现场清理等工作中应采取一切必要的措施防止影响公共交通。</w:t>
      </w:r>
    </w:p>
    <w:p>
      <w:pPr>
        <w:spacing w:line="360" w:lineRule="auto"/>
        <w:ind w:right="42" w:rightChars="20" w:firstLine="420" w:firstLineChars="200"/>
        <w:rPr>
          <w:color w:val="auto"/>
          <w:szCs w:val="21"/>
          <w:highlight w:val="none"/>
        </w:rPr>
      </w:pPr>
      <w:r>
        <w:rPr>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pPr>
        <w:spacing w:line="360" w:lineRule="auto"/>
        <w:ind w:right="42" w:rightChars="20" w:firstLine="420" w:firstLineChars="200"/>
        <w:rPr>
          <w:color w:val="auto"/>
          <w:szCs w:val="21"/>
          <w:highlight w:val="none"/>
        </w:rPr>
      </w:pPr>
      <w:r>
        <w:rPr>
          <w:color w:val="auto"/>
          <w:szCs w:val="21"/>
          <w:highlight w:val="none"/>
        </w:rPr>
        <w:t>6.7.10 文明施工方面的其他要求如下：</w:t>
      </w:r>
      <w:r>
        <w:rPr>
          <w:color w:val="auto"/>
          <w:szCs w:val="21"/>
          <w:highlight w:val="none"/>
          <w:u w:val="single"/>
        </w:rPr>
        <w:t xml:space="preserve">     </w:t>
      </w:r>
      <w:r>
        <w:rPr>
          <w:color w:val="auto"/>
          <w:szCs w:val="21"/>
          <w:highlight w:val="none"/>
        </w:rPr>
        <w:t>。</w:t>
      </w:r>
    </w:p>
    <w:p>
      <w:pPr>
        <w:spacing w:line="360" w:lineRule="auto"/>
        <w:ind w:right="42" w:rightChars="20" w:firstLine="480" w:firstLineChars="200"/>
        <w:rPr>
          <w:rFonts w:eastAsia="黑体"/>
          <w:bCs/>
          <w:color w:val="auto"/>
          <w:sz w:val="24"/>
          <w:highlight w:val="none"/>
        </w:rPr>
      </w:pPr>
      <w:bookmarkStart w:id="881" w:name="_Toc300678535"/>
      <w:r>
        <w:rPr>
          <w:rFonts w:eastAsia="黑体"/>
          <w:bCs/>
          <w:color w:val="auto"/>
          <w:sz w:val="24"/>
          <w:highlight w:val="none"/>
        </w:rPr>
        <w:t>6.8 环境保护</w:t>
      </w:r>
      <w:bookmarkEnd w:id="881"/>
    </w:p>
    <w:p>
      <w:pPr>
        <w:spacing w:line="360" w:lineRule="auto"/>
        <w:ind w:right="42" w:rightChars="20" w:firstLine="420" w:firstLineChars="200"/>
        <w:rPr>
          <w:color w:val="auto"/>
          <w:szCs w:val="21"/>
          <w:highlight w:val="none"/>
        </w:rPr>
      </w:pPr>
      <w:r>
        <w:rPr>
          <w:color w:val="auto"/>
          <w:szCs w:val="21"/>
          <w:highlight w:val="none"/>
        </w:rPr>
        <w:t>6.8.1 在工程施工、完工及修补任何缺陷的过程中，承包人应当始终遵守国家和工程所在地有关环境保护、水土保护和污染防治的法律、法规、规章、规范、标准和规程等，按照合同条款的约定履行其环境与生态保护职责。</w:t>
      </w:r>
    </w:p>
    <w:p>
      <w:pPr>
        <w:spacing w:line="360" w:lineRule="auto"/>
        <w:ind w:right="42" w:rightChars="20" w:firstLine="420" w:firstLineChars="200"/>
        <w:rPr>
          <w:color w:val="auto"/>
          <w:szCs w:val="21"/>
          <w:highlight w:val="none"/>
        </w:rPr>
      </w:pPr>
      <w:r>
        <w:rPr>
          <w:color w:val="auto"/>
          <w:szCs w:val="21"/>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line="360" w:lineRule="auto"/>
        <w:ind w:right="42" w:rightChars="20" w:firstLine="420" w:firstLineChars="200"/>
        <w:rPr>
          <w:color w:val="auto"/>
          <w:szCs w:val="21"/>
          <w:highlight w:val="none"/>
        </w:rPr>
      </w:pPr>
      <w:r>
        <w:rPr>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line="360" w:lineRule="auto"/>
        <w:ind w:right="42" w:rightChars="20" w:firstLine="420" w:firstLineChars="200"/>
        <w:rPr>
          <w:color w:val="auto"/>
          <w:szCs w:val="21"/>
          <w:highlight w:val="none"/>
        </w:rPr>
      </w:pPr>
      <w:r>
        <w:rPr>
          <w:color w:val="auto"/>
          <w:szCs w:val="21"/>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pPr>
        <w:spacing w:line="360" w:lineRule="auto"/>
        <w:ind w:right="42" w:rightChars="20" w:firstLine="420" w:firstLineChars="200"/>
        <w:rPr>
          <w:color w:val="auto"/>
          <w:szCs w:val="21"/>
          <w:highlight w:val="none"/>
        </w:rPr>
      </w:pPr>
      <w:r>
        <w:rPr>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spacing w:line="360" w:lineRule="auto"/>
        <w:ind w:right="42" w:rightChars="20" w:firstLine="420" w:firstLineChars="200"/>
        <w:rPr>
          <w:color w:val="auto"/>
          <w:szCs w:val="21"/>
          <w:highlight w:val="none"/>
        </w:rPr>
      </w:pPr>
      <w:r>
        <w:rPr>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spacing w:line="360" w:lineRule="auto"/>
        <w:ind w:right="42" w:rightChars="20" w:firstLine="420" w:firstLineChars="200"/>
        <w:rPr>
          <w:color w:val="auto"/>
          <w:szCs w:val="21"/>
          <w:highlight w:val="none"/>
        </w:rPr>
      </w:pPr>
      <w:r>
        <w:rPr>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spacing w:line="360" w:lineRule="auto"/>
        <w:ind w:right="42" w:rightChars="20" w:firstLine="420" w:firstLineChars="200"/>
        <w:rPr>
          <w:color w:val="auto"/>
          <w:szCs w:val="21"/>
          <w:highlight w:val="none"/>
        </w:rPr>
      </w:pPr>
      <w:r>
        <w:rPr>
          <w:color w:val="auto"/>
          <w:szCs w:val="21"/>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pPr>
        <w:spacing w:line="360" w:lineRule="auto"/>
        <w:ind w:right="42" w:rightChars="20" w:firstLine="420" w:firstLineChars="200"/>
        <w:rPr>
          <w:color w:val="auto"/>
          <w:szCs w:val="21"/>
          <w:highlight w:val="none"/>
        </w:rPr>
      </w:pPr>
      <w:r>
        <w:rPr>
          <w:color w:val="auto"/>
          <w:szCs w:val="21"/>
          <w:highlight w:val="none"/>
        </w:rPr>
        <w:t>6.8.9 环境保护方面的其他要求如下：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82" w:name="_Toc300678536"/>
      <w:r>
        <w:rPr>
          <w:rFonts w:ascii="Times New Roman" w:hAnsi="Times New Roman" w:eastAsia="黑体"/>
          <w:b w:val="0"/>
          <w:bCs w:val="0"/>
          <w:color w:val="auto"/>
          <w:sz w:val="24"/>
          <w:highlight w:val="none"/>
        </w:rPr>
        <w:t>6.9 施工环保措施计划</w:t>
      </w:r>
      <w:bookmarkEnd w:id="882"/>
    </w:p>
    <w:p>
      <w:pPr>
        <w:spacing w:line="360" w:lineRule="auto"/>
        <w:ind w:right="42" w:rightChars="20" w:firstLine="420" w:firstLineChars="200"/>
        <w:rPr>
          <w:color w:val="auto"/>
          <w:szCs w:val="21"/>
          <w:highlight w:val="none"/>
        </w:rPr>
      </w:pPr>
      <w:r>
        <w:rPr>
          <w:color w:val="auto"/>
          <w:szCs w:val="21"/>
          <w:highlight w:val="none"/>
        </w:rPr>
        <w:t>6.9.1 合同条款约定的施工环保措施计划是承包人阐明环保方针和拟采用的环保措施及方法等的文件，其内容应包括但不限于：</w:t>
      </w:r>
    </w:p>
    <w:p>
      <w:pPr>
        <w:spacing w:line="360" w:lineRule="auto"/>
        <w:ind w:right="42" w:rightChars="20" w:firstLine="420" w:firstLineChars="200"/>
        <w:rPr>
          <w:color w:val="auto"/>
          <w:szCs w:val="21"/>
          <w:highlight w:val="none"/>
        </w:rPr>
      </w:pPr>
      <w:r>
        <w:rPr>
          <w:color w:val="auto"/>
          <w:szCs w:val="21"/>
          <w:highlight w:val="none"/>
        </w:rPr>
        <w:t>（1）承包人生活区（如果有）的生活用水和生活污水处理措施；</w:t>
      </w:r>
    </w:p>
    <w:p>
      <w:pPr>
        <w:spacing w:line="360" w:lineRule="auto"/>
        <w:ind w:right="42" w:rightChars="20" w:firstLine="420" w:firstLineChars="200"/>
        <w:rPr>
          <w:color w:val="auto"/>
          <w:szCs w:val="21"/>
          <w:highlight w:val="none"/>
        </w:rPr>
      </w:pPr>
      <w:r>
        <w:rPr>
          <w:color w:val="auto"/>
          <w:szCs w:val="21"/>
          <w:highlight w:val="none"/>
        </w:rPr>
        <w:t>（2）施工生产废水处理措施；</w:t>
      </w:r>
    </w:p>
    <w:p>
      <w:pPr>
        <w:spacing w:line="360" w:lineRule="auto"/>
        <w:ind w:right="42" w:rightChars="20" w:firstLine="420" w:firstLineChars="200"/>
        <w:rPr>
          <w:color w:val="auto"/>
          <w:szCs w:val="21"/>
          <w:highlight w:val="none"/>
        </w:rPr>
      </w:pPr>
      <w:r>
        <w:rPr>
          <w:color w:val="auto"/>
          <w:szCs w:val="21"/>
          <w:highlight w:val="none"/>
        </w:rPr>
        <w:t>（3）施工扬尘和废气的处理措施；</w:t>
      </w:r>
    </w:p>
    <w:p>
      <w:pPr>
        <w:spacing w:line="360" w:lineRule="auto"/>
        <w:ind w:right="42" w:rightChars="20" w:firstLine="420" w:firstLineChars="200"/>
        <w:rPr>
          <w:color w:val="auto"/>
          <w:szCs w:val="21"/>
          <w:highlight w:val="none"/>
        </w:rPr>
      </w:pPr>
      <w:r>
        <w:rPr>
          <w:color w:val="auto"/>
          <w:szCs w:val="21"/>
          <w:highlight w:val="none"/>
        </w:rPr>
        <w:t>（4）施工噪声和光污染控制措施；</w:t>
      </w:r>
    </w:p>
    <w:p>
      <w:pPr>
        <w:spacing w:line="360" w:lineRule="auto"/>
        <w:ind w:right="42" w:rightChars="20" w:firstLine="420" w:firstLineChars="200"/>
        <w:rPr>
          <w:color w:val="auto"/>
          <w:szCs w:val="21"/>
          <w:highlight w:val="none"/>
        </w:rPr>
      </w:pPr>
      <w:r>
        <w:rPr>
          <w:color w:val="auto"/>
          <w:szCs w:val="21"/>
          <w:highlight w:val="none"/>
        </w:rPr>
        <w:t>（5）节能减排措施；</w:t>
      </w:r>
    </w:p>
    <w:p>
      <w:pPr>
        <w:spacing w:line="360" w:lineRule="auto"/>
        <w:ind w:right="42" w:rightChars="20" w:firstLine="420" w:firstLineChars="200"/>
        <w:rPr>
          <w:color w:val="auto"/>
          <w:szCs w:val="21"/>
          <w:highlight w:val="none"/>
        </w:rPr>
      </w:pPr>
      <w:r>
        <w:rPr>
          <w:color w:val="auto"/>
          <w:szCs w:val="21"/>
          <w:highlight w:val="none"/>
        </w:rPr>
        <w:t>（6）不可再生资源循环利用措施；</w:t>
      </w:r>
    </w:p>
    <w:p>
      <w:pPr>
        <w:spacing w:line="360" w:lineRule="auto"/>
        <w:ind w:right="42" w:rightChars="20" w:firstLine="420" w:firstLineChars="200"/>
        <w:rPr>
          <w:color w:val="auto"/>
          <w:szCs w:val="21"/>
          <w:highlight w:val="none"/>
        </w:rPr>
      </w:pPr>
      <w:r>
        <w:rPr>
          <w:color w:val="auto"/>
          <w:szCs w:val="21"/>
          <w:highlight w:val="none"/>
        </w:rPr>
        <w:t>（7）固体废弃物处理措施；</w:t>
      </w:r>
    </w:p>
    <w:p>
      <w:pPr>
        <w:spacing w:line="360" w:lineRule="auto"/>
        <w:ind w:right="42" w:rightChars="20" w:firstLine="420" w:firstLineChars="200"/>
        <w:rPr>
          <w:color w:val="auto"/>
          <w:szCs w:val="21"/>
          <w:highlight w:val="none"/>
        </w:rPr>
      </w:pPr>
      <w:r>
        <w:rPr>
          <w:color w:val="auto"/>
          <w:szCs w:val="21"/>
          <w:highlight w:val="none"/>
        </w:rPr>
        <w:t>（8）人群健康保护和卫生防疫措施；</w:t>
      </w:r>
    </w:p>
    <w:p>
      <w:pPr>
        <w:spacing w:line="360" w:lineRule="auto"/>
        <w:ind w:right="42" w:rightChars="20" w:firstLine="420" w:firstLineChars="200"/>
        <w:rPr>
          <w:color w:val="auto"/>
          <w:szCs w:val="21"/>
          <w:highlight w:val="none"/>
        </w:rPr>
      </w:pPr>
      <w:r>
        <w:rPr>
          <w:color w:val="auto"/>
          <w:szCs w:val="21"/>
          <w:highlight w:val="none"/>
        </w:rPr>
        <w:t>（9）防止误用有害材料的保证措施；</w:t>
      </w:r>
    </w:p>
    <w:p>
      <w:pPr>
        <w:spacing w:line="360" w:lineRule="auto"/>
        <w:ind w:right="42" w:rightChars="20" w:firstLine="420" w:firstLineChars="200"/>
        <w:rPr>
          <w:color w:val="auto"/>
          <w:szCs w:val="21"/>
          <w:highlight w:val="none"/>
        </w:rPr>
      </w:pPr>
      <w:r>
        <w:rPr>
          <w:color w:val="auto"/>
          <w:szCs w:val="21"/>
          <w:highlight w:val="none"/>
        </w:rPr>
        <w:t>（10）施工边坡工程的水土流失保护措施；</w:t>
      </w:r>
    </w:p>
    <w:p>
      <w:pPr>
        <w:spacing w:line="360" w:lineRule="auto"/>
        <w:ind w:right="42" w:rightChars="20" w:firstLine="420" w:firstLineChars="200"/>
        <w:rPr>
          <w:color w:val="auto"/>
          <w:szCs w:val="21"/>
          <w:highlight w:val="none"/>
        </w:rPr>
      </w:pPr>
      <w:r>
        <w:rPr>
          <w:color w:val="auto"/>
          <w:szCs w:val="21"/>
          <w:highlight w:val="none"/>
        </w:rPr>
        <w:t>（11）道路污染防治措施；</w:t>
      </w:r>
    </w:p>
    <w:p>
      <w:pPr>
        <w:spacing w:line="360" w:lineRule="auto"/>
        <w:ind w:right="42" w:rightChars="20" w:firstLine="420" w:firstLineChars="200"/>
        <w:rPr>
          <w:color w:val="auto"/>
          <w:szCs w:val="21"/>
          <w:highlight w:val="none"/>
        </w:rPr>
      </w:pPr>
      <w:r>
        <w:rPr>
          <w:color w:val="auto"/>
          <w:szCs w:val="21"/>
          <w:highlight w:val="none"/>
        </w:rPr>
        <w:t>（12）完工后场地清理及其植被（如果有）恢复的规划和措施；</w:t>
      </w:r>
    </w:p>
    <w:p>
      <w:pPr>
        <w:spacing w:line="360" w:lineRule="auto"/>
        <w:ind w:right="42" w:rightChars="20" w:firstLine="420" w:firstLineChars="200"/>
        <w:rPr>
          <w:color w:val="auto"/>
          <w:szCs w:val="21"/>
          <w:highlight w:val="none"/>
        </w:rPr>
      </w:pPr>
      <w:r>
        <w:rPr>
          <w:color w:val="auto"/>
          <w:szCs w:val="21"/>
          <w:highlight w:val="none"/>
        </w:rPr>
        <w:t>（13）其他：</w:t>
      </w:r>
      <w:r>
        <w:rPr>
          <w:color w:val="auto"/>
          <w:szCs w:val="21"/>
          <w:highlight w:val="none"/>
          <w:u w:val="single"/>
        </w:rPr>
        <w:t xml:space="preserve">                </w:t>
      </w:r>
      <w:r>
        <w:rPr>
          <w:color w:val="auto"/>
          <w:szCs w:val="21"/>
          <w:highlight w:val="none"/>
        </w:rPr>
        <w:t>。</w:t>
      </w:r>
    </w:p>
    <w:p>
      <w:pPr>
        <w:spacing w:line="360" w:lineRule="auto"/>
        <w:ind w:right="42" w:rightChars="20" w:firstLine="420" w:firstLineChars="200"/>
        <w:rPr>
          <w:color w:val="auto"/>
          <w:szCs w:val="21"/>
          <w:highlight w:val="none"/>
        </w:rPr>
      </w:pPr>
      <w:r>
        <w:rPr>
          <w:color w:val="auto"/>
          <w:szCs w:val="21"/>
          <w:highlight w:val="none"/>
        </w:rPr>
        <w:t>6.9.2 施工环保措施计划应当在合同条款约定的期限内报送监理人。承包人应当严格执行经监理人批准的施工环保措施计划，并及时补充、修订和完善施工环保措施计划。</w:t>
      </w:r>
    </w:p>
    <w:p>
      <w:pPr>
        <w:pStyle w:val="4"/>
        <w:keepNext/>
        <w:keepLines/>
        <w:widowControl w:val="0"/>
        <w:jc w:val="left"/>
        <w:rPr>
          <w:rFonts w:eastAsia="黑体"/>
          <w:b w:val="0"/>
          <w:bCs w:val="0"/>
          <w:color w:val="auto"/>
          <w:sz w:val="28"/>
          <w:szCs w:val="28"/>
          <w:highlight w:val="none"/>
        </w:rPr>
      </w:pPr>
      <w:bookmarkStart w:id="883" w:name="_Toc79998417"/>
      <w:bookmarkStart w:id="884" w:name="_Toc9178558"/>
      <w:bookmarkStart w:id="885" w:name="_Toc80006131"/>
      <w:bookmarkStart w:id="886" w:name="_Toc79998861"/>
      <w:bookmarkStart w:id="887" w:name="_Toc80006241"/>
      <w:bookmarkStart w:id="888" w:name="_Toc300678537"/>
      <w:r>
        <w:rPr>
          <w:rFonts w:eastAsia="黑体"/>
          <w:b w:val="0"/>
          <w:bCs w:val="0"/>
          <w:color w:val="auto"/>
          <w:sz w:val="28"/>
          <w:szCs w:val="28"/>
          <w:highlight w:val="none"/>
        </w:rPr>
        <w:t>7.治安保卫</w:t>
      </w:r>
      <w:bookmarkEnd w:id="883"/>
      <w:bookmarkEnd w:id="884"/>
      <w:bookmarkEnd w:id="885"/>
      <w:bookmarkEnd w:id="886"/>
      <w:bookmarkEnd w:id="887"/>
      <w:bookmarkEnd w:id="888"/>
    </w:p>
    <w:p>
      <w:pPr>
        <w:spacing w:line="360" w:lineRule="auto"/>
        <w:ind w:firstLine="420" w:firstLineChars="200"/>
        <w:rPr>
          <w:color w:val="auto"/>
          <w:szCs w:val="21"/>
          <w:highlight w:val="none"/>
        </w:rPr>
      </w:pPr>
      <w:r>
        <w:rPr>
          <w:color w:val="auto"/>
          <w:szCs w:val="21"/>
          <w:highlight w:val="none"/>
        </w:rPr>
        <w:t xml:space="preserve">7.1 </w:t>
      </w:r>
      <w:r>
        <w:rPr>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line="360" w:lineRule="auto"/>
        <w:ind w:firstLine="420" w:firstLineChars="200"/>
        <w:rPr>
          <w:color w:val="auto"/>
          <w:szCs w:val="21"/>
          <w:highlight w:val="none"/>
        </w:rPr>
      </w:pPr>
      <w:r>
        <w:rPr>
          <w:color w:val="auto"/>
          <w:szCs w:val="21"/>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spacing w:line="360" w:lineRule="auto"/>
        <w:ind w:firstLine="420" w:firstLineChars="200"/>
        <w:rPr>
          <w:color w:val="auto"/>
          <w:szCs w:val="21"/>
          <w:highlight w:val="none"/>
        </w:rPr>
      </w:pPr>
      <w:r>
        <w:rPr>
          <w:color w:val="auto"/>
          <w:szCs w:val="21"/>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pPr>
        <w:spacing w:line="360" w:lineRule="auto"/>
        <w:ind w:firstLine="420" w:firstLineChars="200"/>
        <w:rPr>
          <w:color w:val="auto"/>
          <w:szCs w:val="21"/>
          <w:highlight w:val="none"/>
        </w:rPr>
      </w:pPr>
      <w:r>
        <w:rPr>
          <w:color w:val="auto"/>
          <w:szCs w:val="21"/>
          <w:highlight w:val="none"/>
        </w:rPr>
        <w:t>7.4 承包人应确保杜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spacing w:line="360" w:lineRule="auto"/>
        <w:ind w:firstLine="420" w:firstLineChars="200"/>
        <w:rPr>
          <w:color w:val="auto"/>
          <w:szCs w:val="21"/>
          <w:highlight w:val="none"/>
        </w:rPr>
      </w:pPr>
      <w:r>
        <w:rPr>
          <w:color w:val="auto"/>
          <w:szCs w:val="21"/>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line="360" w:lineRule="auto"/>
        <w:ind w:firstLine="420" w:firstLineChars="200"/>
        <w:rPr>
          <w:color w:val="auto"/>
          <w:szCs w:val="21"/>
          <w:highlight w:val="none"/>
        </w:rPr>
      </w:pPr>
      <w:r>
        <w:rPr>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line="360" w:lineRule="auto"/>
        <w:ind w:firstLine="420" w:firstLineChars="200"/>
        <w:rPr>
          <w:color w:val="auto"/>
          <w:szCs w:val="21"/>
          <w:highlight w:val="none"/>
        </w:rPr>
      </w:pPr>
      <w:r>
        <w:rPr>
          <w:color w:val="auto"/>
          <w:szCs w:val="21"/>
          <w:highlight w:val="none"/>
        </w:rPr>
        <w:t xml:space="preserve"> 7.7 施工场地（现场）治安管理计划的要求：</w:t>
      </w:r>
      <w:r>
        <w:rPr>
          <w:color w:val="auto"/>
          <w:szCs w:val="21"/>
          <w:highlight w:val="none"/>
          <w:u w:val="single"/>
        </w:rPr>
        <w:t xml:space="preserve">     </w:t>
      </w:r>
      <w:r>
        <w:rPr>
          <w:color w:val="auto"/>
          <w:szCs w:val="21"/>
          <w:highlight w:val="none"/>
        </w:rPr>
        <w:t>。</w:t>
      </w:r>
    </w:p>
    <w:p>
      <w:pPr>
        <w:spacing w:line="360" w:lineRule="auto"/>
        <w:ind w:firstLine="424" w:firstLineChars="202"/>
        <w:rPr>
          <w:color w:val="auto"/>
          <w:szCs w:val="21"/>
          <w:highlight w:val="none"/>
        </w:rPr>
      </w:pPr>
      <w:r>
        <w:rPr>
          <w:color w:val="auto"/>
          <w:szCs w:val="21"/>
          <w:highlight w:val="none"/>
        </w:rPr>
        <w:t>7.8 突发治安事件紧急预案的要求：</w:t>
      </w:r>
      <w:r>
        <w:rPr>
          <w:color w:val="auto"/>
          <w:szCs w:val="21"/>
          <w:highlight w:val="none"/>
          <w:u w:val="single"/>
        </w:rPr>
        <w:t xml:space="preserve">     </w:t>
      </w:r>
      <w:r>
        <w:rPr>
          <w:color w:val="auto"/>
          <w:szCs w:val="21"/>
          <w:highlight w:val="none"/>
        </w:rPr>
        <w:t>。</w:t>
      </w:r>
    </w:p>
    <w:p>
      <w:pPr>
        <w:spacing w:line="360" w:lineRule="auto"/>
        <w:ind w:firstLine="424" w:firstLineChars="202"/>
        <w:rPr>
          <w:color w:val="auto"/>
          <w:szCs w:val="21"/>
          <w:highlight w:val="none"/>
        </w:rPr>
      </w:pPr>
      <w:r>
        <w:rPr>
          <w:color w:val="auto"/>
          <w:szCs w:val="21"/>
          <w:highlight w:val="none"/>
        </w:rPr>
        <w:t>7.9 治安保卫方面的其他要求如下：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889" w:name="_Toc79998418"/>
      <w:bookmarkStart w:id="890" w:name="_Toc80006242"/>
      <w:bookmarkStart w:id="891" w:name="_Toc80006132"/>
      <w:bookmarkStart w:id="892" w:name="_Toc79998862"/>
      <w:bookmarkStart w:id="893" w:name="_Toc9178559"/>
      <w:bookmarkStart w:id="894" w:name="_Toc300678538"/>
      <w:r>
        <w:rPr>
          <w:rFonts w:eastAsia="黑体"/>
          <w:b w:val="0"/>
          <w:bCs w:val="0"/>
          <w:color w:val="auto"/>
          <w:sz w:val="28"/>
          <w:szCs w:val="28"/>
          <w:highlight w:val="none"/>
        </w:rPr>
        <w:t>8.地上、地下设施和周边建筑物的临时保护</w:t>
      </w:r>
      <w:bookmarkEnd w:id="889"/>
      <w:bookmarkEnd w:id="890"/>
      <w:bookmarkEnd w:id="891"/>
      <w:bookmarkEnd w:id="892"/>
      <w:bookmarkEnd w:id="893"/>
      <w:bookmarkEnd w:id="894"/>
    </w:p>
    <w:p>
      <w:pPr>
        <w:spacing w:line="360" w:lineRule="auto"/>
        <w:ind w:firstLine="420" w:firstLineChars="200"/>
        <w:rPr>
          <w:color w:val="auto"/>
          <w:szCs w:val="21"/>
          <w:highlight w:val="none"/>
        </w:rPr>
      </w:pPr>
      <w:r>
        <w:rPr>
          <w:color w:val="auto"/>
          <w:szCs w:val="21"/>
          <w:highlight w:val="none"/>
        </w:rPr>
        <w:t>8.1 承包人应为施工场地及其周边现有的地上、地下设施和建筑物提供足够的临时保护设施，确保施工过程中这些设施和建筑物不会受到干扰和破坏。</w:t>
      </w:r>
    </w:p>
    <w:p>
      <w:pPr>
        <w:spacing w:line="360" w:lineRule="auto"/>
        <w:ind w:firstLine="420" w:firstLineChars="200"/>
        <w:rPr>
          <w:color w:val="auto"/>
          <w:szCs w:val="21"/>
          <w:highlight w:val="none"/>
        </w:rPr>
      </w:pPr>
      <w:r>
        <w:rPr>
          <w:color w:val="auto"/>
          <w:szCs w:val="21"/>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pPr>
        <w:spacing w:line="360" w:lineRule="auto"/>
        <w:ind w:firstLine="420" w:firstLineChars="200"/>
        <w:rPr>
          <w:color w:val="auto"/>
          <w:szCs w:val="21"/>
          <w:highlight w:val="none"/>
        </w:rPr>
      </w:pPr>
      <w:r>
        <w:rPr>
          <w:color w:val="auto"/>
          <w:szCs w:val="21"/>
          <w:highlight w:val="none"/>
        </w:rPr>
        <w:t>8.3 发包人特别提醒承包人注意以下地上、地下设施和周边建筑物的保护：</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8.4 地上、地下设施和周边建筑物的临时保护的其他要求如下：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895" w:name="_Toc300678539"/>
      <w:bookmarkStart w:id="896" w:name="_Toc9178560"/>
      <w:bookmarkStart w:id="897" w:name="_Toc79998419"/>
      <w:bookmarkStart w:id="898" w:name="_Toc79998863"/>
      <w:bookmarkStart w:id="899" w:name="_Toc80006133"/>
      <w:bookmarkStart w:id="900" w:name="_Toc80006243"/>
      <w:r>
        <w:rPr>
          <w:rFonts w:eastAsia="黑体"/>
          <w:b w:val="0"/>
          <w:bCs w:val="0"/>
          <w:color w:val="auto"/>
          <w:sz w:val="28"/>
          <w:szCs w:val="28"/>
          <w:highlight w:val="none"/>
        </w:rPr>
        <w:t>9.样品和材料代换</w:t>
      </w:r>
      <w:bookmarkEnd w:id="895"/>
      <w:bookmarkEnd w:id="896"/>
      <w:bookmarkEnd w:id="897"/>
      <w:bookmarkEnd w:id="898"/>
      <w:bookmarkEnd w:id="899"/>
      <w:bookmarkEnd w:id="900"/>
    </w:p>
    <w:p>
      <w:pPr>
        <w:pStyle w:val="5"/>
        <w:rPr>
          <w:rFonts w:ascii="Times New Roman" w:hAnsi="Times New Roman" w:eastAsia="黑体"/>
          <w:b w:val="0"/>
          <w:bCs w:val="0"/>
          <w:color w:val="auto"/>
          <w:sz w:val="24"/>
          <w:highlight w:val="none"/>
        </w:rPr>
      </w:pPr>
      <w:bookmarkStart w:id="901" w:name="_Toc300678540"/>
      <w:r>
        <w:rPr>
          <w:rFonts w:ascii="Times New Roman" w:hAnsi="Times New Roman" w:eastAsia="黑体"/>
          <w:b w:val="0"/>
          <w:bCs w:val="0"/>
          <w:color w:val="auto"/>
          <w:sz w:val="24"/>
          <w:highlight w:val="none"/>
        </w:rPr>
        <w:t>9.1 样品</w:t>
      </w:r>
      <w:bookmarkEnd w:id="901"/>
    </w:p>
    <w:p>
      <w:pPr>
        <w:spacing w:line="360" w:lineRule="auto"/>
        <w:ind w:firstLine="420" w:firstLineChars="200"/>
        <w:rPr>
          <w:color w:val="auto"/>
          <w:szCs w:val="21"/>
          <w:highlight w:val="none"/>
        </w:rPr>
      </w:pPr>
      <w:r>
        <w:rPr>
          <w:color w:val="auto"/>
          <w:szCs w:val="21"/>
          <w:highlight w:val="none"/>
        </w:rPr>
        <w:t>9.1.1 本工程需要承包人提供样品的材料和工程设备如下：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9.1.2 对于本款第9.1.1项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pPr>
        <w:spacing w:line="360" w:lineRule="auto"/>
        <w:ind w:firstLine="420" w:firstLineChars="200"/>
        <w:rPr>
          <w:color w:val="auto"/>
          <w:szCs w:val="21"/>
          <w:highlight w:val="none"/>
        </w:rPr>
      </w:pPr>
      <w:r>
        <w:rPr>
          <w:color w:val="auto"/>
          <w:szCs w:val="21"/>
          <w:highlight w:val="none"/>
        </w:rPr>
        <w:t>9.1.3 合同条款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pPr>
        <w:spacing w:line="360" w:lineRule="auto"/>
        <w:ind w:firstLine="420" w:firstLineChars="200"/>
        <w:rPr>
          <w:color w:val="auto"/>
          <w:szCs w:val="21"/>
          <w:highlight w:val="none"/>
        </w:rPr>
      </w:pPr>
      <w:r>
        <w:rPr>
          <w:color w:val="auto"/>
          <w:szCs w:val="21"/>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pPr>
        <w:spacing w:line="360" w:lineRule="auto"/>
        <w:ind w:firstLine="420" w:firstLineChars="200"/>
        <w:rPr>
          <w:color w:val="auto"/>
          <w:szCs w:val="21"/>
          <w:highlight w:val="none"/>
        </w:rPr>
      </w:pPr>
      <w:r>
        <w:rPr>
          <w:color w:val="auto"/>
          <w:szCs w:val="21"/>
          <w:highlight w:val="none"/>
        </w:rPr>
        <w:t>9.1.5 得到批准后的样品由监理人负责存放。但承包人应为保存样品提供适当和固定的场所并保持适当和良好的环境条件。</w:t>
      </w:r>
    </w:p>
    <w:p>
      <w:pPr>
        <w:spacing w:line="360" w:lineRule="auto"/>
        <w:ind w:firstLine="420" w:firstLineChars="200"/>
        <w:rPr>
          <w:color w:val="auto"/>
          <w:szCs w:val="21"/>
          <w:highlight w:val="none"/>
        </w:rPr>
      </w:pPr>
      <w:r>
        <w:rPr>
          <w:color w:val="auto"/>
          <w:szCs w:val="21"/>
          <w:highlight w:val="none"/>
        </w:rPr>
        <w:t>9.1.6 提供样品和提供存放样品场所的费用由承包人承担。</w:t>
      </w:r>
    </w:p>
    <w:p>
      <w:pPr>
        <w:pStyle w:val="5"/>
        <w:rPr>
          <w:rFonts w:ascii="Times New Roman" w:hAnsi="Times New Roman" w:eastAsia="黑体"/>
          <w:b w:val="0"/>
          <w:bCs w:val="0"/>
          <w:color w:val="auto"/>
          <w:sz w:val="24"/>
          <w:highlight w:val="none"/>
        </w:rPr>
      </w:pPr>
      <w:bookmarkStart w:id="902" w:name="_Toc300678541"/>
      <w:r>
        <w:rPr>
          <w:rFonts w:ascii="Times New Roman" w:hAnsi="Times New Roman" w:eastAsia="黑体"/>
          <w:b w:val="0"/>
          <w:bCs w:val="0"/>
          <w:color w:val="auto"/>
          <w:sz w:val="24"/>
          <w:highlight w:val="none"/>
        </w:rPr>
        <w:t>9.2 材料代换</w:t>
      </w:r>
      <w:bookmarkEnd w:id="902"/>
    </w:p>
    <w:p>
      <w:pPr>
        <w:spacing w:line="360" w:lineRule="auto"/>
        <w:ind w:firstLine="420" w:firstLineChars="200"/>
        <w:rPr>
          <w:color w:val="auto"/>
          <w:szCs w:val="21"/>
          <w:highlight w:val="none"/>
        </w:rPr>
      </w:pPr>
      <w:r>
        <w:rPr>
          <w:color w:val="auto"/>
          <w:szCs w:val="21"/>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spacing w:line="360" w:lineRule="auto"/>
        <w:ind w:firstLine="420" w:firstLineChars="200"/>
        <w:rPr>
          <w:color w:val="auto"/>
          <w:szCs w:val="21"/>
          <w:highlight w:val="none"/>
        </w:rPr>
      </w:pPr>
      <w:r>
        <w:rPr>
          <w:color w:val="auto"/>
          <w:szCs w:val="21"/>
          <w:highlight w:val="none"/>
        </w:rPr>
        <w:t>9.2.2 如果使用替代品，承包人应至少在被替代品按批准的进度计划用于永久工程前56天以书面形式通知监理人并随此通知提交下列文件：</w:t>
      </w:r>
    </w:p>
    <w:p>
      <w:pPr>
        <w:spacing w:line="360" w:lineRule="auto"/>
        <w:ind w:firstLine="420" w:firstLineChars="200"/>
        <w:rPr>
          <w:color w:val="auto"/>
          <w:szCs w:val="21"/>
          <w:highlight w:val="none"/>
        </w:rPr>
      </w:pPr>
      <w:r>
        <w:rPr>
          <w:color w:val="auto"/>
          <w:szCs w:val="21"/>
          <w:highlight w:val="none"/>
        </w:rPr>
        <w:t>（1）拟被替代的合同约定的材料和工程设备的名称、数量、规格、型号、品牌、性能、价格及其他任何详细资料；</w:t>
      </w:r>
    </w:p>
    <w:p>
      <w:pPr>
        <w:spacing w:line="360" w:lineRule="auto"/>
        <w:ind w:firstLine="420" w:firstLineChars="200"/>
        <w:rPr>
          <w:color w:val="auto"/>
          <w:szCs w:val="21"/>
          <w:highlight w:val="none"/>
        </w:rPr>
      </w:pPr>
      <w:r>
        <w:rPr>
          <w:color w:val="auto"/>
          <w:szCs w:val="21"/>
          <w:highlight w:val="none"/>
        </w:rPr>
        <w:t>（2）拟采用的替代品的名称、数量、规格、型号、品牌、性能、价格及其他任何必要的详细资料；</w:t>
      </w:r>
    </w:p>
    <w:p>
      <w:pPr>
        <w:spacing w:line="360" w:lineRule="auto"/>
        <w:ind w:firstLine="420" w:firstLineChars="200"/>
        <w:rPr>
          <w:color w:val="auto"/>
          <w:szCs w:val="21"/>
          <w:highlight w:val="none"/>
        </w:rPr>
      </w:pPr>
      <w:r>
        <w:rPr>
          <w:color w:val="auto"/>
          <w:szCs w:val="21"/>
          <w:highlight w:val="none"/>
        </w:rPr>
        <w:t>（3）替代品使用的工程部位</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（4）采用替代品的理由和原因说明</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（5）替代品与合同中约定的产品之间的差异以及使用替代品后可能对工程产生的任何影响</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（6）价格上的差异</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（7）监理人为做出适当的决定而随时要求承包人提供的任何其他文件</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监理人在收到此类通知及上述文件后，应在28天内向承包人给出书面指示。如果28天内  监理人未给出书面指示，应视为监理人和发包人已经批准使用上述替代品，承包人可以据此使用替代品。</w:t>
      </w:r>
    </w:p>
    <w:p>
      <w:pPr>
        <w:spacing w:line="360" w:lineRule="auto"/>
        <w:ind w:firstLine="420" w:firstLineChars="200"/>
        <w:rPr>
          <w:color w:val="auto"/>
          <w:szCs w:val="21"/>
          <w:highlight w:val="none"/>
        </w:rPr>
      </w:pPr>
      <w:r>
        <w:rPr>
          <w:color w:val="auto"/>
          <w:szCs w:val="21"/>
          <w:highlight w:val="none"/>
        </w:rPr>
        <w:t>9.2.3 任何情况下，替代品都应遵守本合同中对相关材料和工程设备的要求。</w:t>
      </w:r>
    </w:p>
    <w:p>
      <w:pPr>
        <w:spacing w:line="360" w:lineRule="auto"/>
        <w:ind w:firstLine="420" w:firstLineChars="200"/>
        <w:rPr>
          <w:color w:val="auto"/>
          <w:szCs w:val="21"/>
          <w:highlight w:val="none"/>
        </w:rPr>
      </w:pPr>
      <w:r>
        <w:rPr>
          <w:color w:val="auto"/>
          <w:szCs w:val="21"/>
          <w:highlight w:val="none"/>
        </w:rPr>
        <w:t>9.2.4 如果承包人根据本条约定使用了替代品，监理人应与承包人适当协商之后并在合理的期限内确定替代材料和工程设备与合同中约定的材料和工程设备之间的价值差值，并决定：</w:t>
      </w:r>
    </w:p>
    <w:p>
      <w:pPr>
        <w:spacing w:line="360" w:lineRule="auto"/>
        <w:ind w:firstLine="420" w:firstLineChars="200"/>
        <w:rPr>
          <w:color w:val="auto"/>
          <w:szCs w:val="21"/>
          <w:highlight w:val="none"/>
        </w:rPr>
      </w:pPr>
      <w:r>
        <w:rPr>
          <w:color w:val="auto"/>
          <w:szCs w:val="21"/>
          <w:highlight w:val="none"/>
        </w:rPr>
        <w:t>（1）如果替代材料和工程设备的价值高于合同中约定的材料和工程设备的价值，则将高出部分的价值追加到合同价格中并相应地通知承包人；</w:t>
      </w:r>
    </w:p>
    <w:p>
      <w:pPr>
        <w:spacing w:line="360" w:lineRule="auto"/>
        <w:ind w:firstLine="420" w:firstLineChars="200"/>
        <w:rPr>
          <w:color w:val="auto"/>
          <w:szCs w:val="21"/>
          <w:highlight w:val="none"/>
        </w:rPr>
      </w:pPr>
      <w:r>
        <w:rPr>
          <w:color w:val="auto"/>
          <w:szCs w:val="21"/>
          <w:highlight w:val="none"/>
        </w:rPr>
        <w:t>（2）如果替代材料和工程设备的价值低于合同中约定的材料和工程设备的价值，则将节余部分的价值从合同价格中扣除并相应地通知承包人。</w:t>
      </w:r>
    </w:p>
    <w:p>
      <w:pPr>
        <w:pStyle w:val="4"/>
        <w:keepNext/>
        <w:keepLines/>
        <w:widowControl w:val="0"/>
        <w:jc w:val="left"/>
        <w:rPr>
          <w:rFonts w:eastAsia="黑体"/>
          <w:b w:val="0"/>
          <w:bCs w:val="0"/>
          <w:color w:val="auto"/>
          <w:sz w:val="28"/>
          <w:szCs w:val="28"/>
          <w:highlight w:val="none"/>
        </w:rPr>
      </w:pPr>
      <w:bookmarkStart w:id="903" w:name="_Toc80006134"/>
      <w:bookmarkStart w:id="904" w:name="_Toc300678542"/>
      <w:bookmarkStart w:id="905" w:name="_Toc79998420"/>
      <w:bookmarkStart w:id="906" w:name="_Toc9178561"/>
      <w:bookmarkStart w:id="907" w:name="_Toc80006244"/>
      <w:bookmarkStart w:id="908" w:name="_Toc79998864"/>
      <w:r>
        <w:rPr>
          <w:rFonts w:eastAsia="黑体"/>
          <w:b w:val="0"/>
          <w:bCs w:val="0"/>
          <w:color w:val="auto"/>
          <w:sz w:val="28"/>
          <w:szCs w:val="28"/>
          <w:highlight w:val="none"/>
        </w:rPr>
        <w:t>10.进口材料和工程设备</w:t>
      </w:r>
      <w:bookmarkEnd w:id="903"/>
      <w:bookmarkEnd w:id="904"/>
      <w:bookmarkEnd w:id="905"/>
      <w:bookmarkEnd w:id="906"/>
      <w:bookmarkEnd w:id="907"/>
      <w:bookmarkEnd w:id="908"/>
    </w:p>
    <w:p>
      <w:pPr>
        <w:spacing w:line="360" w:lineRule="auto"/>
        <w:ind w:firstLine="420" w:firstLineChars="200"/>
        <w:rPr>
          <w:color w:val="auto"/>
          <w:szCs w:val="21"/>
          <w:highlight w:val="none"/>
        </w:rPr>
      </w:pPr>
      <w:r>
        <w:rPr>
          <w:color w:val="auto"/>
          <w:szCs w:val="21"/>
          <w:highlight w:val="none"/>
        </w:rPr>
        <w:t>10.1 本工程需要进口的材料和工程设备如下：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10.2 上述进口材料和工程设备采购、进口、报关、清关、商检、境内运输（包括保险）、保管的责任以及费用承担方式划分如下：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09" w:name="_Toc79998865"/>
      <w:bookmarkStart w:id="910" w:name="_Toc300678543"/>
      <w:bookmarkStart w:id="911" w:name="_Toc80006245"/>
      <w:bookmarkStart w:id="912" w:name="_Toc9178562"/>
      <w:bookmarkStart w:id="913" w:name="_Toc80006135"/>
      <w:bookmarkStart w:id="914" w:name="_Toc79998421"/>
      <w:r>
        <w:rPr>
          <w:rFonts w:eastAsia="黑体"/>
          <w:b w:val="0"/>
          <w:bCs w:val="0"/>
          <w:color w:val="auto"/>
          <w:sz w:val="28"/>
          <w:szCs w:val="28"/>
          <w:highlight w:val="none"/>
        </w:rPr>
        <w:t>11.进度报告和进度例会</w:t>
      </w:r>
      <w:bookmarkEnd w:id="909"/>
      <w:bookmarkEnd w:id="910"/>
      <w:bookmarkEnd w:id="911"/>
      <w:bookmarkEnd w:id="912"/>
      <w:bookmarkEnd w:id="913"/>
      <w:bookmarkEnd w:id="914"/>
    </w:p>
    <w:p>
      <w:pPr>
        <w:pStyle w:val="5"/>
        <w:rPr>
          <w:rFonts w:ascii="Times New Roman" w:hAnsi="Times New Roman" w:eastAsia="黑体"/>
          <w:b w:val="0"/>
          <w:bCs w:val="0"/>
          <w:color w:val="auto"/>
          <w:sz w:val="24"/>
          <w:highlight w:val="none"/>
        </w:rPr>
      </w:pPr>
      <w:bookmarkStart w:id="915" w:name="_Toc300678544"/>
      <w:r>
        <w:rPr>
          <w:rFonts w:ascii="Times New Roman" w:hAnsi="Times New Roman" w:eastAsia="黑体"/>
          <w:b w:val="0"/>
          <w:bCs w:val="0"/>
          <w:color w:val="auto"/>
          <w:sz w:val="24"/>
          <w:highlight w:val="none"/>
        </w:rPr>
        <w:t>11.1 进度报告</w:t>
      </w:r>
      <w:bookmarkEnd w:id="915"/>
    </w:p>
    <w:p>
      <w:pPr>
        <w:spacing w:line="360" w:lineRule="auto"/>
        <w:ind w:firstLine="420" w:firstLineChars="200"/>
        <w:jc w:val="left"/>
        <w:rPr>
          <w:color w:val="auto"/>
          <w:szCs w:val="21"/>
          <w:highlight w:val="none"/>
        </w:rPr>
      </w:pPr>
      <w:r>
        <w:rPr>
          <w:color w:val="auto"/>
          <w:szCs w:val="21"/>
          <w:highlight w:val="none"/>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pPr>
        <w:spacing w:line="360" w:lineRule="auto"/>
        <w:ind w:firstLine="420" w:firstLineChars="200"/>
        <w:jc w:val="left"/>
        <w:rPr>
          <w:color w:val="auto"/>
          <w:szCs w:val="21"/>
          <w:highlight w:val="none"/>
        </w:rPr>
      </w:pPr>
      <w:r>
        <w:rPr>
          <w:color w:val="auto"/>
          <w:szCs w:val="21"/>
          <w:highlight w:val="none"/>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pPr>
        <w:spacing w:line="360" w:lineRule="auto"/>
        <w:ind w:firstLine="420" w:firstLineChars="200"/>
        <w:jc w:val="left"/>
        <w:rPr>
          <w:color w:val="auto"/>
          <w:szCs w:val="21"/>
          <w:highlight w:val="none"/>
        </w:rPr>
      </w:pPr>
      <w:r>
        <w:rPr>
          <w:color w:val="auto"/>
          <w:szCs w:val="21"/>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pPr>
        <w:spacing w:line="360" w:lineRule="auto"/>
        <w:ind w:left="-21" w:leftChars="-10" w:firstLine="420" w:firstLineChars="200"/>
        <w:jc w:val="left"/>
        <w:rPr>
          <w:color w:val="auto"/>
          <w:szCs w:val="21"/>
          <w:highlight w:val="none"/>
        </w:rPr>
      </w:pPr>
      <w:r>
        <w:rPr>
          <w:color w:val="auto"/>
          <w:szCs w:val="21"/>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pPr>
        <w:spacing w:line="360" w:lineRule="auto"/>
        <w:ind w:firstLine="420" w:firstLineChars="200"/>
        <w:jc w:val="left"/>
        <w:rPr>
          <w:color w:val="auto"/>
          <w:szCs w:val="21"/>
          <w:highlight w:val="none"/>
        </w:rPr>
      </w:pPr>
      <w:r>
        <w:rPr>
          <w:color w:val="auto"/>
          <w:szCs w:val="21"/>
          <w:highlight w:val="none"/>
        </w:rPr>
        <w:t>11.1.5 各个进度报表的格式和内容应经过监理人的审批。进度报表应如实填写，由承包人委托代理人签名，并报监理人的指定代表签名确认后再行分发。</w:t>
      </w:r>
    </w:p>
    <w:p>
      <w:pPr>
        <w:spacing w:line="360" w:lineRule="auto"/>
        <w:ind w:firstLine="420" w:firstLineChars="200"/>
        <w:jc w:val="left"/>
        <w:rPr>
          <w:color w:val="auto"/>
          <w:szCs w:val="21"/>
          <w:highlight w:val="none"/>
        </w:rPr>
      </w:pPr>
      <w:r>
        <w:rPr>
          <w:color w:val="auto"/>
          <w:szCs w:val="21"/>
          <w:highlight w:val="none"/>
        </w:rPr>
        <w:t>11.1.6 如果监理人认为必要，进度报告和进度照片应同时以存储在磁盘或光盘中的数据文件的形式递交给发包人和监理人。数据文件采用的应用软件及其版本应经过监理人的审批。</w:t>
      </w:r>
    </w:p>
    <w:p>
      <w:pPr>
        <w:spacing w:line="360" w:lineRule="auto"/>
        <w:ind w:firstLine="420" w:firstLineChars="200"/>
        <w:jc w:val="left"/>
        <w:rPr>
          <w:color w:val="auto"/>
          <w:szCs w:val="21"/>
          <w:highlight w:val="none"/>
        </w:rPr>
      </w:pPr>
      <w:r>
        <w:rPr>
          <w:color w:val="auto"/>
          <w:szCs w:val="21"/>
          <w:highlight w:val="none"/>
        </w:rPr>
        <w:t>11.1.7 有关进度报告的其他要求：</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916" w:name="_Toc300678545"/>
      <w:r>
        <w:rPr>
          <w:rFonts w:ascii="Times New Roman" w:hAnsi="Times New Roman" w:eastAsia="黑体"/>
          <w:b w:val="0"/>
          <w:bCs w:val="0"/>
          <w:color w:val="auto"/>
          <w:sz w:val="24"/>
          <w:highlight w:val="none"/>
        </w:rPr>
        <w:t>11.2 进度例会</w:t>
      </w:r>
      <w:bookmarkEnd w:id="916"/>
    </w:p>
    <w:p>
      <w:pPr>
        <w:spacing w:line="360" w:lineRule="auto"/>
        <w:ind w:firstLine="420" w:firstLineChars="200"/>
        <w:jc w:val="left"/>
        <w:rPr>
          <w:color w:val="auto"/>
          <w:szCs w:val="21"/>
          <w:highlight w:val="none"/>
        </w:rPr>
      </w:pPr>
      <w:r>
        <w:rPr>
          <w:color w:val="auto"/>
          <w:szCs w:val="21"/>
          <w:highlight w:val="none"/>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pPr>
        <w:spacing w:line="360" w:lineRule="auto"/>
        <w:ind w:firstLine="420" w:firstLineChars="200"/>
        <w:jc w:val="left"/>
        <w:rPr>
          <w:color w:val="auto"/>
          <w:szCs w:val="21"/>
          <w:highlight w:val="none"/>
        </w:rPr>
      </w:pPr>
      <w:r>
        <w:rPr>
          <w:color w:val="auto"/>
          <w:szCs w:val="21"/>
          <w:highlight w:val="none"/>
        </w:rPr>
        <w:t>11.2.2 进度例会的内容将涉及合同管理、进度协调和工程管理的各个方面，由监理人准备的会议议题将随会议通知在会议召开前至少24小时发给各参会方。</w:t>
      </w:r>
    </w:p>
    <w:p>
      <w:pPr>
        <w:spacing w:line="360" w:lineRule="auto"/>
        <w:ind w:firstLine="420" w:firstLineChars="200"/>
        <w:jc w:val="left"/>
        <w:rPr>
          <w:color w:val="auto"/>
          <w:szCs w:val="21"/>
          <w:highlight w:val="none"/>
        </w:rPr>
      </w:pPr>
      <w:r>
        <w:rPr>
          <w:color w:val="auto"/>
          <w:szCs w:val="21"/>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pPr>
        <w:spacing w:line="360" w:lineRule="auto"/>
        <w:ind w:firstLine="420" w:firstLineChars="200"/>
        <w:jc w:val="left"/>
        <w:rPr>
          <w:color w:val="auto"/>
          <w:szCs w:val="21"/>
          <w:highlight w:val="none"/>
        </w:rPr>
      </w:pPr>
      <w:r>
        <w:rPr>
          <w:color w:val="auto"/>
          <w:szCs w:val="21"/>
          <w:highlight w:val="none"/>
        </w:rPr>
        <w:t>11.2.4 有关进度例会的其他要求：</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17" w:name="_Toc79998422"/>
      <w:bookmarkStart w:id="918" w:name="_Toc80006246"/>
      <w:bookmarkStart w:id="919" w:name="_Toc300678546"/>
      <w:bookmarkStart w:id="920" w:name="_Toc79998866"/>
      <w:bookmarkStart w:id="921" w:name="_Toc80006136"/>
      <w:bookmarkStart w:id="922" w:name="_Toc9178563"/>
      <w:r>
        <w:rPr>
          <w:rFonts w:eastAsia="黑体"/>
          <w:b w:val="0"/>
          <w:bCs w:val="0"/>
          <w:color w:val="auto"/>
          <w:sz w:val="28"/>
          <w:szCs w:val="28"/>
          <w:highlight w:val="none"/>
        </w:rPr>
        <w:t>12.试验和检验</w:t>
      </w:r>
      <w:bookmarkEnd w:id="917"/>
      <w:bookmarkEnd w:id="918"/>
      <w:bookmarkEnd w:id="919"/>
      <w:bookmarkEnd w:id="920"/>
      <w:bookmarkEnd w:id="921"/>
      <w:bookmarkEnd w:id="922"/>
    </w:p>
    <w:p>
      <w:pPr>
        <w:spacing w:line="360" w:lineRule="auto"/>
        <w:ind w:firstLine="420" w:firstLineChars="200"/>
        <w:jc w:val="left"/>
        <w:rPr>
          <w:color w:val="auto"/>
          <w:szCs w:val="21"/>
          <w:highlight w:val="none"/>
        </w:rPr>
      </w:pPr>
      <w:r>
        <w:rPr>
          <w:color w:val="auto"/>
          <w:szCs w:val="21"/>
          <w:highlight w:val="none"/>
        </w:rPr>
        <w:t>12.1 承包人应当按照工程施工验收规范和标准的规定和合同条款的约定，对用于永久工程的主要材料、半成品、成品、建筑构配件、工程设备等进行试验和检验。</w:t>
      </w:r>
    </w:p>
    <w:p>
      <w:pPr>
        <w:spacing w:line="360" w:lineRule="auto"/>
        <w:ind w:firstLine="420" w:firstLineChars="200"/>
        <w:jc w:val="left"/>
        <w:rPr>
          <w:color w:val="auto"/>
          <w:szCs w:val="21"/>
          <w:highlight w:val="none"/>
        </w:rPr>
      </w:pPr>
      <w:r>
        <w:rPr>
          <w:color w:val="auto"/>
          <w:szCs w:val="21"/>
          <w:highlight w:val="none"/>
        </w:rPr>
        <w:t>12.2 本工程需要承包人进行试验和检验的材料、工程设备和工艺如下：</w:t>
      </w:r>
      <w:r>
        <w:rPr>
          <w:color w:val="auto"/>
          <w:szCs w:val="21"/>
          <w:highlight w:val="none"/>
          <w:u w:val="single"/>
        </w:rPr>
        <w:t xml:space="preserve">     </w:t>
      </w:r>
      <w:r>
        <w:rPr>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监理人可以根据工程需要，指示承包人进行其他现场材料和工艺的试验和检验。</w:t>
      </w:r>
    </w:p>
    <w:p>
      <w:pPr>
        <w:spacing w:line="360" w:lineRule="auto"/>
        <w:ind w:firstLine="420" w:firstLineChars="200"/>
        <w:jc w:val="left"/>
        <w:rPr>
          <w:color w:val="auto"/>
          <w:szCs w:val="21"/>
          <w:highlight w:val="none"/>
        </w:rPr>
      </w:pPr>
      <w:r>
        <w:rPr>
          <w:color w:val="auto"/>
          <w:szCs w:val="21"/>
          <w:highlight w:val="none"/>
        </w:rPr>
        <w:t xml:space="preserve">12.3 </w:t>
      </w:r>
      <w:r>
        <w:rPr>
          <w:color w:val="auto"/>
          <w:spacing w:val="4"/>
          <w:szCs w:val="21"/>
          <w:highlight w:val="none"/>
        </w:rPr>
        <w:t>本工程需要由监理人和承包人共同进行试验和检验的材料、工程设备和工艺如下：</w:t>
      </w:r>
      <w:r>
        <w:rPr>
          <w:color w:val="auto"/>
          <w:szCs w:val="21"/>
          <w:highlight w:val="none"/>
          <w:u w:val="single"/>
        </w:rPr>
        <w:t xml:space="preserve">     </w:t>
      </w:r>
      <w:r>
        <w:rPr>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12.4 本条上述约定需要进行检验的材料、工程设备和工艺在经过检验并获得监理人批准以前，不得用于任何永久工程。</w:t>
      </w:r>
    </w:p>
    <w:p>
      <w:pPr>
        <w:spacing w:line="360" w:lineRule="auto"/>
        <w:ind w:firstLine="420" w:firstLineChars="200"/>
        <w:jc w:val="left"/>
        <w:rPr>
          <w:color w:val="auto"/>
          <w:szCs w:val="21"/>
          <w:highlight w:val="none"/>
        </w:rPr>
      </w:pPr>
      <w:r>
        <w:rPr>
          <w:color w:val="auto"/>
          <w:szCs w:val="21"/>
          <w:highlight w:val="none"/>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pPr>
        <w:spacing w:line="360" w:lineRule="auto"/>
        <w:ind w:firstLine="420" w:firstLineChars="200"/>
        <w:jc w:val="left"/>
        <w:rPr>
          <w:color w:val="auto"/>
          <w:szCs w:val="21"/>
          <w:highlight w:val="none"/>
        </w:rPr>
      </w:pPr>
      <w:r>
        <w:rPr>
          <w:color w:val="auto"/>
          <w:szCs w:val="21"/>
          <w:highlight w:val="none"/>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pPr>
        <w:spacing w:line="360" w:lineRule="auto"/>
        <w:ind w:firstLine="420" w:firstLineChars="200"/>
        <w:jc w:val="left"/>
        <w:rPr>
          <w:color w:val="auto"/>
          <w:szCs w:val="21"/>
          <w:highlight w:val="none"/>
        </w:rPr>
      </w:pPr>
      <w:r>
        <w:rPr>
          <w:color w:val="auto"/>
          <w:szCs w:val="21"/>
          <w:highlight w:val="none"/>
        </w:rPr>
        <w:t>12.7 承包人应在监理人的监督下，对涉及结构安全的试块、试件以及有关材料进行现场取样，并送质量检测单位进行检测。</w:t>
      </w:r>
    </w:p>
    <w:p>
      <w:pPr>
        <w:spacing w:line="360" w:lineRule="auto"/>
        <w:ind w:firstLine="420" w:firstLineChars="200"/>
        <w:jc w:val="left"/>
        <w:rPr>
          <w:color w:val="auto"/>
          <w:szCs w:val="21"/>
          <w:highlight w:val="none"/>
        </w:rPr>
      </w:pPr>
      <w:r>
        <w:rPr>
          <w:color w:val="auto"/>
          <w:szCs w:val="21"/>
          <w:highlight w:val="none"/>
        </w:rPr>
        <w:t>12.8  除合同另有约定外，承包人应负担本合同项下的所有材料、工程设备和工艺检验的费用。</w:t>
      </w:r>
    </w:p>
    <w:p>
      <w:pPr>
        <w:pStyle w:val="4"/>
        <w:keepNext/>
        <w:keepLines/>
        <w:widowControl w:val="0"/>
        <w:jc w:val="left"/>
        <w:rPr>
          <w:rFonts w:eastAsia="黑体"/>
          <w:b w:val="0"/>
          <w:bCs w:val="0"/>
          <w:color w:val="auto"/>
          <w:sz w:val="28"/>
          <w:szCs w:val="28"/>
          <w:highlight w:val="none"/>
        </w:rPr>
      </w:pPr>
      <w:bookmarkStart w:id="923" w:name="_Toc300678547"/>
      <w:bookmarkStart w:id="924" w:name="_Toc79998867"/>
      <w:bookmarkStart w:id="925" w:name="_Toc79998423"/>
      <w:bookmarkStart w:id="926" w:name="_Toc80006247"/>
      <w:bookmarkStart w:id="927" w:name="_Toc9178564"/>
      <w:bookmarkStart w:id="928" w:name="_Toc80006137"/>
      <w:r>
        <w:rPr>
          <w:rFonts w:eastAsia="黑体"/>
          <w:b w:val="0"/>
          <w:bCs w:val="0"/>
          <w:color w:val="auto"/>
          <w:sz w:val="28"/>
          <w:szCs w:val="28"/>
          <w:highlight w:val="none"/>
        </w:rPr>
        <w:t>13.计日工</w:t>
      </w:r>
      <w:bookmarkEnd w:id="923"/>
      <w:bookmarkEnd w:id="924"/>
      <w:bookmarkEnd w:id="925"/>
      <w:bookmarkEnd w:id="926"/>
      <w:bookmarkEnd w:id="927"/>
      <w:bookmarkEnd w:id="928"/>
    </w:p>
    <w:p>
      <w:pPr>
        <w:spacing w:line="360" w:lineRule="auto"/>
        <w:ind w:firstLine="420" w:firstLineChars="200"/>
        <w:jc w:val="left"/>
        <w:rPr>
          <w:color w:val="auto"/>
          <w:szCs w:val="21"/>
          <w:highlight w:val="none"/>
        </w:rPr>
      </w:pPr>
      <w:r>
        <w:rPr>
          <w:color w:val="auto"/>
          <w:szCs w:val="21"/>
          <w:highlight w:val="none"/>
        </w:rPr>
        <w:t>13.1 合同条款约定的计日工，一般适用于合同约定之外的或者因变更而产生的、工程量清单中没有设立相应项目或者即便有相应项目但因工作条件发生变化而无法适用的额外工作，尤其是那些时间不允许事先商定价格的额外工作。计日工在发包人认为必要时，由监理人按合同条款约定通知承包人实施。</w:t>
      </w:r>
    </w:p>
    <w:p>
      <w:pPr>
        <w:spacing w:line="360" w:lineRule="auto"/>
        <w:ind w:firstLine="420" w:firstLineChars="200"/>
        <w:jc w:val="left"/>
        <w:rPr>
          <w:color w:val="auto"/>
          <w:szCs w:val="21"/>
          <w:highlight w:val="none"/>
        </w:rPr>
      </w:pPr>
      <w:r>
        <w:rPr>
          <w:color w:val="auto"/>
          <w:szCs w:val="21"/>
          <w:highlight w:val="none"/>
        </w:rPr>
        <w:t>13.2 在工程实际开工后14天内，承包人应当按合同条款约定的计日工报表内容，准备一份计日工日报表的格式，报送监理人审批，监理人应当在收到之日后7天内给予批复或提出修改意见。</w:t>
      </w:r>
    </w:p>
    <w:p>
      <w:pPr>
        <w:spacing w:line="360" w:lineRule="auto"/>
        <w:ind w:firstLine="420" w:firstLineChars="200"/>
        <w:jc w:val="left"/>
        <w:rPr>
          <w:color w:val="auto"/>
          <w:szCs w:val="21"/>
          <w:highlight w:val="none"/>
        </w:rPr>
      </w:pPr>
      <w:r>
        <w:rPr>
          <w:color w:val="auto"/>
          <w:szCs w:val="21"/>
          <w:highlight w:val="none"/>
        </w:rPr>
        <w:t>13.3 按计日工实施相关变更的过程中，承包人应当按经监理人批准的计日工日报表格式，每天提交计日工报表和有关凭证，报送监理人审批，监理人应当在收到相关报表和凭证后24小时内给予批复。</w:t>
      </w:r>
    </w:p>
    <w:p>
      <w:pPr>
        <w:spacing w:line="360" w:lineRule="auto"/>
        <w:ind w:firstLine="420" w:firstLineChars="200"/>
        <w:jc w:val="left"/>
        <w:rPr>
          <w:color w:val="auto"/>
          <w:szCs w:val="21"/>
          <w:highlight w:val="none"/>
        </w:rPr>
      </w:pPr>
      <w:r>
        <w:rPr>
          <w:color w:val="auto"/>
          <w:szCs w:val="21"/>
          <w:highlight w:val="none"/>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pPr>
        <w:spacing w:line="360" w:lineRule="auto"/>
        <w:ind w:firstLine="420" w:firstLineChars="200"/>
        <w:jc w:val="left"/>
        <w:rPr>
          <w:color w:val="auto"/>
          <w:szCs w:val="21"/>
          <w:highlight w:val="none"/>
        </w:rPr>
      </w:pPr>
      <w:r>
        <w:rPr>
          <w:color w:val="auto"/>
          <w:szCs w:val="21"/>
          <w:highlight w:val="none"/>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pPr>
        <w:spacing w:line="360" w:lineRule="auto"/>
        <w:ind w:firstLine="420" w:firstLineChars="200"/>
        <w:jc w:val="left"/>
        <w:rPr>
          <w:color w:val="auto"/>
          <w:szCs w:val="21"/>
          <w:highlight w:val="none"/>
        </w:rPr>
      </w:pPr>
      <w:r>
        <w:rPr>
          <w:color w:val="auto"/>
          <w:szCs w:val="21"/>
          <w:highlight w:val="none"/>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pPr>
        <w:spacing w:line="360" w:lineRule="auto"/>
        <w:ind w:firstLine="420" w:firstLineChars="200"/>
        <w:jc w:val="left"/>
        <w:rPr>
          <w:color w:val="auto"/>
          <w:szCs w:val="21"/>
          <w:highlight w:val="none"/>
        </w:rPr>
      </w:pPr>
      <w:r>
        <w:rPr>
          <w:color w:val="auto"/>
          <w:szCs w:val="21"/>
          <w:highlight w:val="none"/>
        </w:rPr>
        <w:t>13.7 关于计日工的其他约定：</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29" w:name="_Toc80006138"/>
      <w:bookmarkStart w:id="930" w:name="_Toc79998868"/>
      <w:bookmarkStart w:id="931" w:name="_Toc79998424"/>
      <w:bookmarkStart w:id="932" w:name="_Toc300678548"/>
      <w:bookmarkStart w:id="933" w:name="_Toc9178565"/>
      <w:bookmarkStart w:id="934" w:name="_Toc80006248"/>
      <w:r>
        <w:rPr>
          <w:rFonts w:eastAsia="黑体"/>
          <w:b w:val="0"/>
          <w:bCs w:val="0"/>
          <w:color w:val="auto"/>
          <w:sz w:val="28"/>
          <w:szCs w:val="28"/>
          <w:highlight w:val="none"/>
        </w:rPr>
        <w:t>14.计量与支付</w:t>
      </w:r>
      <w:bookmarkEnd w:id="929"/>
      <w:bookmarkEnd w:id="930"/>
      <w:bookmarkEnd w:id="931"/>
      <w:bookmarkEnd w:id="932"/>
      <w:bookmarkEnd w:id="933"/>
      <w:bookmarkEnd w:id="934"/>
    </w:p>
    <w:p>
      <w:pPr>
        <w:pStyle w:val="5"/>
        <w:rPr>
          <w:rFonts w:ascii="Times New Roman" w:hAnsi="Times New Roman" w:eastAsia="黑体"/>
          <w:b w:val="0"/>
          <w:bCs w:val="0"/>
          <w:color w:val="auto"/>
          <w:sz w:val="24"/>
          <w:highlight w:val="none"/>
        </w:rPr>
      </w:pPr>
      <w:bookmarkStart w:id="935" w:name="_Toc300678549"/>
      <w:r>
        <w:rPr>
          <w:rFonts w:ascii="Times New Roman" w:hAnsi="Times New Roman" w:eastAsia="黑体"/>
          <w:b w:val="0"/>
          <w:bCs w:val="0"/>
          <w:color w:val="auto"/>
          <w:sz w:val="24"/>
          <w:highlight w:val="none"/>
        </w:rPr>
        <w:t>14.1 付款申请单</w:t>
      </w:r>
      <w:bookmarkEnd w:id="935"/>
    </w:p>
    <w:p>
      <w:pPr>
        <w:spacing w:line="360" w:lineRule="auto"/>
        <w:ind w:firstLine="420" w:firstLineChars="200"/>
        <w:jc w:val="left"/>
        <w:rPr>
          <w:color w:val="auto"/>
          <w:szCs w:val="21"/>
          <w:highlight w:val="none"/>
        </w:rPr>
      </w:pPr>
      <w:r>
        <w:rPr>
          <w:color w:val="auto"/>
          <w:szCs w:val="21"/>
          <w:highlight w:val="none"/>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pPr>
        <w:spacing w:line="360" w:lineRule="auto"/>
        <w:ind w:firstLine="420" w:firstLineChars="200"/>
        <w:jc w:val="left"/>
        <w:rPr>
          <w:color w:val="auto"/>
          <w:szCs w:val="21"/>
          <w:highlight w:val="none"/>
        </w:rPr>
      </w:pPr>
      <w:r>
        <w:rPr>
          <w:color w:val="auto"/>
          <w:szCs w:val="21"/>
          <w:highlight w:val="none"/>
        </w:rPr>
        <w:t>14.1.2 根据合同条款，承包人应当在合同约定的每个付款周期末，对当期完成的各项工程量进行计量和计价，并按照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pPr>
        <w:spacing w:line="360" w:lineRule="auto"/>
        <w:ind w:firstLine="420" w:firstLineChars="200"/>
        <w:jc w:val="left"/>
        <w:rPr>
          <w:color w:val="auto"/>
          <w:szCs w:val="21"/>
          <w:highlight w:val="none"/>
        </w:rPr>
      </w:pPr>
      <w:r>
        <w:rPr>
          <w:color w:val="auto"/>
          <w:szCs w:val="21"/>
          <w:highlight w:val="none"/>
        </w:rPr>
        <w:t>14.1.3 竣工付款申请单的内容按合同条款的约定。采用单价合同形式的，竣工付款申请单应当附上按合同条款确定的结算工程量和最近一</w:t>
      </w:r>
      <w:r>
        <w:rPr>
          <w:rFonts w:hint="eastAsia"/>
          <w:color w:val="auto"/>
          <w:szCs w:val="21"/>
          <w:highlight w:val="none"/>
          <w:lang w:val="en-US" w:eastAsia="zh-CN"/>
        </w:rPr>
        <w:t>次</w:t>
      </w:r>
      <w:r>
        <w:rPr>
          <w:color w:val="auto"/>
          <w:szCs w:val="21"/>
          <w:highlight w:val="none"/>
        </w:rPr>
        <w:t>进度付款和竣工付款之间完成的各项目的工程量计量文件。采用总价合同形式的，签约合同价所基于的工程量就是相应的竣工结算工程量，但是，变更应按合同约定进行计量和计价。</w:t>
      </w:r>
    </w:p>
    <w:p>
      <w:pPr>
        <w:spacing w:line="360" w:lineRule="auto"/>
        <w:ind w:firstLine="420" w:firstLineChars="200"/>
        <w:jc w:val="left"/>
        <w:rPr>
          <w:color w:val="auto"/>
          <w:szCs w:val="21"/>
          <w:highlight w:val="none"/>
        </w:rPr>
      </w:pPr>
      <w:r>
        <w:rPr>
          <w:color w:val="auto"/>
          <w:szCs w:val="21"/>
          <w:highlight w:val="none"/>
        </w:rPr>
        <w:t>14.1.4 竣工结算总价（合同价格）应当按以下内容梳理：</w:t>
      </w:r>
    </w:p>
    <w:p>
      <w:pPr>
        <w:spacing w:line="360" w:lineRule="auto"/>
        <w:ind w:firstLine="420" w:firstLineChars="200"/>
        <w:jc w:val="left"/>
        <w:rPr>
          <w:color w:val="auto"/>
          <w:szCs w:val="21"/>
          <w:highlight w:val="none"/>
        </w:rPr>
      </w:pPr>
      <w:r>
        <w:rPr>
          <w:color w:val="auto"/>
          <w:szCs w:val="21"/>
          <w:highlight w:val="none"/>
        </w:rPr>
        <w:t>（1）签约合同价；</w:t>
      </w:r>
    </w:p>
    <w:p>
      <w:pPr>
        <w:spacing w:line="360" w:lineRule="auto"/>
        <w:ind w:firstLine="420" w:firstLineChars="200"/>
        <w:jc w:val="left"/>
        <w:rPr>
          <w:color w:val="auto"/>
          <w:szCs w:val="21"/>
          <w:highlight w:val="none"/>
        </w:rPr>
      </w:pPr>
      <w:r>
        <w:rPr>
          <w:color w:val="auto"/>
          <w:szCs w:val="21"/>
          <w:highlight w:val="none"/>
        </w:rPr>
        <w:t>（2）应当扣减的项目；</w:t>
      </w:r>
    </w:p>
    <w:p>
      <w:pPr>
        <w:spacing w:line="360" w:lineRule="auto"/>
        <w:ind w:firstLine="420" w:firstLineChars="200"/>
        <w:jc w:val="left"/>
        <w:rPr>
          <w:color w:val="auto"/>
          <w:szCs w:val="21"/>
          <w:highlight w:val="none"/>
        </w:rPr>
      </w:pPr>
      <w:r>
        <w:rPr>
          <w:color w:val="auto"/>
          <w:szCs w:val="21"/>
          <w:highlight w:val="none"/>
        </w:rPr>
        <w:t>1）所有暂列金额；</w:t>
      </w:r>
    </w:p>
    <w:p>
      <w:pPr>
        <w:spacing w:line="360" w:lineRule="auto"/>
        <w:ind w:firstLine="420" w:firstLineChars="200"/>
        <w:jc w:val="left"/>
        <w:rPr>
          <w:color w:val="auto"/>
          <w:szCs w:val="21"/>
          <w:highlight w:val="none"/>
        </w:rPr>
      </w:pPr>
      <w:r>
        <w:rPr>
          <w:color w:val="auto"/>
          <w:szCs w:val="21"/>
          <w:highlight w:val="none"/>
        </w:rPr>
        <w:t>2）所有暂估价；</w:t>
      </w:r>
    </w:p>
    <w:p>
      <w:pPr>
        <w:spacing w:line="360" w:lineRule="auto"/>
        <w:ind w:firstLine="420" w:firstLineChars="200"/>
        <w:jc w:val="left"/>
        <w:rPr>
          <w:color w:val="auto"/>
          <w:szCs w:val="21"/>
          <w:highlight w:val="none"/>
        </w:rPr>
      </w:pPr>
      <w:r>
        <w:rPr>
          <w:color w:val="auto"/>
          <w:szCs w:val="21"/>
          <w:highlight w:val="none"/>
        </w:rPr>
        <w:t>3）根据合同条款应扣减的变更金额；</w:t>
      </w:r>
    </w:p>
    <w:p>
      <w:pPr>
        <w:spacing w:line="360" w:lineRule="auto"/>
        <w:ind w:firstLine="420" w:firstLineChars="200"/>
        <w:jc w:val="left"/>
        <w:rPr>
          <w:color w:val="auto"/>
          <w:szCs w:val="21"/>
          <w:highlight w:val="none"/>
        </w:rPr>
      </w:pPr>
      <w:r>
        <w:rPr>
          <w:color w:val="auto"/>
          <w:szCs w:val="21"/>
          <w:highlight w:val="none"/>
        </w:rPr>
        <w:t>4）根据合同条款应扣减的价格调整（下调部分）；</w:t>
      </w:r>
    </w:p>
    <w:p>
      <w:pPr>
        <w:spacing w:line="360" w:lineRule="auto"/>
        <w:ind w:firstLine="420" w:firstLineChars="200"/>
        <w:jc w:val="left"/>
        <w:rPr>
          <w:color w:val="auto"/>
          <w:szCs w:val="21"/>
          <w:highlight w:val="none"/>
        </w:rPr>
      </w:pPr>
      <w:r>
        <w:rPr>
          <w:color w:val="auto"/>
          <w:szCs w:val="21"/>
          <w:highlight w:val="none"/>
        </w:rPr>
        <w:t>5）根据合同条款应扣减的发包人索赔金额；</w:t>
      </w:r>
    </w:p>
    <w:p>
      <w:pPr>
        <w:spacing w:line="360" w:lineRule="auto"/>
        <w:ind w:firstLine="420" w:firstLineChars="200"/>
        <w:jc w:val="left"/>
        <w:rPr>
          <w:color w:val="auto"/>
          <w:szCs w:val="21"/>
          <w:highlight w:val="none"/>
        </w:rPr>
      </w:pPr>
      <w:r>
        <w:rPr>
          <w:color w:val="auto"/>
          <w:szCs w:val="21"/>
          <w:highlight w:val="none"/>
        </w:rPr>
        <w:t>6）甩项工程的合同价值（如果有）；</w:t>
      </w:r>
    </w:p>
    <w:p>
      <w:pPr>
        <w:spacing w:line="360" w:lineRule="auto"/>
        <w:ind w:firstLine="420" w:firstLineChars="200"/>
        <w:jc w:val="left"/>
        <w:rPr>
          <w:color w:val="auto"/>
          <w:szCs w:val="21"/>
          <w:highlight w:val="none"/>
        </w:rPr>
      </w:pPr>
      <w:r>
        <w:rPr>
          <w:color w:val="auto"/>
          <w:szCs w:val="21"/>
          <w:highlight w:val="none"/>
        </w:rPr>
        <w:t>7）根据合同约定发包人应扣减的其他金额。</w:t>
      </w:r>
    </w:p>
    <w:p>
      <w:pPr>
        <w:spacing w:line="360" w:lineRule="auto"/>
        <w:ind w:firstLine="420" w:firstLineChars="200"/>
        <w:jc w:val="left"/>
        <w:rPr>
          <w:color w:val="auto"/>
          <w:szCs w:val="21"/>
          <w:highlight w:val="none"/>
        </w:rPr>
      </w:pPr>
      <w:r>
        <w:rPr>
          <w:color w:val="auto"/>
          <w:szCs w:val="21"/>
          <w:highlight w:val="none"/>
        </w:rPr>
        <w:t>（3）应当增加的项目；</w:t>
      </w:r>
    </w:p>
    <w:p>
      <w:pPr>
        <w:spacing w:line="360" w:lineRule="auto"/>
        <w:ind w:firstLine="420" w:firstLineChars="200"/>
        <w:jc w:val="left"/>
        <w:rPr>
          <w:color w:val="auto"/>
          <w:szCs w:val="21"/>
          <w:highlight w:val="none"/>
        </w:rPr>
      </w:pPr>
      <w:r>
        <w:rPr>
          <w:color w:val="auto"/>
          <w:szCs w:val="21"/>
          <w:highlight w:val="none"/>
        </w:rPr>
        <w:t>1）实际发生的暂列金额（包括计日工）；</w:t>
      </w:r>
    </w:p>
    <w:p>
      <w:pPr>
        <w:spacing w:line="360" w:lineRule="auto"/>
        <w:ind w:firstLine="420" w:firstLineChars="200"/>
        <w:jc w:val="left"/>
        <w:rPr>
          <w:color w:val="auto"/>
          <w:szCs w:val="21"/>
          <w:highlight w:val="none"/>
        </w:rPr>
      </w:pPr>
      <w:r>
        <w:rPr>
          <w:color w:val="auto"/>
          <w:szCs w:val="21"/>
          <w:highlight w:val="none"/>
        </w:rPr>
        <w:t>2）实际发生的暂估价；</w:t>
      </w:r>
    </w:p>
    <w:p>
      <w:pPr>
        <w:spacing w:line="360" w:lineRule="auto"/>
        <w:ind w:firstLine="420" w:firstLineChars="200"/>
        <w:jc w:val="left"/>
        <w:rPr>
          <w:color w:val="auto"/>
          <w:szCs w:val="21"/>
          <w:highlight w:val="none"/>
        </w:rPr>
      </w:pPr>
      <w:r>
        <w:rPr>
          <w:color w:val="auto"/>
          <w:szCs w:val="21"/>
          <w:highlight w:val="none"/>
        </w:rPr>
        <w:t>3）根据合同条款应增加的变更金额；</w:t>
      </w:r>
    </w:p>
    <w:p>
      <w:pPr>
        <w:spacing w:line="360" w:lineRule="auto"/>
        <w:ind w:firstLine="420" w:firstLineChars="200"/>
        <w:jc w:val="left"/>
        <w:rPr>
          <w:color w:val="auto"/>
          <w:szCs w:val="21"/>
          <w:highlight w:val="none"/>
        </w:rPr>
      </w:pPr>
      <w:r>
        <w:rPr>
          <w:color w:val="auto"/>
          <w:szCs w:val="21"/>
          <w:highlight w:val="none"/>
        </w:rPr>
        <w:t>4）根据合同条款应增加的价格调整（上调部分）；</w:t>
      </w:r>
    </w:p>
    <w:p>
      <w:pPr>
        <w:spacing w:line="360" w:lineRule="auto"/>
        <w:ind w:firstLine="420" w:firstLineChars="200"/>
        <w:jc w:val="left"/>
        <w:rPr>
          <w:color w:val="auto"/>
          <w:szCs w:val="21"/>
          <w:highlight w:val="none"/>
        </w:rPr>
      </w:pPr>
      <w:r>
        <w:rPr>
          <w:color w:val="auto"/>
          <w:szCs w:val="21"/>
          <w:highlight w:val="none"/>
        </w:rPr>
        <w:t>5）根据合同条款应增加的承包人索赔金额；</w:t>
      </w:r>
    </w:p>
    <w:p>
      <w:pPr>
        <w:spacing w:line="360" w:lineRule="auto"/>
        <w:ind w:firstLine="420" w:firstLineChars="200"/>
        <w:jc w:val="left"/>
        <w:rPr>
          <w:color w:val="auto"/>
          <w:szCs w:val="21"/>
          <w:highlight w:val="none"/>
        </w:rPr>
      </w:pPr>
      <w:r>
        <w:rPr>
          <w:color w:val="auto"/>
          <w:szCs w:val="21"/>
          <w:highlight w:val="none"/>
        </w:rPr>
        <w:t>6）根据合同约定承包人应当得到的其他金额。</w:t>
      </w:r>
    </w:p>
    <w:p>
      <w:pPr>
        <w:spacing w:line="360" w:lineRule="auto"/>
        <w:ind w:firstLine="420" w:firstLineChars="200"/>
        <w:jc w:val="left"/>
        <w:rPr>
          <w:color w:val="auto"/>
          <w:szCs w:val="21"/>
          <w:highlight w:val="none"/>
        </w:rPr>
      </w:pPr>
      <w:r>
        <w:rPr>
          <w:color w:val="auto"/>
          <w:szCs w:val="21"/>
          <w:highlight w:val="none"/>
        </w:rPr>
        <w:t>（4）规费和税金差额部分。</w:t>
      </w:r>
    </w:p>
    <w:p>
      <w:pPr>
        <w:spacing w:line="360" w:lineRule="auto"/>
        <w:ind w:firstLine="420" w:firstLineChars="200"/>
        <w:jc w:val="left"/>
        <w:rPr>
          <w:color w:val="auto"/>
          <w:szCs w:val="21"/>
          <w:highlight w:val="none"/>
        </w:rPr>
      </w:pPr>
      <w:r>
        <w:rPr>
          <w:color w:val="auto"/>
          <w:szCs w:val="21"/>
          <w:highlight w:val="none"/>
        </w:rPr>
        <w:t>14.1.5 最终结清申请单的应付金额应当按下列内容梳理：</w:t>
      </w:r>
    </w:p>
    <w:p>
      <w:pPr>
        <w:spacing w:line="360" w:lineRule="auto"/>
        <w:ind w:firstLine="420" w:firstLineChars="200"/>
        <w:jc w:val="left"/>
        <w:rPr>
          <w:color w:val="auto"/>
          <w:szCs w:val="21"/>
          <w:highlight w:val="none"/>
        </w:rPr>
      </w:pPr>
      <w:r>
        <w:rPr>
          <w:color w:val="auto"/>
          <w:szCs w:val="21"/>
          <w:highlight w:val="none"/>
        </w:rPr>
        <w:t>（1）按合同约定扣留的质量保证金；</w:t>
      </w:r>
    </w:p>
    <w:p>
      <w:pPr>
        <w:spacing w:line="360" w:lineRule="auto"/>
        <w:ind w:firstLine="420" w:firstLineChars="200"/>
        <w:jc w:val="left"/>
        <w:rPr>
          <w:color w:val="auto"/>
          <w:szCs w:val="21"/>
          <w:highlight w:val="none"/>
        </w:rPr>
      </w:pPr>
      <w:r>
        <w:rPr>
          <w:color w:val="auto"/>
          <w:szCs w:val="21"/>
          <w:highlight w:val="none"/>
        </w:rPr>
        <w:t>（2）应当扣除的金额：</w:t>
      </w:r>
    </w:p>
    <w:p>
      <w:pPr>
        <w:spacing w:line="360" w:lineRule="auto"/>
        <w:ind w:firstLine="420" w:firstLineChars="200"/>
        <w:jc w:val="left"/>
        <w:rPr>
          <w:color w:val="auto"/>
          <w:szCs w:val="21"/>
          <w:highlight w:val="none"/>
        </w:rPr>
      </w:pPr>
      <w:r>
        <w:rPr>
          <w:color w:val="auto"/>
          <w:szCs w:val="21"/>
          <w:highlight w:val="none"/>
        </w:rPr>
        <w:t>1）按合同条款约定扣留的质量保证金；</w:t>
      </w:r>
    </w:p>
    <w:p>
      <w:pPr>
        <w:spacing w:line="360" w:lineRule="auto"/>
        <w:ind w:firstLine="420" w:firstLineChars="200"/>
        <w:jc w:val="left"/>
        <w:rPr>
          <w:color w:val="auto"/>
          <w:szCs w:val="21"/>
          <w:highlight w:val="none"/>
        </w:rPr>
      </w:pPr>
      <w:r>
        <w:rPr>
          <w:color w:val="auto"/>
          <w:szCs w:val="21"/>
          <w:highlight w:val="none"/>
        </w:rPr>
        <w:t>2）按合同条款约定扣除的质量保证金；</w:t>
      </w:r>
    </w:p>
    <w:p>
      <w:pPr>
        <w:spacing w:line="360" w:lineRule="auto"/>
        <w:ind w:firstLine="420" w:firstLineChars="200"/>
        <w:jc w:val="left"/>
        <w:rPr>
          <w:color w:val="auto"/>
          <w:szCs w:val="21"/>
          <w:highlight w:val="none"/>
        </w:rPr>
      </w:pPr>
      <w:r>
        <w:rPr>
          <w:color w:val="auto"/>
          <w:szCs w:val="21"/>
          <w:highlight w:val="none"/>
        </w:rPr>
        <w:t>3）根据合同条款应扣减的缺陷责任期内发生的发包人索赔金额；</w:t>
      </w:r>
    </w:p>
    <w:p>
      <w:pPr>
        <w:spacing w:line="360" w:lineRule="auto"/>
        <w:ind w:firstLine="420" w:firstLineChars="200"/>
        <w:jc w:val="left"/>
        <w:rPr>
          <w:color w:val="auto"/>
          <w:szCs w:val="21"/>
          <w:highlight w:val="none"/>
        </w:rPr>
      </w:pPr>
      <w:r>
        <w:rPr>
          <w:color w:val="auto"/>
          <w:szCs w:val="21"/>
          <w:highlight w:val="none"/>
        </w:rPr>
        <w:t>4）根据合同约定应扣减的其他金额。</w:t>
      </w:r>
    </w:p>
    <w:p>
      <w:pPr>
        <w:spacing w:line="360" w:lineRule="auto"/>
        <w:ind w:firstLine="420" w:firstLineChars="200"/>
        <w:jc w:val="left"/>
        <w:rPr>
          <w:color w:val="auto"/>
          <w:szCs w:val="21"/>
          <w:highlight w:val="none"/>
        </w:rPr>
      </w:pPr>
      <w:r>
        <w:rPr>
          <w:color w:val="auto"/>
          <w:szCs w:val="21"/>
          <w:highlight w:val="none"/>
        </w:rPr>
        <w:t>（3）应当增加的金额：</w:t>
      </w:r>
    </w:p>
    <w:p>
      <w:pPr>
        <w:spacing w:line="360" w:lineRule="auto"/>
        <w:ind w:firstLine="420" w:firstLineChars="200"/>
        <w:jc w:val="left"/>
        <w:rPr>
          <w:color w:val="auto"/>
          <w:szCs w:val="21"/>
          <w:highlight w:val="none"/>
        </w:rPr>
      </w:pPr>
      <w:r>
        <w:rPr>
          <w:color w:val="auto"/>
          <w:szCs w:val="21"/>
          <w:highlight w:val="none"/>
        </w:rPr>
        <w:t>1）已完且符合合同约定的甩项工程的价值；</w:t>
      </w:r>
    </w:p>
    <w:p>
      <w:pPr>
        <w:spacing w:line="360" w:lineRule="auto"/>
        <w:ind w:firstLine="420" w:firstLineChars="200"/>
        <w:jc w:val="left"/>
        <w:rPr>
          <w:color w:val="auto"/>
          <w:szCs w:val="21"/>
          <w:highlight w:val="none"/>
        </w:rPr>
      </w:pPr>
      <w:r>
        <w:rPr>
          <w:color w:val="auto"/>
          <w:szCs w:val="21"/>
          <w:highlight w:val="none"/>
        </w:rPr>
        <w:t>2）按合同条款约定由承包人修复的发包人原因造成的缺陷的价值；</w:t>
      </w:r>
    </w:p>
    <w:p>
      <w:pPr>
        <w:spacing w:line="400" w:lineRule="exact"/>
        <w:ind w:firstLine="420" w:firstLineChars="200"/>
        <w:jc w:val="left"/>
        <w:rPr>
          <w:color w:val="auto"/>
          <w:szCs w:val="21"/>
          <w:highlight w:val="none"/>
        </w:rPr>
      </w:pPr>
      <w:r>
        <w:rPr>
          <w:color w:val="auto"/>
          <w:szCs w:val="21"/>
          <w:highlight w:val="none"/>
        </w:rPr>
        <w:t>3）根据合同条款应增加的缺陷责任期内发生的承包人索赔金额；</w:t>
      </w:r>
    </w:p>
    <w:p>
      <w:pPr>
        <w:spacing w:line="400" w:lineRule="exact"/>
        <w:ind w:firstLine="420" w:firstLineChars="200"/>
        <w:jc w:val="left"/>
        <w:rPr>
          <w:color w:val="auto"/>
          <w:szCs w:val="21"/>
          <w:highlight w:val="none"/>
        </w:rPr>
      </w:pPr>
      <w:r>
        <w:rPr>
          <w:color w:val="auto"/>
          <w:szCs w:val="21"/>
          <w:highlight w:val="none"/>
        </w:rPr>
        <w:t>4）根据合同约定承包人应当得到的其他金额。</w:t>
      </w:r>
    </w:p>
    <w:p>
      <w:pPr>
        <w:spacing w:line="400" w:lineRule="exact"/>
        <w:ind w:firstLine="420" w:firstLineChars="200"/>
        <w:jc w:val="left"/>
        <w:rPr>
          <w:color w:val="auto"/>
          <w:szCs w:val="21"/>
          <w:highlight w:val="none"/>
        </w:rPr>
      </w:pPr>
      <w:r>
        <w:rPr>
          <w:color w:val="auto"/>
          <w:szCs w:val="21"/>
          <w:highlight w:val="none"/>
        </w:rPr>
        <w:t>最终结清应当由发包人和承包人按照“多退少补”的原则办理。</w:t>
      </w:r>
    </w:p>
    <w:p>
      <w:pPr>
        <w:spacing w:line="400" w:lineRule="exact"/>
        <w:ind w:firstLine="420" w:firstLineChars="200"/>
        <w:jc w:val="left"/>
        <w:rPr>
          <w:color w:val="auto"/>
          <w:szCs w:val="21"/>
          <w:highlight w:val="none"/>
        </w:rPr>
      </w:pPr>
      <w:r>
        <w:rPr>
          <w:color w:val="auto"/>
          <w:szCs w:val="21"/>
          <w:highlight w:val="none"/>
        </w:rPr>
        <w:t>14.1.6 竣工付款申请单和最终结清申请单应当比照进度付款申请单的格式准备，并提供相关证明材料。</w:t>
      </w:r>
    </w:p>
    <w:p>
      <w:pPr>
        <w:pStyle w:val="5"/>
        <w:spacing w:line="400" w:lineRule="exact"/>
        <w:rPr>
          <w:rFonts w:ascii="Times New Roman" w:hAnsi="Times New Roman" w:eastAsia="黑体"/>
          <w:b w:val="0"/>
          <w:bCs w:val="0"/>
          <w:color w:val="auto"/>
          <w:sz w:val="24"/>
          <w:highlight w:val="none"/>
        </w:rPr>
      </w:pPr>
      <w:bookmarkStart w:id="936" w:name="_Toc300678550"/>
      <w:r>
        <w:rPr>
          <w:rFonts w:ascii="Times New Roman" w:hAnsi="Times New Roman" w:eastAsia="黑体"/>
          <w:b w:val="0"/>
          <w:bCs w:val="0"/>
          <w:color w:val="auto"/>
          <w:sz w:val="24"/>
          <w:highlight w:val="none"/>
        </w:rPr>
        <w:t>14.2 其他约定</w:t>
      </w:r>
      <w:bookmarkEnd w:id="936"/>
    </w:p>
    <w:p>
      <w:pPr>
        <w:spacing w:line="400" w:lineRule="exact"/>
        <w:ind w:firstLine="420" w:firstLineChars="200"/>
        <w:jc w:val="left"/>
        <w:rPr>
          <w:color w:val="auto"/>
          <w:szCs w:val="21"/>
          <w:highlight w:val="none"/>
        </w:rPr>
      </w:pPr>
      <w:r>
        <w:rPr>
          <w:color w:val="auto"/>
          <w:szCs w:val="21"/>
          <w:highlight w:val="none"/>
        </w:rPr>
        <w:t>其他约定内容：</w:t>
      </w:r>
      <w:r>
        <w:rPr>
          <w:color w:val="auto"/>
          <w:szCs w:val="21"/>
          <w:highlight w:val="none"/>
          <w:u w:val="single"/>
        </w:rPr>
        <w:t xml:space="preserve">     </w:t>
      </w:r>
      <w:r>
        <w:rPr>
          <w:color w:val="auto"/>
          <w:szCs w:val="21"/>
          <w:highlight w:val="none"/>
        </w:rPr>
        <w:t>。</w:t>
      </w:r>
    </w:p>
    <w:p>
      <w:pPr>
        <w:pStyle w:val="4"/>
        <w:keepNext/>
        <w:keepLines/>
        <w:widowControl w:val="0"/>
        <w:spacing w:line="400" w:lineRule="exact"/>
        <w:jc w:val="left"/>
        <w:rPr>
          <w:rFonts w:eastAsia="黑体"/>
          <w:b w:val="0"/>
          <w:bCs w:val="0"/>
          <w:color w:val="auto"/>
          <w:sz w:val="28"/>
          <w:szCs w:val="28"/>
          <w:highlight w:val="none"/>
        </w:rPr>
      </w:pPr>
      <w:bookmarkStart w:id="937" w:name="_Toc80006249"/>
      <w:bookmarkStart w:id="938" w:name="_Toc9178566"/>
      <w:bookmarkStart w:id="939" w:name="_Toc300678551"/>
      <w:bookmarkStart w:id="940" w:name="_Toc79998425"/>
      <w:bookmarkStart w:id="941" w:name="_Toc79998869"/>
      <w:bookmarkStart w:id="942" w:name="_Toc80006139"/>
      <w:r>
        <w:rPr>
          <w:rFonts w:eastAsia="黑体"/>
          <w:b w:val="0"/>
          <w:bCs w:val="0"/>
          <w:color w:val="auto"/>
          <w:sz w:val="28"/>
          <w:szCs w:val="28"/>
          <w:highlight w:val="none"/>
        </w:rPr>
        <w:t>15.竣工验收和工程移交</w:t>
      </w:r>
      <w:bookmarkEnd w:id="937"/>
      <w:bookmarkEnd w:id="938"/>
      <w:bookmarkEnd w:id="939"/>
      <w:bookmarkEnd w:id="940"/>
      <w:bookmarkEnd w:id="941"/>
      <w:bookmarkEnd w:id="942"/>
    </w:p>
    <w:p>
      <w:pPr>
        <w:pStyle w:val="5"/>
        <w:spacing w:line="400" w:lineRule="exact"/>
        <w:rPr>
          <w:rFonts w:ascii="Times New Roman" w:hAnsi="Times New Roman" w:eastAsia="黑体"/>
          <w:b w:val="0"/>
          <w:bCs w:val="0"/>
          <w:color w:val="auto"/>
          <w:sz w:val="24"/>
          <w:highlight w:val="none"/>
        </w:rPr>
      </w:pPr>
      <w:bookmarkStart w:id="943" w:name="_Toc300678552"/>
      <w:r>
        <w:rPr>
          <w:rFonts w:ascii="Times New Roman" w:hAnsi="Times New Roman" w:eastAsia="黑体"/>
          <w:b w:val="0"/>
          <w:bCs w:val="0"/>
          <w:color w:val="auto"/>
          <w:sz w:val="24"/>
          <w:highlight w:val="none"/>
        </w:rPr>
        <w:t>15.1 竣工验收前的清理</w:t>
      </w:r>
      <w:bookmarkEnd w:id="943"/>
    </w:p>
    <w:p>
      <w:pPr>
        <w:spacing w:line="400" w:lineRule="exact"/>
        <w:ind w:firstLine="420" w:firstLineChars="200"/>
        <w:jc w:val="left"/>
        <w:rPr>
          <w:color w:val="auto"/>
          <w:szCs w:val="21"/>
          <w:highlight w:val="none"/>
        </w:rPr>
      </w:pPr>
      <w:r>
        <w:rPr>
          <w:color w:val="auto"/>
          <w:szCs w:val="21"/>
          <w:highlight w:val="none"/>
        </w:rPr>
        <w:t>15.1.1 在向监理人提交竣工验收申请报告前，承包人应当完成竣工验收前的清理工作，包括但不限于：</w:t>
      </w:r>
    </w:p>
    <w:p>
      <w:pPr>
        <w:spacing w:line="400" w:lineRule="exact"/>
        <w:ind w:firstLine="420" w:firstLineChars="200"/>
        <w:jc w:val="left"/>
        <w:rPr>
          <w:color w:val="auto"/>
          <w:szCs w:val="21"/>
          <w:highlight w:val="none"/>
        </w:rPr>
      </w:pPr>
      <w:r>
        <w:rPr>
          <w:color w:val="auto"/>
          <w:szCs w:val="21"/>
          <w:highlight w:val="none"/>
        </w:rPr>
        <w:t>（1）从永久工程内清除所有剩余材料、杂物、垃圾等等；</w:t>
      </w:r>
    </w:p>
    <w:p>
      <w:pPr>
        <w:spacing w:line="400" w:lineRule="exact"/>
        <w:ind w:firstLine="420" w:firstLineChars="200"/>
        <w:jc w:val="left"/>
        <w:rPr>
          <w:color w:val="auto"/>
          <w:szCs w:val="21"/>
          <w:highlight w:val="none"/>
        </w:rPr>
      </w:pPr>
      <w:r>
        <w:rPr>
          <w:color w:val="auto"/>
          <w:szCs w:val="21"/>
          <w:highlight w:val="none"/>
        </w:rPr>
        <w:t>（2）清洗工程的所有地面、墙面、楼面、路面等表面；</w:t>
      </w:r>
    </w:p>
    <w:p>
      <w:pPr>
        <w:spacing w:line="400" w:lineRule="exact"/>
        <w:ind w:firstLine="420" w:firstLineChars="200"/>
        <w:jc w:val="left"/>
        <w:rPr>
          <w:color w:val="auto"/>
          <w:szCs w:val="21"/>
          <w:highlight w:val="none"/>
        </w:rPr>
      </w:pPr>
      <w:r>
        <w:rPr>
          <w:color w:val="auto"/>
          <w:szCs w:val="21"/>
          <w:highlight w:val="none"/>
        </w:rPr>
        <w:t>（3）清洗和擦洗所有玻璃、磁砖、石材和所有金属面；</w:t>
      </w:r>
    </w:p>
    <w:p>
      <w:pPr>
        <w:spacing w:line="400" w:lineRule="exact"/>
        <w:ind w:firstLine="420" w:firstLineChars="200"/>
        <w:jc w:val="left"/>
        <w:rPr>
          <w:color w:val="auto"/>
          <w:szCs w:val="21"/>
          <w:highlight w:val="none"/>
        </w:rPr>
      </w:pPr>
      <w:r>
        <w:rPr>
          <w:color w:val="auto"/>
          <w:szCs w:val="21"/>
          <w:highlight w:val="none"/>
        </w:rPr>
        <w:t>（4）修缮所有损坏、清除所有污迹、替换所有需更换的材料；</w:t>
      </w:r>
    </w:p>
    <w:p>
      <w:pPr>
        <w:spacing w:line="400" w:lineRule="exact"/>
        <w:ind w:firstLine="420" w:firstLineChars="200"/>
        <w:jc w:val="left"/>
        <w:rPr>
          <w:color w:val="auto"/>
          <w:szCs w:val="21"/>
          <w:highlight w:val="none"/>
        </w:rPr>
      </w:pPr>
      <w:r>
        <w:rPr>
          <w:color w:val="auto"/>
          <w:szCs w:val="21"/>
          <w:highlight w:val="none"/>
        </w:rPr>
        <w:t>（5）所有表面完成约定的装修和装饰；</w:t>
      </w:r>
    </w:p>
    <w:p>
      <w:pPr>
        <w:spacing w:line="400" w:lineRule="exact"/>
        <w:ind w:firstLine="420" w:firstLineChars="200"/>
        <w:jc w:val="left"/>
        <w:rPr>
          <w:color w:val="auto"/>
          <w:szCs w:val="21"/>
          <w:highlight w:val="none"/>
        </w:rPr>
      </w:pPr>
      <w:r>
        <w:rPr>
          <w:color w:val="auto"/>
          <w:szCs w:val="21"/>
          <w:highlight w:val="none"/>
        </w:rPr>
        <w:t>（6）检查和调试所有的门、窗、抽屉等以确保他们开启的顺畅；</w:t>
      </w:r>
    </w:p>
    <w:p>
      <w:pPr>
        <w:spacing w:line="400" w:lineRule="exact"/>
        <w:ind w:firstLine="420" w:firstLineChars="200"/>
        <w:jc w:val="left"/>
        <w:rPr>
          <w:color w:val="auto"/>
          <w:szCs w:val="21"/>
          <w:highlight w:val="none"/>
        </w:rPr>
      </w:pPr>
      <w:r>
        <w:rPr>
          <w:color w:val="auto"/>
          <w:szCs w:val="21"/>
          <w:highlight w:val="none"/>
        </w:rPr>
        <w:t>（7）检查和调试所有的五金件并上油；</w:t>
      </w:r>
    </w:p>
    <w:p>
      <w:pPr>
        <w:spacing w:line="400" w:lineRule="exact"/>
        <w:ind w:firstLine="420" w:firstLineChars="200"/>
        <w:jc w:val="left"/>
        <w:rPr>
          <w:color w:val="auto"/>
          <w:szCs w:val="21"/>
          <w:highlight w:val="none"/>
        </w:rPr>
      </w:pPr>
      <w:r>
        <w:rPr>
          <w:color w:val="auto"/>
          <w:szCs w:val="21"/>
          <w:highlight w:val="none"/>
        </w:rPr>
        <w:t>（8）检查、测试和确保所有服务系统、设施和设备达到良好的运行状态和效果；</w:t>
      </w:r>
    </w:p>
    <w:p>
      <w:pPr>
        <w:spacing w:line="400" w:lineRule="exact"/>
        <w:ind w:firstLine="420" w:firstLineChars="200"/>
        <w:jc w:val="left"/>
        <w:rPr>
          <w:color w:val="auto"/>
          <w:szCs w:val="21"/>
          <w:highlight w:val="none"/>
        </w:rPr>
      </w:pPr>
      <w:r>
        <w:rPr>
          <w:color w:val="auto"/>
          <w:szCs w:val="21"/>
          <w:highlight w:val="none"/>
        </w:rPr>
        <w:t>（9）所有钥匙（如果有）贴上标签并固定到钥匙排上随时可以交给监理人。</w:t>
      </w:r>
    </w:p>
    <w:p>
      <w:pPr>
        <w:spacing w:line="400" w:lineRule="exact"/>
        <w:ind w:firstLine="420" w:firstLineChars="200"/>
        <w:jc w:val="left"/>
        <w:rPr>
          <w:color w:val="auto"/>
          <w:szCs w:val="21"/>
          <w:highlight w:val="none"/>
        </w:rPr>
      </w:pPr>
      <w:r>
        <w:rPr>
          <w:color w:val="auto"/>
          <w:szCs w:val="21"/>
          <w:highlight w:val="none"/>
        </w:rPr>
        <w:t>15.1.2 清理工作所需费用由承包人承担。</w:t>
      </w:r>
    </w:p>
    <w:p>
      <w:pPr>
        <w:pStyle w:val="5"/>
        <w:spacing w:line="400" w:lineRule="exact"/>
        <w:rPr>
          <w:rFonts w:ascii="Times New Roman" w:hAnsi="Times New Roman" w:eastAsia="黑体"/>
          <w:b w:val="0"/>
          <w:bCs w:val="0"/>
          <w:color w:val="auto"/>
          <w:sz w:val="24"/>
          <w:highlight w:val="none"/>
        </w:rPr>
      </w:pPr>
      <w:bookmarkStart w:id="944" w:name="_Toc300678553"/>
      <w:r>
        <w:rPr>
          <w:rFonts w:ascii="Times New Roman" w:hAnsi="Times New Roman" w:eastAsia="黑体"/>
          <w:b w:val="0"/>
          <w:bCs w:val="0"/>
          <w:color w:val="auto"/>
          <w:sz w:val="24"/>
          <w:highlight w:val="none"/>
        </w:rPr>
        <w:t>15.2 竣工验收申请报告</w:t>
      </w:r>
      <w:bookmarkEnd w:id="944"/>
    </w:p>
    <w:p>
      <w:pPr>
        <w:spacing w:line="400" w:lineRule="exact"/>
        <w:ind w:firstLine="420" w:firstLineChars="200"/>
        <w:jc w:val="left"/>
        <w:rPr>
          <w:color w:val="auto"/>
          <w:szCs w:val="21"/>
          <w:highlight w:val="none"/>
        </w:rPr>
      </w:pPr>
      <w:r>
        <w:rPr>
          <w:color w:val="auto"/>
          <w:szCs w:val="21"/>
          <w:highlight w:val="none"/>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pPr>
        <w:spacing w:line="400" w:lineRule="exact"/>
        <w:ind w:firstLine="420" w:firstLineChars="200"/>
        <w:jc w:val="left"/>
        <w:rPr>
          <w:color w:val="auto"/>
          <w:szCs w:val="21"/>
          <w:highlight w:val="none"/>
        </w:rPr>
      </w:pPr>
      <w:r>
        <w:rPr>
          <w:color w:val="auto"/>
          <w:szCs w:val="21"/>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pPr>
        <w:spacing w:line="400" w:lineRule="exact"/>
        <w:ind w:firstLine="420" w:firstLineChars="200"/>
        <w:jc w:val="left"/>
        <w:rPr>
          <w:color w:val="auto"/>
          <w:szCs w:val="21"/>
          <w:highlight w:val="none"/>
        </w:rPr>
      </w:pPr>
      <w:r>
        <w:rPr>
          <w:color w:val="auto"/>
          <w:szCs w:val="21"/>
          <w:highlight w:val="none"/>
        </w:rPr>
        <w:t>15.2.3 竣工验收申请报告应当按合同条款附上下列内容：</w:t>
      </w:r>
    </w:p>
    <w:p>
      <w:pPr>
        <w:spacing w:line="400" w:lineRule="exact"/>
        <w:ind w:firstLine="460" w:firstLineChars="200"/>
        <w:jc w:val="left"/>
        <w:rPr>
          <w:color w:val="auto"/>
          <w:spacing w:val="10"/>
          <w:szCs w:val="21"/>
          <w:highlight w:val="none"/>
        </w:rPr>
      </w:pPr>
      <w:r>
        <w:rPr>
          <w:color w:val="auto"/>
          <w:spacing w:val="10"/>
          <w:szCs w:val="21"/>
          <w:highlight w:val="none"/>
        </w:rPr>
        <w:t>（1）承包人的自行检查和评定记录文件，即除监理人同意列入缺陷责任期内完成的尾 工（甩项）工程和缺陷修补工作外，合同范围内的全部单位工程以及有关工作，包 括合同要求的试验、试运行以及检验和验收均已完成，并符合合同要求；</w:t>
      </w:r>
    </w:p>
    <w:p>
      <w:pPr>
        <w:spacing w:line="400" w:lineRule="exact"/>
        <w:ind w:firstLine="420" w:firstLineChars="200"/>
        <w:jc w:val="left"/>
        <w:rPr>
          <w:color w:val="auto"/>
          <w:szCs w:val="21"/>
          <w:highlight w:val="none"/>
        </w:rPr>
      </w:pPr>
      <w:r>
        <w:rPr>
          <w:color w:val="auto"/>
          <w:szCs w:val="21"/>
          <w:highlight w:val="none"/>
        </w:rPr>
        <w:t>（2）按合同条款约定的内容和份数整理的符合要求的竣工资料；</w:t>
      </w:r>
    </w:p>
    <w:p>
      <w:pPr>
        <w:spacing w:line="400" w:lineRule="exact"/>
        <w:ind w:firstLine="420" w:firstLineChars="200"/>
        <w:jc w:val="left"/>
        <w:rPr>
          <w:color w:val="auto"/>
          <w:szCs w:val="21"/>
          <w:highlight w:val="none"/>
        </w:rPr>
      </w:pPr>
      <w:r>
        <w:rPr>
          <w:color w:val="auto"/>
          <w:szCs w:val="21"/>
          <w:highlight w:val="none"/>
        </w:rPr>
        <w:t>（3）按监理人的要求编制了在缺陷责任期内完成的尾工（甩项）工程和缺陷修补工作清单以及相应施工计划；</w:t>
      </w:r>
    </w:p>
    <w:p>
      <w:pPr>
        <w:spacing w:line="400" w:lineRule="exact"/>
        <w:ind w:firstLine="420" w:firstLineChars="200"/>
        <w:jc w:val="left"/>
        <w:rPr>
          <w:color w:val="auto"/>
          <w:szCs w:val="21"/>
          <w:highlight w:val="none"/>
        </w:rPr>
      </w:pPr>
      <w:r>
        <w:rPr>
          <w:color w:val="auto"/>
          <w:szCs w:val="21"/>
          <w:highlight w:val="none"/>
        </w:rPr>
        <w:t>（4）监理人要求在竣工验收前应完成的其他工作的证明材料；</w:t>
      </w:r>
    </w:p>
    <w:p>
      <w:pPr>
        <w:spacing w:line="400" w:lineRule="exact"/>
        <w:ind w:firstLine="420" w:firstLineChars="200"/>
        <w:jc w:val="left"/>
        <w:rPr>
          <w:color w:val="auto"/>
          <w:szCs w:val="21"/>
          <w:highlight w:val="none"/>
        </w:rPr>
      </w:pPr>
      <w:r>
        <w:rPr>
          <w:color w:val="auto"/>
          <w:szCs w:val="21"/>
          <w:highlight w:val="none"/>
        </w:rPr>
        <w:t>（5）监理人要求提交的竣工验收资料清单；</w:t>
      </w:r>
    </w:p>
    <w:p>
      <w:pPr>
        <w:spacing w:line="400" w:lineRule="exact"/>
        <w:ind w:firstLine="420" w:firstLineChars="200"/>
        <w:jc w:val="left"/>
        <w:rPr>
          <w:color w:val="auto"/>
          <w:szCs w:val="21"/>
          <w:highlight w:val="none"/>
        </w:rPr>
      </w:pPr>
      <w:r>
        <w:rPr>
          <w:color w:val="auto"/>
          <w:szCs w:val="21"/>
          <w:highlight w:val="none"/>
        </w:rPr>
        <w:t>（6）合同条款约定的单位工程竣工验收成果和结论文件（如果有）；</w:t>
      </w:r>
    </w:p>
    <w:p>
      <w:pPr>
        <w:spacing w:line="400" w:lineRule="exact"/>
        <w:ind w:firstLine="420" w:firstLineChars="200"/>
        <w:jc w:val="left"/>
        <w:rPr>
          <w:color w:val="auto"/>
          <w:szCs w:val="21"/>
          <w:highlight w:val="none"/>
        </w:rPr>
      </w:pPr>
      <w:r>
        <w:rPr>
          <w:color w:val="auto"/>
          <w:szCs w:val="21"/>
          <w:highlight w:val="none"/>
        </w:rPr>
        <w:t>（7）合同附件约定的质量保修书（此前已经提交的不再提交）；</w:t>
      </w:r>
    </w:p>
    <w:p>
      <w:pPr>
        <w:spacing w:line="400" w:lineRule="exact"/>
        <w:ind w:firstLine="420" w:firstLineChars="200"/>
        <w:jc w:val="left"/>
        <w:rPr>
          <w:color w:val="auto"/>
          <w:szCs w:val="21"/>
          <w:highlight w:val="none"/>
        </w:rPr>
      </w:pPr>
      <w:r>
        <w:rPr>
          <w:color w:val="auto"/>
          <w:szCs w:val="21"/>
          <w:highlight w:val="none"/>
        </w:rPr>
        <w:t>（8）其他：</w:t>
      </w:r>
      <w:r>
        <w:rPr>
          <w:color w:val="auto"/>
          <w:szCs w:val="21"/>
          <w:highlight w:val="none"/>
          <w:u w:val="single"/>
        </w:rPr>
        <w:t xml:space="preserve">              </w:t>
      </w:r>
      <w:r>
        <w:rPr>
          <w:color w:val="auto"/>
          <w:szCs w:val="21"/>
          <w:highlight w:val="none"/>
        </w:rPr>
        <w:t>。</w:t>
      </w:r>
    </w:p>
    <w:p>
      <w:pPr>
        <w:pStyle w:val="5"/>
        <w:spacing w:line="400" w:lineRule="exact"/>
        <w:rPr>
          <w:rFonts w:ascii="Times New Roman" w:hAnsi="Times New Roman" w:eastAsia="黑体"/>
          <w:b w:val="0"/>
          <w:bCs w:val="0"/>
          <w:color w:val="auto"/>
          <w:sz w:val="24"/>
          <w:highlight w:val="none"/>
        </w:rPr>
      </w:pPr>
      <w:bookmarkStart w:id="945" w:name="_Toc300678554"/>
      <w:r>
        <w:rPr>
          <w:rFonts w:ascii="Times New Roman" w:hAnsi="Times New Roman" w:eastAsia="黑体"/>
          <w:b w:val="0"/>
          <w:bCs w:val="0"/>
          <w:color w:val="auto"/>
          <w:sz w:val="24"/>
          <w:highlight w:val="none"/>
        </w:rPr>
        <w:t>15.3 竣工清场</w:t>
      </w:r>
      <w:bookmarkEnd w:id="945"/>
    </w:p>
    <w:p>
      <w:pPr>
        <w:spacing w:line="400" w:lineRule="exact"/>
        <w:ind w:firstLine="420" w:firstLineChars="200"/>
        <w:jc w:val="left"/>
        <w:rPr>
          <w:color w:val="auto"/>
          <w:szCs w:val="21"/>
          <w:highlight w:val="none"/>
        </w:rPr>
      </w:pPr>
      <w:r>
        <w:rPr>
          <w:color w:val="auto"/>
          <w:szCs w:val="21"/>
          <w:highlight w:val="none"/>
        </w:rPr>
        <w:t>15.3.1 监理人颁发（出具）工程接收证书后，承包人应在56天内按以下要求对施工场地（现场）进行清理：</w:t>
      </w:r>
    </w:p>
    <w:p>
      <w:pPr>
        <w:spacing w:line="400" w:lineRule="exact"/>
        <w:ind w:firstLine="420" w:firstLineChars="200"/>
        <w:jc w:val="left"/>
        <w:rPr>
          <w:color w:val="auto"/>
          <w:szCs w:val="21"/>
          <w:highlight w:val="none"/>
        </w:rPr>
      </w:pPr>
      <w:r>
        <w:rPr>
          <w:color w:val="auto"/>
          <w:szCs w:val="21"/>
          <w:highlight w:val="none"/>
        </w:rPr>
        <w:t>（1）从施工场地（现场）清除所有杂物和垃圾等等；</w:t>
      </w:r>
    </w:p>
    <w:p>
      <w:pPr>
        <w:spacing w:line="400" w:lineRule="exact"/>
        <w:ind w:firstLine="420" w:firstLineChars="200"/>
        <w:jc w:val="left"/>
        <w:rPr>
          <w:color w:val="auto"/>
          <w:szCs w:val="21"/>
          <w:highlight w:val="none"/>
        </w:rPr>
      </w:pPr>
      <w:r>
        <w:rPr>
          <w:color w:val="auto"/>
          <w:szCs w:val="21"/>
          <w:highlight w:val="none"/>
        </w:rPr>
        <w:t>（2）从施工场地现场拆除所有的临时工程和临时设施并恢复地面原状，但经监理人批准的护坡桩、锚杆、塔吊基础和无法拆除的埋入式模板等无法拆除的临时设施除外；</w:t>
      </w:r>
    </w:p>
    <w:p>
      <w:pPr>
        <w:spacing w:line="400" w:lineRule="exact"/>
        <w:ind w:firstLine="420" w:firstLineChars="200"/>
        <w:jc w:val="left"/>
        <w:rPr>
          <w:color w:val="auto"/>
          <w:szCs w:val="21"/>
          <w:highlight w:val="none"/>
        </w:rPr>
      </w:pPr>
      <w:r>
        <w:rPr>
          <w:color w:val="auto"/>
          <w:szCs w:val="21"/>
          <w:highlight w:val="none"/>
        </w:rPr>
        <w:t>（3）撤离所有承包人施工设备和剩余材料（经监理人同意需在缺陷责任期内继续使用的除外）；</w:t>
      </w:r>
    </w:p>
    <w:p>
      <w:pPr>
        <w:spacing w:line="400" w:lineRule="exact"/>
        <w:ind w:firstLine="420" w:firstLineChars="200"/>
        <w:jc w:val="left"/>
        <w:rPr>
          <w:color w:val="auto"/>
          <w:szCs w:val="21"/>
          <w:highlight w:val="none"/>
        </w:rPr>
      </w:pPr>
      <w:r>
        <w:rPr>
          <w:color w:val="auto"/>
          <w:szCs w:val="21"/>
          <w:highlight w:val="none"/>
        </w:rPr>
        <w:t>（4）监理人指示的其他清场工作。</w:t>
      </w:r>
    </w:p>
    <w:p>
      <w:pPr>
        <w:pStyle w:val="4"/>
        <w:keepNext/>
        <w:keepLines/>
        <w:widowControl w:val="0"/>
        <w:spacing w:line="400" w:lineRule="exact"/>
        <w:jc w:val="left"/>
        <w:rPr>
          <w:rFonts w:hint="eastAsia" w:eastAsia="黑体"/>
          <w:b w:val="0"/>
          <w:bCs w:val="0"/>
          <w:color w:val="auto"/>
          <w:sz w:val="28"/>
          <w:szCs w:val="28"/>
          <w:highlight w:val="none"/>
        </w:rPr>
      </w:pPr>
      <w:bookmarkStart w:id="946" w:name="_Toc79998426"/>
      <w:bookmarkStart w:id="947" w:name="_Toc9178567"/>
      <w:bookmarkStart w:id="948" w:name="_Toc80006140"/>
      <w:bookmarkStart w:id="949" w:name="_Toc80006250"/>
      <w:bookmarkStart w:id="950" w:name="_Toc79998870"/>
      <w:bookmarkStart w:id="951" w:name="_Toc300678555"/>
      <w:r>
        <w:rPr>
          <w:rFonts w:eastAsia="黑体"/>
          <w:b w:val="0"/>
          <w:bCs w:val="0"/>
          <w:color w:val="auto"/>
          <w:sz w:val="28"/>
          <w:szCs w:val="28"/>
          <w:highlight w:val="none"/>
        </w:rPr>
        <w:t>16.</w:t>
      </w:r>
      <w:r>
        <w:rPr>
          <w:rFonts w:hint="eastAsia" w:eastAsia="黑体"/>
          <w:b w:val="0"/>
          <w:bCs w:val="0"/>
          <w:color w:val="auto"/>
          <w:sz w:val="28"/>
          <w:szCs w:val="28"/>
          <w:highlight w:val="none"/>
        </w:rPr>
        <w:t>其他</w:t>
      </w:r>
      <w:bookmarkEnd w:id="946"/>
      <w:bookmarkEnd w:id="947"/>
      <w:bookmarkEnd w:id="948"/>
      <w:bookmarkEnd w:id="949"/>
      <w:bookmarkEnd w:id="950"/>
    </w:p>
    <w:bookmarkEnd w:id="951"/>
    <w:p>
      <w:pPr>
        <w:spacing w:line="360" w:lineRule="auto"/>
        <w:ind w:firstLine="420" w:firstLineChars="200"/>
        <w:jc w:val="left"/>
        <w:rPr>
          <w:color w:val="auto"/>
          <w:szCs w:val="21"/>
          <w:highlight w:val="none"/>
        </w:rPr>
      </w:pPr>
      <w:bookmarkStart w:id="952" w:name="_Toc300678556"/>
    </w:p>
    <w:p>
      <w:pPr>
        <w:spacing w:line="360" w:lineRule="auto"/>
        <w:ind w:firstLine="420" w:firstLineChars="200"/>
        <w:jc w:val="left"/>
        <w:rPr>
          <w:color w:val="auto"/>
          <w:szCs w:val="21"/>
          <w:highlight w:val="none"/>
        </w:rPr>
      </w:pPr>
    </w:p>
    <w:p>
      <w:pPr>
        <w:pStyle w:val="3"/>
        <w:spacing w:before="0" w:after="0" w:line="360" w:lineRule="auto"/>
        <w:jc w:val="center"/>
        <w:rPr>
          <w:rFonts w:ascii="Times New Roman" w:hAnsi="Times New Roman" w:eastAsia="黑体"/>
          <w:b w:val="0"/>
          <w:bCs w:val="0"/>
          <w:color w:val="auto"/>
          <w:sz w:val="30"/>
          <w:highlight w:val="none"/>
        </w:rPr>
      </w:pPr>
      <w:bookmarkStart w:id="953" w:name="_Toc80006251"/>
      <w:bookmarkStart w:id="954" w:name="_Toc80006141"/>
      <w:r>
        <w:rPr>
          <w:rFonts w:ascii="Times New Roman" w:hAnsi="Times New Roman" w:eastAsia="黑体"/>
          <w:b w:val="0"/>
          <w:bCs w:val="0"/>
          <w:color w:val="auto"/>
          <w:sz w:val="30"/>
          <w:highlight w:val="none"/>
        </w:rPr>
        <w:t>第二节  特殊技术标准和要求</w:t>
      </w:r>
      <w:bookmarkEnd w:id="952"/>
      <w:bookmarkEnd w:id="953"/>
      <w:bookmarkEnd w:id="954"/>
    </w:p>
    <w:p>
      <w:pPr>
        <w:pStyle w:val="4"/>
        <w:keepNext/>
        <w:keepLines/>
        <w:widowControl w:val="0"/>
        <w:jc w:val="left"/>
        <w:rPr>
          <w:rFonts w:eastAsia="黑体"/>
          <w:b w:val="0"/>
          <w:bCs w:val="0"/>
          <w:color w:val="auto"/>
          <w:sz w:val="28"/>
          <w:szCs w:val="28"/>
          <w:highlight w:val="none"/>
        </w:rPr>
      </w:pPr>
      <w:bookmarkStart w:id="955" w:name="_Toc80006142"/>
      <w:bookmarkStart w:id="956" w:name="_Toc300678557"/>
      <w:bookmarkStart w:id="957" w:name="_Toc80006252"/>
      <w:bookmarkStart w:id="958" w:name="_Toc9178569"/>
      <w:r>
        <w:rPr>
          <w:rFonts w:eastAsia="黑体"/>
          <w:b w:val="0"/>
          <w:bCs w:val="0"/>
          <w:color w:val="auto"/>
          <w:sz w:val="28"/>
          <w:szCs w:val="28"/>
          <w:highlight w:val="none"/>
        </w:rPr>
        <w:t>1.材料和工程设备技术要求</w:t>
      </w:r>
      <w:bookmarkEnd w:id="955"/>
      <w:bookmarkEnd w:id="956"/>
      <w:bookmarkEnd w:id="957"/>
      <w:bookmarkEnd w:id="958"/>
    </w:p>
    <w:p>
      <w:pPr>
        <w:spacing w:line="360" w:lineRule="auto"/>
        <w:ind w:firstLine="420" w:firstLineChars="200"/>
        <w:jc w:val="left"/>
        <w:rPr>
          <w:color w:val="auto"/>
          <w:szCs w:val="21"/>
          <w:highlight w:val="none"/>
        </w:rPr>
      </w:pPr>
      <w:r>
        <w:rPr>
          <w:color w:val="auto"/>
          <w:szCs w:val="21"/>
          <w:highlight w:val="none"/>
        </w:rPr>
        <w:t>1.1 承包人自行施工范围内的部分材料和工程设备技术要求如下：</w:t>
      </w:r>
      <w:r>
        <w:rPr>
          <w:color w:val="auto"/>
          <w:szCs w:val="21"/>
          <w:highlight w:val="none"/>
          <w:u w:val="single"/>
        </w:rPr>
        <w:t xml:space="preserve">     </w:t>
      </w:r>
      <w:r>
        <w:rPr>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pPr>
        <w:spacing w:line="360" w:lineRule="auto"/>
        <w:ind w:firstLine="420" w:firstLineChars="200"/>
        <w:jc w:val="left"/>
        <w:rPr>
          <w:color w:val="auto"/>
          <w:szCs w:val="21"/>
          <w:highlight w:val="none"/>
        </w:rPr>
      </w:pPr>
      <w:r>
        <w:rPr>
          <w:color w:val="auto"/>
          <w:szCs w:val="21"/>
          <w:highlight w:val="none"/>
        </w:rPr>
        <w:t>1.2 承包人自行施工范围内的材料和工程设备选型允许的偏离如下：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6"/>
        <w:gridCol w:w="1766"/>
        <w:gridCol w:w="176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序号</w:t>
            </w:r>
          </w:p>
        </w:tc>
        <w:tc>
          <w:tcPr>
            <w:tcW w:w="21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材料和工程设备</w:t>
            </w: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名称</w:t>
            </w:r>
          </w:p>
        </w:tc>
        <w:tc>
          <w:tcPr>
            <w:tcW w:w="176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技术指标</w:t>
            </w:r>
          </w:p>
        </w:tc>
        <w:tc>
          <w:tcPr>
            <w:tcW w:w="176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允许偏离范围</w:t>
            </w:r>
          </w:p>
        </w:tc>
        <w:tc>
          <w:tcPr>
            <w:tcW w:w="14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214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214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214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214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bl>
    <w:p>
      <w:pPr>
        <w:spacing w:line="360" w:lineRule="auto"/>
        <w:ind w:firstLine="420" w:firstLineChars="200"/>
        <w:jc w:val="left"/>
        <w:rPr>
          <w:color w:val="auto"/>
          <w:szCs w:val="21"/>
          <w:highlight w:val="none"/>
        </w:rPr>
      </w:pPr>
      <w:r>
        <w:rPr>
          <w:color w:val="auto"/>
          <w:szCs w:val="21"/>
          <w:highlight w:val="none"/>
        </w:rPr>
        <w:t>1.3 本工程施工现场所用混凝土或砂浆的供应方式为</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59" w:name="_Toc80006143"/>
      <w:bookmarkStart w:id="960" w:name="_Toc80006253"/>
      <w:bookmarkStart w:id="961" w:name="_Toc300678558"/>
      <w:bookmarkStart w:id="962" w:name="_Toc9178570"/>
      <w:r>
        <w:rPr>
          <w:rFonts w:eastAsia="黑体"/>
          <w:b w:val="0"/>
          <w:bCs w:val="0"/>
          <w:color w:val="auto"/>
          <w:sz w:val="28"/>
          <w:szCs w:val="28"/>
          <w:highlight w:val="none"/>
        </w:rPr>
        <w:t>2.特殊技术要求</w:t>
      </w:r>
      <w:bookmarkEnd w:id="959"/>
      <w:bookmarkEnd w:id="960"/>
      <w:bookmarkEnd w:id="961"/>
      <w:bookmarkEnd w:id="962"/>
    </w:p>
    <w:p>
      <w:pPr>
        <w:spacing w:line="360" w:lineRule="auto"/>
        <w:ind w:firstLine="420" w:firstLineChars="200"/>
        <w:jc w:val="left"/>
        <w:rPr>
          <w:color w:val="auto"/>
          <w:szCs w:val="21"/>
          <w:highlight w:val="none"/>
        </w:rPr>
      </w:pPr>
      <w:r>
        <w:rPr>
          <w:color w:val="auto"/>
          <w:szCs w:val="21"/>
          <w:highlight w:val="none"/>
        </w:rPr>
        <w:t>2.1 除合同约定的技术要求外，本工程的特殊技术要求如下：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63" w:name="_Toc80006254"/>
      <w:bookmarkStart w:id="964" w:name="_Toc80006144"/>
      <w:bookmarkStart w:id="965" w:name="_Toc9178571"/>
      <w:bookmarkStart w:id="966" w:name="_Toc300678559"/>
      <w:r>
        <w:rPr>
          <w:rFonts w:eastAsia="黑体"/>
          <w:b w:val="0"/>
          <w:bCs w:val="0"/>
          <w:color w:val="auto"/>
          <w:sz w:val="28"/>
          <w:szCs w:val="28"/>
          <w:highlight w:val="none"/>
        </w:rPr>
        <w:t>3.新技术、新工艺和新材料</w:t>
      </w:r>
      <w:bookmarkEnd w:id="963"/>
      <w:bookmarkEnd w:id="964"/>
      <w:bookmarkEnd w:id="965"/>
      <w:bookmarkEnd w:id="966"/>
    </w:p>
    <w:p>
      <w:pPr>
        <w:spacing w:line="360" w:lineRule="auto"/>
        <w:ind w:firstLine="420" w:firstLineChars="200"/>
        <w:jc w:val="left"/>
        <w:rPr>
          <w:color w:val="auto"/>
          <w:szCs w:val="21"/>
          <w:highlight w:val="none"/>
        </w:rPr>
      </w:pPr>
      <w:r>
        <w:rPr>
          <w:color w:val="auto"/>
          <w:szCs w:val="21"/>
          <w:highlight w:val="none"/>
        </w:rPr>
        <w:t>3.1 本工程涉及的新技术、新工艺和新材料及相应使用和操作说明如下：</w:t>
      </w:r>
      <w:r>
        <w:rPr>
          <w:color w:val="auto"/>
          <w:szCs w:val="21"/>
          <w:highlight w:val="none"/>
          <w:u w:val="single"/>
        </w:rPr>
        <w:t xml:space="preserve">     </w:t>
      </w:r>
      <w:r>
        <w:rPr>
          <w:color w:val="auto"/>
          <w:szCs w:val="21"/>
          <w:highlight w:val="none"/>
        </w:rPr>
        <w:t>。</w:t>
      </w:r>
    </w:p>
    <w:p>
      <w:pPr>
        <w:pStyle w:val="4"/>
        <w:keepNext/>
        <w:keepLines/>
        <w:widowControl w:val="0"/>
        <w:jc w:val="left"/>
        <w:rPr>
          <w:rFonts w:hint="eastAsia" w:eastAsia="黑体"/>
          <w:b w:val="0"/>
          <w:bCs w:val="0"/>
          <w:color w:val="auto"/>
          <w:sz w:val="28"/>
          <w:szCs w:val="28"/>
          <w:highlight w:val="none"/>
        </w:rPr>
      </w:pPr>
      <w:bookmarkStart w:id="967" w:name="_Toc80006146"/>
      <w:bookmarkStart w:id="968" w:name="_Toc80006256"/>
      <w:r>
        <w:rPr>
          <w:rFonts w:hint="eastAsia" w:eastAsia="黑体"/>
          <w:b w:val="0"/>
          <w:bCs w:val="0"/>
          <w:color w:val="auto"/>
          <w:sz w:val="28"/>
          <w:szCs w:val="28"/>
          <w:highlight w:val="none"/>
          <w:lang w:val="en-US" w:eastAsia="zh-CN"/>
        </w:rPr>
        <w:t>4</w:t>
      </w:r>
      <w:r>
        <w:rPr>
          <w:rFonts w:hint="eastAsia" w:eastAsia="黑体"/>
          <w:b w:val="0"/>
          <w:bCs w:val="0"/>
          <w:color w:val="auto"/>
          <w:sz w:val="28"/>
          <w:szCs w:val="28"/>
          <w:highlight w:val="none"/>
        </w:rPr>
        <w:t>.其他要求</w:t>
      </w:r>
      <w:bookmarkEnd w:id="967"/>
      <w:bookmarkEnd w:id="968"/>
    </w:p>
    <w:p>
      <w:pPr>
        <w:spacing w:line="400" w:lineRule="exact"/>
        <w:rPr>
          <w:color w:val="auto"/>
          <w:highlight w:val="none"/>
        </w:rPr>
        <w:sectPr>
          <w:pgSz w:w="11907" w:h="16840"/>
          <w:pgMar w:top="1440" w:right="1440" w:bottom="1440" w:left="1440" w:header="851" w:footer="850" w:gutter="0"/>
          <w:cols w:space="720" w:num="1"/>
          <w:docGrid w:linePitch="326" w:charSpace="0"/>
        </w:sectPr>
      </w:pPr>
    </w:p>
    <w:p>
      <w:pPr>
        <w:pStyle w:val="3"/>
        <w:jc w:val="center"/>
        <w:rPr>
          <w:rFonts w:ascii="Times New Roman" w:hAnsi="Times New Roman" w:eastAsia="黑体"/>
          <w:b w:val="0"/>
          <w:bCs w:val="0"/>
          <w:color w:val="auto"/>
          <w:sz w:val="30"/>
          <w:highlight w:val="none"/>
        </w:rPr>
      </w:pPr>
      <w:bookmarkStart w:id="969" w:name="_Toc80006147"/>
      <w:bookmarkStart w:id="970" w:name="_Toc300678561"/>
      <w:bookmarkStart w:id="971" w:name="_Toc80006257"/>
      <w:r>
        <w:rPr>
          <w:rFonts w:ascii="Times New Roman" w:hAnsi="Times New Roman" w:eastAsia="黑体"/>
          <w:b w:val="0"/>
          <w:bCs w:val="0"/>
          <w:color w:val="auto"/>
          <w:sz w:val="30"/>
          <w:highlight w:val="none"/>
        </w:rPr>
        <w:t>第三节  适用的国家、行业以及地方规范、标准和规程</w:t>
      </w:r>
      <w:bookmarkEnd w:id="969"/>
      <w:bookmarkEnd w:id="970"/>
      <w:bookmarkEnd w:id="971"/>
    </w:p>
    <w:p>
      <w:pPr>
        <w:spacing w:line="360" w:lineRule="auto"/>
        <w:jc w:val="left"/>
        <w:rPr>
          <w:color w:val="auto"/>
          <w:sz w:val="18"/>
          <w:szCs w:val="18"/>
          <w:highlight w:val="none"/>
        </w:rPr>
      </w:pPr>
      <w:r>
        <w:rPr>
          <w:color w:val="auto"/>
          <w:sz w:val="18"/>
          <w:szCs w:val="18"/>
          <w:highlight w:val="none"/>
        </w:rPr>
        <w:t xml:space="preserve"> 说明：本节内容只需列出规范、标准、规程等的名称、编号等内容。由招标人根据国家、行业和地方现行标准、规范和规程等，以及项目具体情况摘录。</w:t>
      </w: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bookmarkStart w:id="972" w:name="_Toc300678562"/>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w:t>
      </w:r>
      <w:r>
        <w:rPr>
          <w:rFonts w:hint="eastAsia" w:ascii="Times New Roman" w:hAnsi="Times New Roman" w:eastAsia="黑体"/>
          <w:b w:val="0"/>
          <w:bCs w:val="0"/>
          <w:color w:val="auto"/>
          <w:sz w:val="24"/>
          <w:highlight w:val="none"/>
        </w:rPr>
        <w:t>7-1</w:t>
      </w:r>
      <w:r>
        <w:rPr>
          <w:rFonts w:ascii="Times New Roman" w:hAnsi="Times New Roman" w:eastAsia="黑体"/>
          <w:b w:val="0"/>
          <w:bCs w:val="0"/>
          <w:color w:val="auto"/>
          <w:sz w:val="24"/>
          <w:highlight w:val="none"/>
        </w:rPr>
        <w:t>：施工现场现状平面图</w:t>
      </w:r>
      <w:bookmarkEnd w:id="972"/>
    </w:p>
    <w:p>
      <w:pPr>
        <w:spacing w:line="360" w:lineRule="auto"/>
        <w:jc w:val="left"/>
        <w:rPr>
          <w:color w:val="auto"/>
          <w:sz w:val="18"/>
          <w:szCs w:val="18"/>
          <w:highlight w:val="none"/>
        </w:rPr>
      </w:pPr>
      <w:r>
        <w:rPr>
          <w:color w:val="auto"/>
          <w:sz w:val="18"/>
          <w:szCs w:val="18"/>
          <w:highlight w:val="none"/>
        </w:rPr>
        <w:t>说明：该图由招标人准备，并作为招标文件本章的组成内容提供给投标人。图中应当标示本章第一节第1.2.1项规定的内容，并做必要的文字说明。</w:t>
      </w:r>
    </w:p>
    <w:p>
      <w:pPr>
        <w:spacing w:line="360" w:lineRule="auto"/>
        <w:jc w:val="left"/>
        <w:rPr>
          <w:color w:val="auto"/>
          <w:sz w:val="18"/>
          <w:szCs w:val="18"/>
          <w:highlight w:val="none"/>
        </w:rPr>
      </w:pPr>
      <w:r>
        <w:rPr>
          <w:color w:val="auto"/>
          <w:szCs w:val="21"/>
          <w:highlight w:val="none"/>
        </w:rPr>
        <w:br w:type="page"/>
      </w:r>
    </w:p>
    <w:p>
      <w:pPr>
        <w:spacing w:line="360" w:lineRule="auto"/>
        <w:jc w:val="left"/>
        <w:rPr>
          <w:color w:val="auto"/>
          <w:sz w:val="18"/>
          <w:szCs w:val="18"/>
          <w:highlight w:val="none"/>
        </w:rPr>
      </w:pPr>
      <w:bookmarkStart w:id="973" w:name="_Toc300678563"/>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jc w:val="center"/>
        <w:rPr>
          <w:rFonts w:ascii="Times New Roman" w:hAnsi="Times New Roman" w:eastAsia="黑体"/>
          <w:b w:val="0"/>
          <w:bCs w:val="0"/>
          <w:color w:val="auto"/>
          <w:sz w:val="44"/>
          <w:szCs w:val="44"/>
          <w:highlight w:val="none"/>
        </w:rPr>
      </w:pPr>
      <w:bookmarkStart w:id="974" w:name="_Toc80006258"/>
      <w:bookmarkStart w:id="975" w:name="_Toc80006148"/>
      <w:r>
        <w:rPr>
          <w:rFonts w:ascii="Times New Roman" w:hAnsi="Times New Roman" w:eastAsia="黑体"/>
          <w:b w:val="0"/>
          <w:bCs w:val="0"/>
          <w:color w:val="auto"/>
          <w:sz w:val="44"/>
          <w:szCs w:val="44"/>
          <w:highlight w:val="none"/>
        </w:rPr>
        <w:t>第  四  卷</w:t>
      </w:r>
      <w:bookmarkEnd w:id="973"/>
      <w:bookmarkEnd w:id="974"/>
      <w:bookmarkEnd w:id="975"/>
    </w:p>
    <w:p>
      <w:pPr>
        <w:spacing w:line="360" w:lineRule="auto"/>
        <w:jc w:val="left"/>
        <w:rPr>
          <w:color w:val="auto"/>
          <w:sz w:val="18"/>
          <w:szCs w:val="18"/>
          <w:highlight w:val="none"/>
        </w:rPr>
      </w:pPr>
      <w:r>
        <w:rPr>
          <w:rFonts w:eastAsia="黑体"/>
          <w:bCs/>
          <w:color w:val="auto"/>
          <w:sz w:val="44"/>
          <w:szCs w:val="44"/>
          <w:highlight w:val="none"/>
        </w:rPr>
        <w:br w:type="page"/>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spacing w:before="0" w:after="0"/>
        <w:jc w:val="center"/>
        <w:rPr>
          <w:rFonts w:hint="eastAsia" w:ascii="Times New Roman" w:hAnsi="Times New Roman" w:eastAsia="黑体"/>
          <w:b w:val="0"/>
          <w:bCs w:val="0"/>
          <w:color w:val="auto"/>
          <w:highlight w:val="none"/>
        </w:rPr>
      </w:pPr>
      <w:bookmarkStart w:id="976" w:name="_Toc80006149"/>
      <w:bookmarkStart w:id="977" w:name="_Toc300678564"/>
      <w:bookmarkStart w:id="978" w:name="_Toc80006259"/>
      <w:r>
        <w:rPr>
          <w:rFonts w:ascii="Times New Roman" w:hAnsi="Times New Roman" w:eastAsia="黑体"/>
          <w:b w:val="0"/>
          <w:bCs w:val="0"/>
          <w:color w:val="auto"/>
          <w:highlight w:val="none"/>
        </w:rPr>
        <w:t>第八章  投标文件格式</w:t>
      </w:r>
      <w:bookmarkEnd w:id="976"/>
      <w:bookmarkEnd w:id="977"/>
      <w:bookmarkEnd w:id="978"/>
    </w:p>
    <w:p>
      <w:pPr>
        <w:rPr>
          <w:rFonts w:hint="eastAsia"/>
          <w:color w:val="auto"/>
          <w:highlight w:val="none"/>
        </w:rPr>
      </w:pPr>
    </w:p>
    <w:p>
      <w:pPr>
        <w:rPr>
          <w:color w:val="auto"/>
          <w:highlight w:val="none"/>
        </w:rPr>
      </w:pPr>
    </w:p>
    <w:p>
      <w:pPr>
        <w:jc w:val="left"/>
        <w:rPr>
          <w:color w:val="auto"/>
          <w:sz w:val="18"/>
          <w:szCs w:val="18"/>
          <w:highlight w:val="none"/>
        </w:rPr>
      </w:pPr>
      <w:r>
        <w:rPr>
          <w:color w:val="auto"/>
          <w:sz w:val="18"/>
          <w:szCs w:val="18"/>
          <w:highlight w:val="none"/>
        </w:rPr>
        <w:br w:type="page"/>
      </w: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rFonts w:eastAsia="黑体"/>
          <w:bCs/>
          <w:color w:val="auto"/>
          <w:szCs w:val="21"/>
          <w:highlight w:val="none"/>
        </w:rPr>
      </w:pPr>
    </w:p>
    <w:p>
      <w:pPr>
        <w:rPr>
          <w:color w:val="auto"/>
          <w:highlight w:val="none"/>
        </w:rPr>
      </w:pPr>
      <w:bookmarkStart w:id="979" w:name="_Toc300678565"/>
    </w:p>
    <w:p>
      <w:pPr>
        <w:pStyle w:val="2"/>
        <w:jc w:val="center"/>
        <w:rPr>
          <w:rFonts w:ascii="Times New Roman" w:hAnsi="Times New Roman" w:eastAsia="黑体"/>
          <w:b w:val="0"/>
          <w:color w:val="auto"/>
          <w:highlight w:val="none"/>
        </w:rPr>
      </w:pPr>
      <w:bookmarkStart w:id="980" w:name="_Toc80006150"/>
      <w:bookmarkStart w:id="981" w:name="_Toc80006260"/>
      <w:r>
        <w:rPr>
          <w:rFonts w:ascii="Times New Roman" w:hAnsi="Times New Roman" w:eastAsia="黑体"/>
          <w:b w:val="0"/>
          <w:color w:val="auto"/>
          <w:highlight w:val="none"/>
        </w:rPr>
        <w:t>第一</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投标函</w:t>
      </w:r>
      <w:r>
        <w:rPr>
          <w:rFonts w:hint="eastAsia" w:ascii="Times New Roman" w:hAnsi="Times New Roman" w:eastAsia="黑体"/>
          <w:b w:val="0"/>
          <w:color w:val="auto"/>
          <w:highlight w:val="none"/>
          <w:lang w:val="en-US" w:eastAsia="zh-CN"/>
        </w:rPr>
        <w:t>及附录</w:t>
      </w:r>
      <w:r>
        <w:rPr>
          <w:rFonts w:ascii="Times New Roman" w:hAnsi="Times New Roman" w:eastAsia="黑体"/>
          <w:b w:val="0"/>
          <w:color w:val="auto"/>
          <w:highlight w:val="none"/>
        </w:rPr>
        <w:t>格式</w:t>
      </w:r>
      <w:bookmarkEnd w:id="979"/>
      <w:bookmarkEnd w:id="980"/>
      <w:bookmarkEnd w:id="981"/>
    </w:p>
    <w:p>
      <w:pPr>
        <w:spacing w:line="360" w:lineRule="auto"/>
        <w:jc w:val="left"/>
        <w:rPr>
          <w:color w:val="auto"/>
          <w:sz w:val="18"/>
          <w:szCs w:val="18"/>
          <w:highlight w:val="none"/>
        </w:rPr>
      </w:pPr>
    </w:p>
    <w:p>
      <w:pPr>
        <w:widowControl/>
        <w:rPr>
          <w:rFonts w:eastAsia="黑体"/>
          <w:color w:val="auto"/>
          <w:kern w:val="0"/>
          <w:sz w:val="28"/>
          <w:szCs w:val="21"/>
          <w:highlight w:val="none"/>
        </w:rPr>
      </w:pPr>
    </w:p>
    <w:p>
      <w:pPr>
        <w:widowControl/>
        <w:rPr>
          <w:rFonts w:eastAsia="黑体"/>
          <w:color w:val="auto"/>
          <w:kern w:val="0"/>
          <w:sz w:val="28"/>
          <w:szCs w:val="21"/>
          <w:highlight w:val="none"/>
        </w:rPr>
      </w:pPr>
      <w:r>
        <w:rPr>
          <w:rFonts w:eastAsia="黑体"/>
          <w:color w:val="auto"/>
          <w:kern w:val="0"/>
          <w:sz w:val="28"/>
          <w:szCs w:val="21"/>
          <w:highlight w:val="none"/>
        </w:rPr>
        <w:br w:type="page"/>
      </w:r>
    </w:p>
    <w:p>
      <w:pPr>
        <w:widowControl/>
        <w:rPr>
          <w:rFonts w:eastAsia="黑体"/>
          <w:color w:val="auto"/>
          <w:kern w:val="0"/>
          <w:sz w:val="28"/>
          <w:szCs w:val="21"/>
          <w:highlight w:val="none"/>
        </w:rPr>
      </w:pPr>
    </w:p>
    <w:p>
      <w:pPr>
        <w:widowControl/>
        <w:jc w:val="center"/>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kern w:val="0"/>
          <w:sz w:val="28"/>
          <w:szCs w:val="28"/>
          <w:highlight w:val="none"/>
        </w:rPr>
        <w:t>（项目名称）施工招标</w:t>
      </w:r>
    </w:p>
    <w:p>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pPr>
        <w:widowControl/>
        <w:jc w:val="center"/>
        <w:rPr>
          <w:rFonts w:eastAsia="黑体"/>
          <w:color w:val="auto"/>
          <w:kern w:val="0"/>
          <w:sz w:val="32"/>
          <w:szCs w:val="32"/>
          <w:highlight w:val="none"/>
        </w:rPr>
      </w:pPr>
      <w:r>
        <w:rPr>
          <w:rFonts w:eastAsia="黑体"/>
          <w:color w:val="auto"/>
          <w:kern w:val="0"/>
          <w:sz w:val="32"/>
          <w:szCs w:val="32"/>
          <w:highlight w:val="none"/>
        </w:rPr>
        <w:t>（投标函</w:t>
      </w:r>
      <w:r>
        <w:rPr>
          <w:rFonts w:hint="eastAsia" w:eastAsia="黑体"/>
          <w:color w:val="auto"/>
          <w:kern w:val="0"/>
          <w:sz w:val="32"/>
          <w:szCs w:val="32"/>
          <w:highlight w:val="none"/>
          <w:lang w:val="en-US" w:eastAsia="zh-CN"/>
        </w:rPr>
        <w:t>及附录</w:t>
      </w:r>
      <w:r>
        <w:rPr>
          <w:rFonts w:eastAsia="黑体"/>
          <w:color w:val="auto"/>
          <w:kern w:val="0"/>
          <w:sz w:val="32"/>
          <w:szCs w:val="32"/>
          <w:highlight w:val="none"/>
        </w:rPr>
        <w:t>）</w:t>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widowControl/>
        <w:rPr>
          <w:color w:val="auto"/>
          <w:szCs w:val="21"/>
          <w:highlight w:val="none"/>
        </w:rPr>
      </w:pPr>
      <w:r>
        <w:rPr>
          <w:color w:val="auto"/>
          <w:kern w:val="0"/>
          <w:highlight w:val="none"/>
        </w:rPr>
        <w:br w:type="page"/>
      </w:r>
      <w:bookmarkStart w:id="982" w:name="_Toc300678566"/>
    </w:p>
    <w:p>
      <w:pPr>
        <w:pStyle w:val="3"/>
        <w:spacing w:before="0" w:after="0" w:line="240" w:lineRule="auto"/>
        <w:jc w:val="center"/>
        <w:rPr>
          <w:rFonts w:ascii="Times New Roman" w:hAnsi="Times New Roman" w:eastAsia="黑体"/>
          <w:b w:val="0"/>
          <w:bCs w:val="0"/>
          <w:color w:val="auto"/>
          <w:sz w:val="36"/>
          <w:szCs w:val="36"/>
          <w:highlight w:val="none"/>
        </w:rPr>
      </w:pPr>
      <w:bookmarkStart w:id="983" w:name="_Toc9178578"/>
      <w:bookmarkStart w:id="984" w:name="_Toc80006261"/>
      <w:bookmarkStart w:id="985" w:name="_Toc80006151"/>
      <w:r>
        <w:rPr>
          <w:rFonts w:ascii="Times New Roman" w:hAnsi="Times New Roman" w:eastAsia="黑体"/>
          <w:b w:val="0"/>
          <w:bCs w:val="0"/>
          <w:color w:val="auto"/>
          <w:sz w:val="36"/>
          <w:szCs w:val="36"/>
          <w:highlight w:val="none"/>
        </w:rPr>
        <w:t>目    录</w:t>
      </w:r>
      <w:bookmarkEnd w:id="982"/>
      <w:bookmarkEnd w:id="983"/>
      <w:bookmarkEnd w:id="984"/>
      <w:bookmarkEnd w:id="985"/>
    </w:p>
    <w:p>
      <w:pPr>
        <w:widowControl/>
        <w:rPr>
          <w:color w:val="auto"/>
          <w:szCs w:val="21"/>
          <w:highlight w:val="none"/>
        </w:rPr>
      </w:pP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"_Toc300678567"</w:instrText>
      </w:r>
      <w:r>
        <w:rPr>
          <w:color w:val="auto"/>
          <w:highlight w:val="none"/>
        </w:rPr>
        <w:fldChar w:fldCharType="separate"/>
      </w:r>
      <w:r>
        <w:rPr>
          <w:rStyle w:val="46"/>
          <w:rFonts w:hint="eastAsia"/>
          <w:color w:val="auto"/>
          <w:highlight w:val="none"/>
          <w:u w:val="none"/>
        </w:rPr>
        <w:t>1.</w:t>
      </w:r>
      <w:r>
        <w:rPr>
          <w:rStyle w:val="46"/>
          <w:color w:val="auto"/>
          <w:highlight w:val="none"/>
          <w:u w:val="none"/>
        </w:rPr>
        <w:t>投标函及投标函附录</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"_Toc300678568"</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1</w:t>
      </w:r>
      <w:r>
        <w:rPr>
          <w:rStyle w:val="46"/>
          <w:color w:val="auto"/>
          <w:highlight w:val="none"/>
          <w:u w:val="none"/>
        </w:rPr>
        <w:t>）投标函</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"_Toc300678569"</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2</w:t>
      </w:r>
      <w:r>
        <w:rPr>
          <w:rStyle w:val="46"/>
          <w:color w:val="auto"/>
          <w:highlight w:val="none"/>
          <w:u w:val="none"/>
        </w:rPr>
        <w:t>）投标函附录</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"_Toc300678570"</w:instrText>
      </w:r>
      <w:r>
        <w:rPr>
          <w:color w:val="auto"/>
          <w:highlight w:val="none"/>
        </w:rPr>
        <w:fldChar w:fldCharType="separate"/>
      </w:r>
      <w:r>
        <w:rPr>
          <w:rStyle w:val="46"/>
          <w:rFonts w:hint="eastAsia"/>
          <w:color w:val="auto"/>
          <w:highlight w:val="none"/>
          <w:u w:val="none"/>
        </w:rPr>
        <w:t>2.</w:t>
      </w:r>
      <w:r>
        <w:rPr>
          <w:rStyle w:val="46"/>
          <w:color w:val="auto"/>
          <w:highlight w:val="none"/>
          <w:u w:val="none"/>
        </w:rPr>
        <w:t>法定代表人身份证明</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Style w:val="46"/>
          <w:rFonts w:hint="eastAsia"/>
          <w:color w:val="auto"/>
          <w:highlight w:val="none"/>
          <w:u w:val="none"/>
        </w:rPr>
        <w:t>3.</w:t>
      </w:r>
      <w:r>
        <w:rPr>
          <w:rStyle w:val="46"/>
          <w:color w:val="auto"/>
          <w:highlight w:val="none"/>
          <w:u w:val="none"/>
        </w:rPr>
        <w:t>授权委托书</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46"/>
          <w:rFonts w:hint="eastAsia"/>
          <w:color w:val="auto"/>
          <w:highlight w:val="none"/>
          <w:u w:val="none"/>
        </w:rPr>
        <w:t>4.</w:t>
      </w:r>
      <w:r>
        <w:rPr>
          <w:rStyle w:val="46"/>
          <w:rFonts w:hint="eastAsia"/>
          <w:color w:val="auto"/>
          <w:highlight w:val="none"/>
          <w:u w:val="none"/>
          <w:lang w:val="en-US" w:eastAsia="zh-CN"/>
        </w:rPr>
        <w:t>共同投标</w:t>
      </w:r>
      <w:r>
        <w:rPr>
          <w:rStyle w:val="46"/>
          <w:color w:val="auto"/>
          <w:highlight w:val="none"/>
          <w:u w:val="none"/>
        </w:rPr>
        <w:t>协议</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"_Toc300678573"</w:instrText>
      </w:r>
      <w:r>
        <w:rPr>
          <w:color w:val="auto"/>
          <w:highlight w:val="none"/>
        </w:rPr>
        <w:fldChar w:fldCharType="separate"/>
      </w:r>
      <w:r>
        <w:rPr>
          <w:rStyle w:val="46"/>
          <w:rFonts w:hint="eastAsia"/>
          <w:color w:val="auto"/>
          <w:highlight w:val="none"/>
          <w:u w:val="none"/>
        </w:rPr>
        <w:t>5.</w:t>
      </w:r>
      <w:r>
        <w:rPr>
          <w:rStyle w:val="46"/>
          <w:color w:val="auto"/>
          <w:highlight w:val="none"/>
          <w:u w:val="none"/>
        </w:rPr>
        <w:t>投标保证</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"_Toc300678574"</w:instrText>
      </w:r>
      <w:r>
        <w:rPr>
          <w:color w:val="auto"/>
          <w:highlight w:val="none"/>
        </w:rPr>
        <w:fldChar w:fldCharType="separate"/>
      </w:r>
      <w:r>
        <w:rPr>
          <w:rStyle w:val="46"/>
          <w:rFonts w:hint="eastAsia"/>
          <w:color w:val="auto"/>
          <w:highlight w:val="none"/>
          <w:u w:val="none"/>
        </w:rPr>
        <w:t>6.</w:t>
      </w:r>
      <w:r>
        <w:rPr>
          <w:rStyle w:val="46"/>
          <w:color w:val="auto"/>
          <w:highlight w:val="none"/>
          <w:u w:val="none"/>
        </w:rPr>
        <w:t>项目管理机构</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"_Toc300678575"</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1</w:t>
      </w:r>
      <w:r>
        <w:rPr>
          <w:rStyle w:val="46"/>
          <w:color w:val="auto"/>
          <w:highlight w:val="none"/>
          <w:u w:val="none"/>
        </w:rPr>
        <w:t>）</w:t>
      </w:r>
      <w:bookmarkStart w:id="986" w:name="_Hlt11160712"/>
      <w:bookmarkEnd w:id="986"/>
      <w:bookmarkStart w:id="987" w:name="_Hlt11160713"/>
      <w:bookmarkEnd w:id="987"/>
      <w:r>
        <w:rPr>
          <w:rStyle w:val="46"/>
          <w:color w:val="auto"/>
          <w:highlight w:val="none"/>
          <w:u w:val="none"/>
        </w:rPr>
        <w:t>项目管理机构组成表</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"_Toc300678576"</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2</w:t>
      </w:r>
      <w:r>
        <w:rPr>
          <w:rStyle w:val="46"/>
          <w:color w:val="auto"/>
          <w:highlight w:val="none"/>
          <w:u w:val="none"/>
        </w:rPr>
        <w:t>）主要人员简历表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"_Toc300678577"</w:instrText>
      </w:r>
      <w:r>
        <w:rPr>
          <w:color w:val="auto"/>
          <w:highlight w:val="none"/>
        </w:rPr>
        <w:fldChar w:fldCharType="separate"/>
      </w:r>
      <w:r>
        <w:rPr>
          <w:rStyle w:val="46"/>
          <w:rFonts w:hint="eastAsia"/>
          <w:color w:val="auto"/>
          <w:highlight w:val="none"/>
          <w:u w:val="none"/>
        </w:rPr>
        <w:t>①拟任</w:t>
      </w:r>
      <w:r>
        <w:rPr>
          <w:rStyle w:val="46"/>
          <w:color w:val="auto"/>
          <w:highlight w:val="none"/>
          <w:u w:val="none"/>
        </w:rPr>
        <w:t>项目经理简历表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"_Toc300678578"</w:instrText>
      </w:r>
      <w:r>
        <w:rPr>
          <w:color w:val="auto"/>
          <w:highlight w:val="none"/>
        </w:rPr>
        <w:fldChar w:fldCharType="separate"/>
      </w:r>
      <w:r>
        <w:rPr>
          <w:rStyle w:val="46"/>
          <w:rFonts w:hint="eastAsia"/>
          <w:color w:val="auto"/>
          <w:highlight w:val="none"/>
          <w:u w:val="none"/>
        </w:rPr>
        <w:t>②拟任</w:t>
      </w:r>
      <w:r>
        <w:rPr>
          <w:rStyle w:val="46"/>
          <w:color w:val="auto"/>
          <w:highlight w:val="none"/>
          <w:u w:val="none"/>
        </w:rPr>
        <w:t>技术负责人简历表</w:t>
      </w:r>
      <w:r>
        <w:rPr>
          <w:color w:val="auto"/>
          <w:highlight w:val="none"/>
        </w:rPr>
        <w:fldChar w:fldCharType="end"/>
      </w:r>
    </w:p>
    <w:p>
      <w:pPr>
        <w:spacing w:line="276" w:lineRule="auto"/>
        <w:ind w:firstLine="840" w:firstLineChars="400"/>
        <w:rPr>
          <w:rFonts w:hint="eastAsia"/>
          <w:color w:val="auto"/>
          <w:highlight w:val="none"/>
        </w:rPr>
      </w:pPr>
      <w:r>
        <w:rPr>
          <w:rFonts w:hint="eastAsia"/>
          <w:color w:val="auto"/>
          <w:highlight w:val="none"/>
        </w:rPr>
        <w:t>（3）</w:t>
      </w:r>
      <w:r>
        <w:rPr>
          <w:color w:val="auto"/>
          <w:highlight w:val="none"/>
        </w:rPr>
        <w:t>项目管理机构自评表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"_Toc300678579"</w:instrText>
      </w:r>
      <w:r>
        <w:rPr>
          <w:color w:val="auto"/>
          <w:highlight w:val="none"/>
        </w:rPr>
        <w:fldChar w:fldCharType="separate"/>
      </w:r>
      <w:r>
        <w:rPr>
          <w:rStyle w:val="46"/>
          <w:rFonts w:hint="eastAsia"/>
          <w:color w:val="auto"/>
          <w:highlight w:val="none"/>
          <w:u w:val="none"/>
        </w:rPr>
        <w:t>7.</w:t>
      </w:r>
      <w:r>
        <w:rPr>
          <w:rStyle w:val="46"/>
          <w:color w:val="auto"/>
          <w:highlight w:val="none"/>
          <w:u w:val="none"/>
        </w:rPr>
        <w:t>拟分包计划表</w:t>
      </w:r>
      <w:r>
        <w:rPr>
          <w:color w:val="auto"/>
          <w:highlight w:val="none"/>
        </w:rPr>
        <w:fldChar w:fldCharType="end"/>
      </w:r>
      <w:r>
        <w:rPr>
          <w:color w:val="auto"/>
          <w:highlight w:val="none"/>
        </w:rPr>
        <w:t>（如有）</w:t>
      </w:r>
    </w:p>
    <w:p>
      <w:pPr>
        <w:spacing w:line="276" w:lineRule="auto"/>
        <w:ind w:firstLine="420" w:firstLineChars="2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"_Toc300678580"</w:instrText>
      </w:r>
      <w:r>
        <w:rPr>
          <w:color w:val="auto"/>
          <w:highlight w:val="none"/>
        </w:rPr>
        <w:fldChar w:fldCharType="separate"/>
      </w:r>
      <w:r>
        <w:rPr>
          <w:rStyle w:val="46"/>
          <w:rFonts w:hint="eastAsia"/>
          <w:color w:val="auto"/>
          <w:highlight w:val="none"/>
          <w:u w:val="none"/>
        </w:rPr>
        <w:t>8.</w:t>
      </w:r>
      <w:r>
        <w:rPr>
          <w:rStyle w:val="46"/>
          <w:color w:val="auto"/>
          <w:highlight w:val="none"/>
          <w:u w:val="none"/>
        </w:rPr>
        <w:t>资格审查</w:t>
      </w:r>
      <w:r>
        <w:rPr>
          <w:rStyle w:val="46"/>
          <w:rFonts w:hint="eastAsia"/>
          <w:color w:val="auto"/>
          <w:highlight w:val="none"/>
          <w:u w:val="none"/>
        </w:rPr>
        <w:t>、信用等</w:t>
      </w:r>
      <w:r>
        <w:rPr>
          <w:rStyle w:val="46"/>
          <w:color w:val="auto"/>
          <w:highlight w:val="none"/>
          <w:u w:val="none"/>
        </w:rPr>
        <w:t>资料</w:t>
      </w:r>
      <w:r>
        <w:rPr>
          <w:color w:val="auto"/>
          <w:highlight w:val="none"/>
        </w:rPr>
        <w:fldChar w:fldCharType="end"/>
      </w:r>
    </w:p>
    <w:p>
      <w:pPr>
        <w:spacing w:line="276" w:lineRule="auto"/>
        <w:ind w:firstLine="1050" w:firstLineChars="5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"_Toc300678581"</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1</w:t>
      </w:r>
      <w:r>
        <w:rPr>
          <w:rStyle w:val="46"/>
          <w:color w:val="auto"/>
          <w:highlight w:val="none"/>
          <w:u w:val="none"/>
        </w:rPr>
        <w:t>）投标人基本情况表</w:t>
      </w:r>
      <w:r>
        <w:rPr>
          <w:color w:val="auto"/>
          <w:highlight w:val="none"/>
        </w:rPr>
        <w:fldChar w:fldCharType="end"/>
      </w:r>
    </w:p>
    <w:p>
      <w:pPr>
        <w:spacing w:line="276" w:lineRule="auto"/>
        <w:ind w:firstLine="1050" w:firstLineChars="5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"_Toc300678582"</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2</w:t>
      </w:r>
      <w:r>
        <w:rPr>
          <w:rStyle w:val="46"/>
          <w:color w:val="auto"/>
          <w:highlight w:val="none"/>
          <w:u w:val="none"/>
        </w:rPr>
        <w:t>）</w:t>
      </w:r>
      <w:r>
        <w:rPr>
          <w:color w:val="auto"/>
          <w:highlight w:val="none"/>
        </w:rPr>
        <w:fldChar w:fldCharType="end"/>
      </w:r>
      <w:r>
        <w:rPr>
          <w:rStyle w:val="46"/>
          <w:color w:val="auto"/>
          <w:highlight w:val="none"/>
          <w:u w:val="none"/>
        </w:rPr>
        <w:t>投标人证件复印件</w:t>
      </w:r>
    </w:p>
    <w:p>
      <w:pPr>
        <w:spacing w:line="276" w:lineRule="auto"/>
        <w:ind w:firstLine="1050" w:firstLineChars="5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"_Toc300678584"</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3</w:t>
      </w:r>
      <w:r>
        <w:rPr>
          <w:rStyle w:val="46"/>
          <w:color w:val="auto"/>
          <w:highlight w:val="none"/>
          <w:u w:val="none"/>
        </w:rPr>
        <w:t>）</w:t>
      </w:r>
      <w:r>
        <w:rPr>
          <w:color w:val="auto"/>
          <w:highlight w:val="none"/>
        </w:rPr>
        <w:fldChar w:fldCharType="end"/>
      </w:r>
      <w:r>
        <w:rPr>
          <w:rStyle w:val="46"/>
          <w:color w:val="auto"/>
          <w:highlight w:val="none"/>
          <w:u w:val="none"/>
        </w:rPr>
        <w:t>近年完成的类似工程业绩情况表</w:t>
      </w:r>
    </w:p>
    <w:p>
      <w:pPr>
        <w:spacing w:line="276" w:lineRule="auto"/>
        <w:ind w:firstLine="1050" w:firstLineChars="500"/>
        <w:rPr>
          <w:rStyle w:val="46"/>
          <w:color w:val="auto"/>
          <w:highlight w:val="none"/>
          <w:u w:val="none"/>
        </w:rPr>
      </w:pPr>
      <w:r>
        <w:rPr>
          <w:rStyle w:val="46"/>
          <w:color w:val="auto"/>
          <w:highlight w:val="none"/>
          <w:u w:val="none"/>
        </w:rPr>
        <w:t>（4）</w:t>
      </w:r>
      <w:r>
        <w:rPr>
          <w:rStyle w:val="46"/>
          <w:rFonts w:hint="eastAsia"/>
          <w:color w:val="auto"/>
          <w:highlight w:val="none"/>
          <w:u w:val="none"/>
        </w:rPr>
        <w:t>投标人奖项情况</w:t>
      </w:r>
    </w:p>
    <w:p>
      <w:pPr>
        <w:spacing w:line="276" w:lineRule="auto"/>
        <w:ind w:firstLine="1050" w:firstLineChars="500"/>
        <w:rPr>
          <w:rStyle w:val="46"/>
          <w:color w:val="auto"/>
          <w:highlight w:val="none"/>
          <w:u w:val="none"/>
        </w:rPr>
      </w:pPr>
      <w:r>
        <w:rPr>
          <w:rStyle w:val="46"/>
          <w:color w:val="auto"/>
          <w:highlight w:val="none"/>
          <w:u w:val="none"/>
        </w:rPr>
        <w:t>（5）投标人标准化工地情况</w:t>
      </w:r>
    </w:p>
    <w:p>
      <w:pPr>
        <w:spacing w:line="276" w:lineRule="auto"/>
        <w:ind w:firstLine="1050" w:firstLineChars="5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"_Toc300678586"</w:instrText>
      </w:r>
      <w:r>
        <w:rPr>
          <w:color w:val="auto"/>
          <w:highlight w:val="none"/>
        </w:rPr>
        <w:fldChar w:fldCharType="separate"/>
      </w:r>
      <w:r>
        <w:rPr>
          <w:rStyle w:val="46"/>
          <w:color w:val="auto"/>
          <w:highlight w:val="none"/>
          <w:u w:val="none"/>
        </w:rPr>
        <w:t>（6）</w:t>
      </w:r>
      <w:r>
        <w:rPr>
          <w:color w:val="auto"/>
          <w:highlight w:val="none"/>
        </w:rPr>
        <w:fldChar w:fldCharType="end"/>
      </w:r>
      <w:r>
        <w:rPr>
          <w:rStyle w:val="46"/>
          <w:color w:val="auto"/>
          <w:highlight w:val="none"/>
          <w:u w:val="none"/>
        </w:rPr>
        <w:t>投标人信用评价情况</w:t>
      </w:r>
    </w:p>
    <w:p>
      <w:pPr>
        <w:spacing w:line="276" w:lineRule="auto"/>
        <w:ind w:firstLine="1050" w:firstLineChars="500"/>
        <w:rPr>
          <w:rStyle w:val="46"/>
          <w:color w:val="auto"/>
          <w:highlight w:val="none"/>
          <w:u w:val="none"/>
        </w:rPr>
      </w:pPr>
      <w:r>
        <w:rPr>
          <w:rStyle w:val="46"/>
          <w:color w:val="auto"/>
          <w:highlight w:val="none"/>
          <w:u w:val="none"/>
        </w:rPr>
        <w:t>（7）投标人</w:t>
      </w:r>
      <w:r>
        <w:rPr>
          <w:rStyle w:val="46"/>
          <w:rFonts w:hint="eastAsia" w:ascii="Times New Roman" w:hAnsi="Times New Roman" w:eastAsia="宋体" w:cs="Times New Roman"/>
          <w:color w:val="auto"/>
          <w:highlight w:val="none"/>
          <w:u w:val="none"/>
        </w:rPr>
        <w:t>施工项目季度考评综合优良率</w:t>
      </w:r>
      <w:r>
        <w:rPr>
          <w:rStyle w:val="46"/>
          <w:rFonts w:ascii="Times New Roman" w:hAnsi="Times New Roman" w:eastAsia="宋体" w:cs="Times New Roman"/>
          <w:color w:val="auto"/>
          <w:highlight w:val="none"/>
          <w:u w:val="none"/>
        </w:rPr>
        <w:t>情况</w:t>
      </w:r>
    </w:p>
    <w:p>
      <w:pPr>
        <w:spacing w:line="276" w:lineRule="auto"/>
        <w:ind w:firstLine="1050" w:firstLineChars="500"/>
        <w:rPr>
          <w:rStyle w:val="46"/>
          <w:color w:val="auto"/>
          <w:highlight w:val="none"/>
          <w:u w:val="none"/>
        </w:rPr>
      </w:pPr>
      <w:r>
        <w:rPr>
          <w:rStyle w:val="46"/>
          <w:color w:val="auto"/>
          <w:highlight w:val="none"/>
          <w:u w:val="none"/>
        </w:rPr>
        <w:t>（8）拟任</w:t>
      </w:r>
      <w:r>
        <w:rPr>
          <w:rStyle w:val="46"/>
          <w:rFonts w:hint="eastAsia"/>
          <w:color w:val="auto"/>
          <w:highlight w:val="none"/>
          <w:u w:val="none"/>
        </w:rPr>
        <w:t>项目经理</w:t>
      </w:r>
      <w:r>
        <w:rPr>
          <w:rStyle w:val="46"/>
          <w:rFonts w:hint="eastAsia"/>
          <w:color w:val="auto"/>
          <w:highlight w:val="none"/>
          <w:u w:val="none"/>
          <w:lang w:val="en-US" w:eastAsia="zh-CN"/>
        </w:rPr>
        <w:t>不良信用信息</w:t>
      </w:r>
      <w:r>
        <w:rPr>
          <w:rStyle w:val="46"/>
          <w:color w:val="auto"/>
          <w:highlight w:val="none"/>
          <w:u w:val="none"/>
        </w:rPr>
        <w:t>证明资料复印件</w:t>
      </w:r>
    </w:p>
    <w:p>
      <w:pPr>
        <w:spacing w:line="276" w:lineRule="auto"/>
        <w:ind w:firstLine="420" w:firstLineChars="200"/>
        <w:rPr>
          <w:rFonts w:hint="eastAsia"/>
          <w:color w:val="auto"/>
          <w:highlight w:val="none"/>
        </w:rPr>
      </w:pPr>
      <w:r>
        <w:rPr>
          <w:rFonts w:hint="eastAsia"/>
          <w:color w:val="auto"/>
          <w:highlight w:val="none"/>
        </w:rPr>
        <w:t>9</w:t>
      </w:r>
      <w:r>
        <w:rPr>
          <w:color w:val="auto"/>
          <w:highlight w:val="none"/>
        </w:rPr>
        <w:t>.</w:t>
      </w:r>
      <w:r>
        <w:rPr>
          <w:rFonts w:hint="eastAsia"/>
          <w:color w:val="auto"/>
          <w:highlight w:val="none"/>
        </w:rPr>
        <w:t>企业资信及履约能力（或业绩及信用）自评表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"_Toc300678591"</w:instrText>
      </w:r>
      <w:r>
        <w:rPr>
          <w:color w:val="auto"/>
          <w:highlight w:val="none"/>
        </w:rPr>
        <w:fldChar w:fldCharType="separate"/>
      </w:r>
      <w:r>
        <w:rPr>
          <w:color w:val="auto"/>
          <w:highlight w:val="none"/>
        </w:rPr>
        <w:t>10.承诺书</w:t>
      </w:r>
      <w:r>
        <w:rPr>
          <w:color w:val="auto"/>
          <w:highlight w:val="none"/>
        </w:rPr>
        <w:fldChar w:fldCharType="end"/>
      </w:r>
    </w:p>
    <w:p>
      <w:pPr>
        <w:spacing w:line="276"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w:t>
      </w:r>
      <w:r>
        <w:rPr>
          <w:color w:val="auto"/>
          <w:highlight w:val="none"/>
        </w:rPr>
        <w:t>投标信息表</w:t>
      </w:r>
    </w:p>
    <w:p>
      <w:pPr>
        <w:spacing w:line="276" w:lineRule="auto"/>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.其他</w:t>
      </w:r>
    </w:p>
    <w:p>
      <w:pPr>
        <w:spacing w:line="400" w:lineRule="exact"/>
        <w:rPr>
          <w:color w:val="auto"/>
          <w:highlight w:val="none"/>
        </w:rPr>
      </w:pPr>
    </w:p>
    <w:p>
      <w:pPr>
        <w:spacing w:line="312" w:lineRule="auto"/>
        <w:ind w:firstLine="360"/>
        <w:rPr>
          <w:color w:val="auto"/>
          <w:sz w:val="18"/>
          <w:szCs w:val="18"/>
          <w:highlight w:val="none"/>
        </w:rPr>
      </w:pPr>
    </w:p>
    <w:p>
      <w:pPr>
        <w:spacing w:line="276" w:lineRule="auto"/>
        <w:rPr>
          <w:rStyle w:val="46"/>
          <w:color w:val="auto"/>
          <w:highlight w:val="none"/>
          <w:u w:val="none"/>
        </w:rPr>
      </w:pPr>
      <w:bookmarkStart w:id="988" w:name="_Toc300678567"/>
      <w:r>
        <w:rPr>
          <w:rStyle w:val="46"/>
          <w:color w:val="auto"/>
          <w:highlight w:val="none"/>
          <w:u w:val="none"/>
        </w:rPr>
        <w:br w:type="page"/>
      </w:r>
    </w:p>
    <w:p>
      <w:pPr>
        <w:pStyle w:val="3"/>
        <w:spacing w:before="0" w:after="0" w:line="360" w:lineRule="auto"/>
        <w:jc w:val="center"/>
        <w:rPr>
          <w:rFonts w:ascii="Times New Roman" w:hAnsi="Times New Roman" w:eastAsia="黑体"/>
          <w:b w:val="0"/>
          <w:bCs w:val="0"/>
          <w:color w:val="auto"/>
          <w:sz w:val="30"/>
          <w:highlight w:val="none"/>
        </w:rPr>
      </w:pPr>
      <w:bookmarkStart w:id="989" w:name="_Toc80006152"/>
      <w:bookmarkStart w:id="990" w:name="_Toc80006262"/>
      <w:bookmarkStart w:id="991" w:name="_Toc9178579"/>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投标函及投标函附录</w:t>
      </w:r>
      <w:bookmarkEnd w:id="988"/>
      <w:bookmarkEnd w:id="989"/>
      <w:bookmarkEnd w:id="990"/>
      <w:bookmarkEnd w:id="991"/>
    </w:p>
    <w:p>
      <w:pPr>
        <w:pStyle w:val="5"/>
        <w:spacing w:line="288" w:lineRule="auto"/>
        <w:jc w:val="center"/>
        <w:rPr>
          <w:rFonts w:ascii="Times New Roman" w:hAnsi="Times New Roman" w:eastAsia="黑体"/>
          <w:b w:val="0"/>
          <w:bCs w:val="0"/>
          <w:color w:val="auto"/>
          <w:sz w:val="24"/>
          <w:highlight w:val="none"/>
        </w:rPr>
      </w:pPr>
      <w:bookmarkStart w:id="992"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992"/>
    </w:p>
    <w:p>
      <w:pPr>
        <w:rPr>
          <w:color w:val="auto"/>
          <w:highlight w:val="none"/>
        </w:rPr>
      </w:pPr>
    </w:p>
    <w:p>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）施工招标文件的全部内容后，我方兹以：</w:t>
      </w:r>
    </w:p>
    <w:p>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内竣工，并确保工程质量达到</w:t>
      </w:r>
      <w:r>
        <w:rPr>
          <w:color w:val="auto"/>
          <w:szCs w:val="21"/>
          <w:highlight w:val="none"/>
          <w:u w:val="single"/>
        </w:rPr>
        <w:t xml:space="preserve">   </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w:t>
      </w:r>
      <w:r>
        <w:rPr>
          <w:rFonts w:hint="eastAsia"/>
          <w:color w:val="auto"/>
          <w:szCs w:val="21"/>
          <w:highlight w:val="none"/>
        </w:rPr>
        <w:t>保证金</w:t>
      </w:r>
      <w:r>
        <w:rPr>
          <w:color w:val="auto"/>
          <w:szCs w:val="21"/>
          <w:highlight w:val="none"/>
        </w:rPr>
        <w:t>，金额为人民币（大写）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投标人（盖单位章）：</w:t>
      </w:r>
    </w:p>
    <w:p>
      <w:pPr>
        <w:ind w:firstLine="420" w:firstLineChars="200"/>
        <w:rPr>
          <w:color w:val="auto"/>
          <w:szCs w:val="21"/>
          <w:highlight w:val="none"/>
        </w:rPr>
      </w:pPr>
    </w:p>
    <w:p>
      <w:pPr>
        <w:ind w:firstLine="420" w:firstLineChars="200"/>
        <w:rPr>
          <w:color w:val="auto"/>
          <w:szCs w:val="21"/>
          <w:highlight w:val="none"/>
          <w:u w:val="single"/>
        </w:rPr>
      </w:pPr>
      <w:r>
        <w:rPr>
          <w:rFonts w:hint="eastAsia"/>
          <w:color w:val="auto"/>
          <w:szCs w:val="21"/>
          <w:highlight w:val="none"/>
        </w:rPr>
        <w:t>法定代表人或其委托代理人</w:t>
      </w:r>
      <w:r>
        <w:rPr>
          <w:color w:val="auto"/>
          <w:szCs w:val="21"/>
          <w:highlight w:val="none"/>
        </w:rPr>
        <w:t>（签字或盖章）：</w:t>
      </w:r>
    </w:p>
    <w:p>
      <w:pPr>
        <w:ind w:firstLine="420" w:firstLineChars="200"/>
        <w:rPr>
          <w:color w:val="auto"/>
          <w:szCs w:val="21"/>
          <w:highlight w:val="none"/>
        </w:rPr>
      </w:pPr>
    </w:p>
    <w:p>
      <w:pPr>
        <w:ind w:firstLine="420" w:firstLineChars="200"/>
        <w:rPr>
          <w:color w:val="auto"/>
          <w:szCs w:val="21"/>
          <w:highlight w:val="none"/>
        </w:rPr>
      </w:pPr>
      <w:r>
        <w:rPr>
          <w:color w:val="auto"/>
          <w:szCs w:val="21"/>
          <w:highlight w:val="none"/>
        </w:rPr>
        <w:t>日期：   年  月  日</w:t>
      </w:r>
    </w:p>
    <w:p>
      <w:pPr>
        <w:spacing w:line="360" w:lineRule="auto"/>
        <w:rPr>
          <w:rFonts w:eastAsia="黑体"/>
          <w:color w:val="auto"/>
          <w:sz w:val="24"/>
          <w:highlight w:val="none"/>
        </w:rPr>
        <w:sectPr>
          <w:pgSz w:w="11907" w:h="16840"/>
          <w:pgMar w:top="1440" w:right="1440" w:bottom="1440" w:left="1440" w:header="851" w:footer="850" w:gutter="0"/>
          <w:cols w:space="720" w:num="1"/>
          <w:docGrid w:linePitch="326" w:charSpace="0"/>
        </w:sectPr>
      </w:pPr>
    </w:p>
    <w:p>
      <w:pPr>
        <w:pStyle w:val="5"/>
        <w:jc w:val="center"/>
        <w:rPr>
          <w:rFonts w:ascii="Times New Roman" w:hAnsi="Times New Roman" w:eastAsia="黑体"/>
          <w:b w:val="0"/>
          <w:bCs w:val="0"/>
          <w:color w:val="auto"/>
          <w:sz w:val="24"/>
          <w:highlight w:val="none"/>
        </w:rPr>
      </w:pPr>
      <w:bookmarkStart w:id="993"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993"/>
    </w:p>
    <w:p>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 号</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12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合同条款号</w:t>
            </w: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u w:val="single"/>
              </w:rPr>
            </w:pPr>
            <w:r>
              <w:rPr>
                <w:rFonts w:hint="eastAsia" w:ascii="宋体" w:hAnsi="宋体" w:cs="宋体"/>
                <w:color w:val="auto"/>
                <w:szCs w:val="21"/>
                <w:highlight w:val="none"/>
              </w:rPr>
              <w:t xml:space="preserve">姓名：  </w:t>
            </w: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保修要求</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缺陷责任期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承包人履约担保金额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见分包项目情况表</w:t>
            </w: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元/天</w:t>
            </w: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预付款额度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质量保证金额度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931"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ind w:firstLine="404" w:firstLineChars="200"/>
        <w:rPr>
          <w:color w:val="auto"/>
          <w:szCs w:val="21"/>
          <w:highlight w:val="none"/>
          <w:u w:val="single"/>
        </w:rPr>
      </w:pPr>
      <w:r>
        <w:rPr>
          <w:bCs/>
          <w:color w:val="auto"/>
          <w:szCs w:val="21"/>
          <w:highlight w:val="none"/>
        </w:rPr>
        <w:t>投标人</w:t>
      </w:r>
      <w:r>
        <w:rPr>
          <w:color w:val="auto"/>
          <w:szCs w:val="21"/>
          <w:highlight w:val="none"/>
        </w:rPr>
        <w:t>（盖单位章）：</w:t>
      </w:r>
    </w:p>
    <w:p>
      <w:pPr>
        <w:ind w:firstLine="404" w:firstLineChars="200"/>
        <w:rPr>
          <w:color w:val="auto"/>
          <w:szCs w:val="21"/>
          <w:highlight w:val="none"/>
        </w:rPr>
      </w:pPr>
      <w:r>
        <w:rPr>
          <w:rFonts w:hint="eastAsia"/>
          <w:bCs/>
          <w:color w:val="auto"/>
          <w:szCs w:val="21"/>
          <w:highlight w:val="none"/>
        </w:rPr>
        <w:t>法定代表人或其委托代理人</w:t>
      </w:r>
      <w:r>
        <w:rPr>
          <w:color w:val="auto"/>
          <w:szCs w:val="21"/>
          <w:highlight w:val="none"/>
        </w:rPr>
        <w:t>（签字或盖章）：</w:t>
      </w:r>
    </w:p>
    <w:p>
      <w:pPr>
        <w:rPr>
          <w:rFonts w:hint="eastAsia"/>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日期：   年  月  日</w:t>
      </w:r>
      <w:bookmarkStart w:id="994" w:name="_Toc300678570"/>
    </w:p>
    <w:p>
      <w:pPr>
        <w:rPr>
          <w:rFonts w:hint="eastAsia"/>
          <w:bCs/>
          <w:color w:val="auto"/>
          <w:szCs w:val="21"/>
          <w:highlight w:val="none"/>
        </w:rPr>
      </w:pPr>
    </w:p>
    <w:p>
      <w:pPr>
        <w:ind w:firstLine="258"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pPr>
        <w:ind w:firstLine="344" w:firstLineChars="200"/>
        <w:rPr>
          <w:color w:val="auto"/>
          <w:kern w:val="0"/>
          <w:szCs w:val="21"/>
          <w:highlight w:val="none"/>
        </w:rPr>
      </w:pPr>
      <w:r>
        <w:rPr>
          <w:color w:val="auto"/>
          <w:sz w:val="18"/>
          <w:szCs w:val="21"/>
          <w:highlight w:val="none"/>
        </w:rPr>
        <w:t>此类承诺可在本表中予以补充填写。</w:t>
      </w:r>
    </w:p>
    <w:p>
      <w:pPr>
        <w:pStyle w:val="3"/>
        <w:spacing w:line="240" w:lineRule="auto"/>
        <w:jc w:val="center"/>
        <w:rPr>
          <w:rFonts w:ascii="Times New Roman" w:hAnsi="Times New Roman" w:eastAsia="黑体"/>
          <w:b w:val="0"/>
          <w:bCs w:val="0"/>
          <w:color w:val="auto"/>
          <w:sz w:val="30"/>
          <w:highlight w:val="none"/>
        </w:rPr>
      </w:pPr>
      <w:bookmarkStart w:id="995" w:name="_Toc9178580"/>
      <w:bookmarkStart w:id="996" w:name="_Toc80006153"/>
      <w:bookmarkStart w:id="997" w:name="_Toc80006263"/>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994"/>
      <w:bookmarkEnd w:id="995"/>
      <w:bookmarkEnd w:id="996"/>
      <w:bookmarkEnd w:id="997"/>
    </w:p>
    <w:p>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pPr>
        <w:widowControl/>
        <w:topLinePunct/>
        <w:spacing w:line="600" w:lineRule="atLeast"/>
        <w:ind w:firstLine="420"/>
        <w:rPr>
          <w:color w:val="auto"/>
          <w:kern w:val="0"/>
          <w:szCs w:val="21"/>
          <w:highlight w:val="none"/>
        </w:rPr>
      </w:pPr>
      <w:r>
        <w:rPr>
          <w:color w:val="auto"/>
          <w:kern w:val="0"/>
          <w:szCs w:val="21"/>
          <w:highlight w:val="none"/>
        </w:rPr>
        <w:t>单位性质：</w:t>
      </w:r>
    </w:p>
    <w:p>
      <w:pPr>
        <w:widowControl/>
        <w:topLinePunct/>
        <w:spacing w:line="600" w:lineRule="atLeast"/>
        <w:ind w:firstLine="420"/>
        <w:rPr>
          <w:color w:val="auto"/>
          <w:kern w:val="0"/>
          <w:szCs w:val="21"/>
          <w:highlight w:val="none"/>
        </w:rPr>
      </w:pPr>
      <w:r>
        <w:rPr>
          <w:color w:val="auto"/>
          <w:kern w:val="0"/>
          <w:szCs w:val="21"/>
          <w:highlight w:val="none"/>
        </w:rPr>
        <w:t>成立时间：    年   月  日</w:t>
      </w:r>
    </w:p>
    <w:p>
      <w:pPr>
        <w:widowControl/>
        <w:topLinePunct/>
        <w:spacing w:line="600" w:lineRule="atLeast"/>
        <w:ind w:firstLine="420"/>
        <w:rPr>
          <w:color w:val="auto"/>
          <w:kern w:val="0"/>
          <w:szCs w:val="21"/>
          <w:highlight w:val="none"/>
        </w:rPr>
      </w:pPr>
      <w:r>
        <w:rPr>
          <w:color w:val="auto"/>
          <w:kern w:val="0"/>
          <w:szCs w:val="21"/>
          <w:highlight w:val="none"/>
        </w:rPr>
        <w:t>经营期限：</w:t>
      </w:r>
    </w:p>
    <w:p>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pPr>
        <w:widowControl/>
        <w:topLinePunct/>
        <w:spacing w:line="440" w:lineRule="atLeast"/>
        <w:rPr>
          <w:color w:val="auto"/>
          <w:kern w:val="0"/>
          <w:szCs w:val="21"/>
          <w:highlight w:val="none"/>
        </w:rPr>
      </w:pPr>
    </w:p>
    <w:p>
      <w:pPr>
        <w:widowControl/>
        <w:topLinePunct/>
        <w:spacing w:line="460" w:lineRule="atLeast"/>
        <w:ind w:firstLine="404" w:firstLineChars="200"/>
        <w:rPr>
          <w:rFonts w:hint="eastAsia"/>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p>
      <w:pPr>
        <w:widowControl/>
        <w:topLinePunct/>
        <w:spacing w:line="440" w:lineRule="atLeast"/>
        <w:ind w:firstLine="610"/>
        <w:rPr>
          <w:color w:val="auto"/>
          <w:kern w:val="0"/>
          <w:szCs w:val="21"/>
          <w:highlight w:val="none"/>
        </w:rPr>
      </w:pPr>
    </w:p>
    <w:p>
      <w:pPr>
        <w:widowControl/>
        <w:topLinePunct/>
        <w:spacing w:line="440" w:lineRule="atLeast"/>
        <w:ind w:firstLine="2879"/>
        <w:rPr>
          <w:color w:val="auto"/>
          <w:kern w:val="0"/>
          <w:szCs w:val="21"/>
          <w:highlight w:val="none"/>
        </w:rPr>
      </w:pPr>
    </w:p>
    <w:p>
      <w:pPr>
        <w:widowControl/>
        <w:topLinePunct/>
        <w:spacing w:line="440" w:lineRule="atLeast"/>
        <w:rPr>
          <w:color w:val="auto"/>
          <w:kern w:val="0"/>
          <w:szCs w:val="21"/>
          <w:highlight w:val="none"/>
        </w:rPr>
      </w:pPr>
      <w:r>
        <w:rPr>
          <w:color w:val="auto"/>
          <w:kern w:val="0"/>
          <w:szCs w:val="21"/>
          <w:highlight w:val="none"/>
        </w:rPr>
        <w:t xml:space="preserve">              投标人：（盖单位章）</w:t>
      </w:r>
    </w:p>
    <w:p>
      <w:pPr>
        <w:widowControl/>
        <w:topLinePunct/>
        <w:spacing w:line="440" w:lineRule="atLeast"/>
        <w:rPr>
          <w:color w:val="auto"/>
          <w:kern w:val="0"/>
          <w:szCs w:val="21"/>
          <w:highlight w:val="none"/>
        </w:rPr>
      </w:pPr>
    </w:p>
    <w:p>
      <w:pPr>
        <w:widowControl/>
        <w:topLinePunct/>
        <w:spacing w:line="440" w:lineRule="atLeast"/>
        <w:ind w:firstLine="3030" w:firstLineChars="1500"/>
        <w:jc w:val="right"/>
        <w:rPr>
          <w:color w:val="auto"/>
          <w:kern w:val="0"/>
          <w:szCs w:val="21"/>
          <w:highlight w:val="none"/>
        </w:rPr>
      </w:pPr>
      <w:r>
        <w:rPr>
          <w:color w:val="auto"/>
          <w:kern w:val="0"/>
          <w:szCs w:val="21"/>
          <w:highlight w:val="none"/>
        </w:rPr>
        <w:t xml:space="preserve">     年   月   日</w:t>
      </w:r>
      <w:bookmarkStart w:id="998" w:name="_Toc300678571"/>
    </w:p>
    <w:p>
      <w:pPr>
        <w:widowControl/>
        <w:topLinePunct/>
        <w:spacing w:line="440" w:lineRule="atLeast"/>
        <w:ind w:firstLine="3030" w:firstLineChars="1500"/>
        <w:jc w:val="right"/>
        <w:rPr>
          <w:color w:val="auto"/>
          <w:kern w:val="0"/>
          <w:szCs w:val="21"/>
          <w:highlight w:val="none"/>
        </w:rPr>
      </w:pPr>
    </w:p>
    <w:p>
      <w:pPr>
        <w:widowControl/>
        <w:topLinePunct/>
        <w:spacing w:line="440" w:lineRule="atLeast"/>
        <w:ind w:firstLine="3030" w:firstLineChars="1500"/>
        <w:jc w:val="right"/>
        <w:rPr>
          <w:color w:val="auto"/>
          <w:kern w:val="0"/>
          <w:szCs w:val="21"/>
          <w:highlight w:val="none"/>
        </w:rPr>
        <w:sectPr>
          <w:pgSz w:w="11906" w:h="16838"/>
          <w:pgMar w:top="1440" w:right="1588" w:bottom="1440" w:left="1440" w:header="1134" w:footer="851" w:gutter="0"/>
          <w:cols w:space="720" w:num="1"/>
          <w:docGrid w:type="linesAndChars" w:linePitch="574" w:charSpace="-1683"/>
        </w:sectPr>
      </w:pPr>
    </w:p>
    <w:p>
      <w:pPr>
        <w:pStyle w:val="3"/>
        <w:jc w:val="center"/>
        <w:rPr>
          <w:rFonts w:ascii="Times New Roman" w:hAnsi="Times New Roman" w:eastAsia="黑体"/>
          <w:b w:val="0"/>
          <w:bCs w:val="0"/>
          <w:color w:val="auto"/>
          <w:sz w:val="30"/>
          <w:highlight w:val="none"/>
        </w:rPr>
      </w:pPr>
      <w:bookmarkStart w:id="999" w:name="_Toc80006264"/>
      <w:bookmarkStart w:id="1000" w:name="_Toc80006154"/>
      <w:bookmarkStart w:id="1001" w:name="_Toc91785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998"/>
      <w:bookmarkEnd w:id="999"/>
      <w:bookmarkEnd w:id="1000"/>
      <w:bookmarkEnd w:id="1001"/>
    </w:p>
    <w:p>
      <w:pPr>
        <w:widowControl/>
        <w:topLinePunct/>
        <w:spacing w:line="440" w:lineRule="exact"/>
        <w:ind w:firstLine="404"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color w:val="auto"/>
          <w:kern w:val="0"/>
          <w:szCs w:val="21"/>
          <w:highlight w:val="none"/>
        </w:rPr>
        <w:t>施工招标投标文件，其法律后果由我方承担。</w:t>
      </w:r>
    </w:p>
    <w:p>
      <w:pPr>
        <w:widowControl/>
        <w:topLinePunct/>
        <w:spacing w:line="440" w:lineRule="exact"/>
        <w:ind w:firstLine="404"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pPr>
        <w:widowControl/>
        <w:topLinePunct/>
        <w:spacing w:line="440" w:lineRule="exact"/>
        <w:ind w:firstLine="404" w:firstLineChars="200"/>
        <w:rPr>
          <w:color w:val="auto"/>
          <w:kern w:val="0"/>
          <w:szCs w:val="21"/>
          <w:highlight w:val="none"/>
        </w:rPr>
      </w:pPr>
      <w:r>
        <w:rPr>
          <w:color w:val="auto"/>
          <w:kern w:val="0"/>
          <w:szCs w:val="21"/>
          <w:highlight w:val="none"/>
        </w:rPr>
        <w:t>代理人无转委托权。</w:t>
      </w:r>
    </w:p>
    <w:p>
      <w:pPr>
        <w:widowControl/>
        <w:topLinePunct/>
        <w:spacing w:line="440" w:lineRule="exact"/>
        <w:ind w:firstLine="610"/>
        <w:rPr>
          <w:rFonts w:hint="eastAsia"/>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p>
      <w:pPr>
        <w:widowControl/>
        <w:topLinePunct/>
        <w:spacing w:line="440" w:lineRule="atLeast"/>
        <w:ind w:firstLine="610"/>
        <w:rPr>
          <w:color w:val="auto"/>
          <w:kern w:val="0"/>
          <w:szCs w:val="21"/>
          <w:highlight w:val="none"/>
        </w:rPr>
      </w:pPr>
    </w:p>
    <w:p>
      <w:pPr>
        <w:widowControl/>
        <w:topLinePunct/>
        <w:spacing w:line="440" w:lineRule="atLeast"/>
        <w:ind w:firstLine="2879"/>
        <w:rPr>
          <w:color w:val="auto"/>
          <w:kern w:val="0"/>
          <w:szCs w:val="21"/>
          <w:highlight w:val="none"/>
        </w:rPr>
      </w:pPr>
    </w:p>
    <w:p>
      <w:pPr>
        <w:widowControl/>
        <w:topLinePunct/>
        <w:spacing w:line="440" w:lineRule="atLeast"/>
        <w:ind w:firstLine="2879"/>
        <w:rPr>
          <w:color w:val="auto"/>
          <w:kern w:val="0"/>
          <w:szCs w:val="21"/>
          <w:highlight w:val="none"/>
        </w:rPr>
      </w:pPr>
      <w:r>
        <w:rPr>
          <w:color w:val="auto"/>
          <w:kern w:val="0"/>
          <w:szCs w:val="21"/>
          <w:highlight w:val="none"/>
        </w:rPr>
        <w:t>投标人：（盖单位章）</w:t>
      </w:r>
    </w:p>
    <w:p>
      <w:pPr>
        <w:widowControl/>
        <w:topLinePunct/>
        <w:spacing w:line="440" w:lineRule="atLeast"/>
        <w:ind w:firstLine="2879"/>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firstLine="2879"/>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firstLine="2879"/>
        <w:rPr>
          <w:color w:val="auto"/>
          <w:kern w:val="0"/>
          <w:szCs w:val="21"/>
          <w:highlight w:val="none"/>
        </w:rPr>
      </w:pPr>
    </w:p>
    <w:p>
      <w:pPr>
        <w:widowControl/>
        <w:topLinePunct/>
        <w:spacing w:line="440" w:lineRule="atLeast"/>
        <w:ind w:left="1836" w:firstLine="3204"/>
        <w:jc w:val="right"/>
        <w:rPr>
          <w:color w:val="auto"/>
          <w:kern w:val="0"/>
          <w:highlight w:val="none"/>
        </w:rPr>
      </w:pPr>
      <w:r>
        <w:rPr>
          <w:color w:val="auto"/>
          <w:kern w:val="0"/>
          <w:szCs w:val="21"/>
          <w:highlight w:val="none"/>
        </w:rPr>
        <w:t>年  月  日</w:t>
      </w:r>
    </w:p>
    <w:p>
      <w:pPr>
        <w:widowControl/>
        <w:topLinePunct/>
        <w:spacing w:line="440" w:lineRule="atLeast"/>
        <w:jc w:val="left"/>
        <w:rPr>
          <w:rFonts w:hint="eastAsia"/>
          <w:color w:val="auto"/>
          <w:kern w:val="0"/>
          <w:highlight w:val="none"/>
        </w:rPr>
      </w:pPr>
    </w:p>
    <w:p>
      <w:pPr>
        <w:widowControl/>
        <w:topLinePunct/>
        <w:spacing w:line="440" w:lineRule="atLeast"/>
        <w:jc w:val="left"/>
        <w:rPr>
          <w:rFonts w:hint="eastAsia"/>
          <w:color w:val="auto"/>
          <w:kern w:val="0"/>
          <w:highlight w:val="none"/>
        </w:rPr>
      </w:pPr>
    </w:p>
    <w:p>
      <w:pPr>
        <w:widowControl/>
        <w:topLinePunct/>
        <w:spacing w:line="440" w:lineRule="atLeast"/>
        <w:jc w:val="left"/>
        <w:rPr>
          <w:rFonts w:hint="eastAsia"/>
          <w:color w:val="auto"/>
          <w:kern w:val="0"/>
          <w:highlight w:val="none"/>
        </w:rPr>
      </w:pPr>
    </w:p>
    <w:p>
      <w:pPr>
        <w:widowControl/>
        <w:topLinePunct/>
        <w:spacing w:line="440" w:lineRule="atLeast"/>
        <w:jc w:val="left"/>
        <w:rPr>
          <w:rFonts w:hint="eastAsia"/>
          <w:color w:val="auto"/>
          <w:kern w:val="0"/>
          <w:highlight w:val="none"/>
        </w:rPr>
      </w:pPr>
    </w:p>
    <w:p>
      <w:pPr>
        <w:widowControl/>
        <w:topLinePunct/>
        <w:spacing w:line="440" w:lineRule="atLeast"/>
        <w:jc w:val="left"/>
        <w:rPr>
          <w:rFonts w:eastAsia="黑体"/>
          <w:color w:val="auto"/>
          <w:sz w:val="30"/>
          <w:szCs w:val="32"/>
          <w:highlight w:val="none"/>
        </w:rPr>
      </w:pPr>
      <w:bookmarkStart w:id="1002" w:name="_Toc300678572"/>
    </w:p>
    <w:p>
      <w:pPr>
        <w:pStyle w:val="3"/>
        <w:spacing w:before="0" w:after="0" w:line="360" w:lineRule="auto"/>
        <w:jc w:val="center"/>
        <w:rPr>
          <w:rFonts w:ascii="Times New Roman" w:hAnsi="Times New Roman" w:eastAsia="黑体"/>
          <w:b w:val="0"/>
          <w:bCs w:val="0"/>
          <w:color w:val="auto"/>
          <w:sz w:val="30"/>
          <w:highlight w:val="none"/>
        </w:rPr>
      </w:pPr>
      <w:bookmarkStart w:id="1003" w:name="_Toc9178582"/>
      <w:r>
        <w:rPr>
          <w:rFonts w:hint="eastAsia" w:ascii="Times New Roman" w:hAnsi="Times New Roman" w:eastAsia="黑体"/>
          <w:b w:val="0"/>
          <w:bCs w:val="0"/>
          <w:color w:val="auto"/>
          <w:sz w:val="30"/>
          <w:highlight w:val="none"/>
        </w:rPr>
        <w:br w:type="page"/>
      </w:r>
      <w:bookmarkStart w:id="1004" w:name="_Toc80006265"/>
      <w:bookmarkStart w:id="1005" w:name="_Toc80006155"/>
      <w:r>
        <w:rPr>
          <w:rFonts w:hint="eastAsia" w:ascii="Times New Roman" w:hAnsi="Times New Roman" w:eastAsia="黑体"/>
          <w:b w:val="0"/>
          <w:bCs w:val="0"/>
          <w:color w:val="auto"/>
          <w:sz w:val="30"/>
          <w:highlight w:val="none"/>
        </w:rPr>
        <w:t>4.</w:t>
      </w:r>
      <w:bookmarkEnd w:id="1002"/>
      <w:bookmarkEnd w:id="1003"/>
      <w:r>
        <w:rPr>
          <w:rFonts w:hint="eastAsia" w:ascii="Times New Roman" w:hAnsi="Times New Roman" w:eastAsia="黑体"/>
          <w:b w:val="0"/>
          <w:bCs w:val="0"/>
          <w:color w:val="auto"/>
          <w:sz w:val="30"/>
          <w:highlight w:val="none"/>
          <w:lang w:val="en-US" w:eastAsia="zh-CN"/>
        </w:rPr>
        <w:t>共同投标协议</w:t>
      </w:r>
      <w:r>
        <w:rPr>
          <w:rFonts w:hint="eastAsia" w:ascii="黑体" w:hAnsi="黑体" w:eastAsia="黑体"/>
          <w:color w:val="auto"/>
          <w:sz w:val="24"/>
          <w:highlight w:val="none"/>
        </w:rPr>
        <w:t>（</w:t>
      </w:r>
      <w:r>
        <w:rPr>
          <w:rFonts w:ascii="黑体" w:hAnsi="黑体" w:eastAsia="黑体"/>
          <w:color w:val="auto"/>
          <w:sz w:val="24"/>
          <w:highlight w:val="none"/>
        </w:rPr>
        <w:sym w:font="Wingdings 2" w:char="00A3"/>
      </w:r>
      <w:r>
        <w:rPr>
          <w:rFonts w:hint="eastAsia" w:ascii="黑体" w:hAnsi="黑体" w:eastAsia="黑体"/>
          <w:color w:val="auto"/>
          <w:sz w:val="24"/>
          <w:highlight w:val="none"/>
        </w:rPr>
        <w:t>联合体投标适用）</w:t>
      </w:r>
      <w:bookmarkEnd w:id="1004"/>
      <w:bookmarkEnd w:id="1005"/>
    </w:p>
    <w:p>
      <w:pPr>
        <w:snapToGrid w:val="0"/>
        <w:spacing w:line="360" w:lineRule="auto"/>
        <w:rPr>
          <w:color w:val="auto"/>
          <w:szCs w:val="21"/>
          <w:highlight w:val="none"/>
        </w:rPr>
      </w:pPr>
      <w:r>
        <w:rPr>
          <w:color w:val="auto"/>
          <w:szCs w:val="21"/>
          <w:highlight w:val="none"/>
        </w:rPr>
        <w:t>牵头人名称：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rPr>
      </w:pPr>
      <w:r>
        <w:rPr>
          <w:color w:val="auto"/>
          <w:szCs w:val="21"/>
          <w:highlight w:val="none"/>
        </w:rPr>
        <w:t>法定住所：</w:t>
      </w:r>
    </w:p>
    <w:p>
      <w:pPr>
        <w:snapToGrid w:val="0"/>
        <w:spacing w:line="360" w:lineRule="auto"/>
        <w:rPr>
          <w:color w:val="auto"/>
          <w:szCs w:val="21"/>
          <w:highlight w:val="none"/>
        </w:rPr>
      </w:pPr>
      <w:r>
        <w:rPr>
          <w:color w:val="auto"/>
          <w:szCs w:val="21"/>
          <w:highlight w:val="none"/>
        </w:rPr>
        <w:t>成员二名称：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u w:val="single"/>
        </w:rPr>
      </w:pPr>
      <w:r>
        <w:rPr>
          <w:color w:val="auto"/>
          <w:szCs w:val="21"/>
          <w:highlight w:val="none"/>
        </w:rPr>
        <w:t>法定住所：</w:t>
      </w:r>
    </w:p>
    <w:p>
      <w:pPr>
        <w:snapToGrid w:val="0"/>
        <w:spacing w:line="360" w:lineRule="auto"/>
        <w:ind w:firstLine="505" w:firstLineChars="250"/>
        <w:rPr>
          <w:color w:val="auto"/>
          <w:szCs w:val="21"/>
          <w:highlight w:val="none"/>
        </w:rPr>
      </w:pP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鉴于上述各成员单位经过友好协商，自愿组成联合体，共同参加</w:t>
      </w:r>
      <w:r>
        <w:rPr>
          <w:color w:val="auto"/>
          <w:szCs w:val="21"/>
          <w:highlight w:val="none"/>
          <w:u w:val="single"/>
        </w:rPr>
        <w:t xml:space="preserve">              </w:t>
      </w:r>
      <w:r>
        <w:rPr>
          <w:color w:val="auto"/>
          <w:szCs w:val="21"/>
          <w:highlight w:val="none"/>
        </w:rPr>
        <w:t>（招标人名称）（以下简称招标人）</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）（以下简称本</w:t>
      </w:r>
      <w:r>
        <w:rPr>
          <w:rFonts w:hint="eastAsia"/>
          <w:color w:val="auto"/>
          <w:szCs w:val="21"/>
          <w:highlight w:val="none"/>
        </w:rPr>
        <w:t>招标项目</w:t>
      </w:r>
      <w:r>
        <w:rPr>
          <w:color w:val="auto"/>
          <w:szCs w:val="21"/>
          <w:highlight w:val="none"/>
        </w:rPr>
        <w:t>）的施工投标并争取赢得本工程施工承包合同（以下简称合同）。现就联合体投标事宜订立如下协议：</w:t>
      </w:r>
    </w:p>
    <w:p>
      <w:pPr>
        <w:snapToGrid w:val="0"/>
        <w:spacing w:line="360" w:lineRule="auto"/>
        <w:ind w:firstLine="404"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（某成员单位名称）为牵头人。</w:t>
      </w:r>
    </w:p>
    <w:p>
      <w:pPr>
        <w:snapToGrid w:val="0"/>
        <w:spacing w:line="360" w:lineRule="auto"/>
        <w:ind w:firstLine="404" w:firstLineChars="200"/>
        <w:rPr>
          <w:color w:val="auto"/>
          <w:szCs w:val="21"/>
          <w:highlight w:val="none"/>
        </w:rPr>
      </w:pPr>
      <w:r>
        <w:rPr>
          <w:color w:val="auto"/>
          <w:szCs w:val="21"/>
          <w:highlight w:val="none"/>
        </w:rPr>
        <w:t>2．在本</w:t>
      </w:r>
      <w:r>
        <w:rPr>
          <w:rFonts w:hint="eastAsia"/>
          <w:color w:val="auto"/>
          <w:szCs w:val="21"/>
          <w:highlight w:val="none"/>
        </w:rPr>
        <w:t>招标项目</w:t>
      </w:r>
      <w:r>
        <w:rPr>
          <w:color w:val="auto"/>
          <w:szCs w:val="21"/>
          <w:highlight w:val="none"/>
        </w:rPr>
        <w:t>投标阶段，联合体牵头人合法代表联合体各</w:t>
      </w:r>
      <w:r>
        <w:rPr>
          <w:rFonts w:hint="eastAsia"/>
          <w:color w:val="auto"/>
          <w:szCs w:val="21"/>
          <w:highlight w:val="none"/>
          <w:lang w:val="en-US" w:eastAsia="zh-CN"/>
        </w:rPr>
        <w:t>方</w:t>
      </w:r>
      <w:r>
        <w:rPr>
          <w:color w:val="auto"/>
          <w:szCs w:val="21"/>
          <w:highlight w:val="none"/>
        </w:rPr>
        <w:t>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04" w:firstLineChars="200"/>
        <w:rPr>
          <w:color w:val="auto"/>
          <w:szCs w:val="21"/>
          <w:highlight w:val="none"/>
        </w:rPr>
      </w:pPr>
      <w:r>
        <w:rPr>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360" w:lineRule="auto"/>
        <w:ind w:firstLine="404" w:firstLineChars="200"/>
        <w:rPr>
          <w:color w:val="auto"/>
          <w:szCs w:val="21"/>
          <w:highlight w:val="none"/>
        </w:rPr>
      </w:pPr>
      <w:r>
        <w:rPr>
          <w:color w:val="auto"/>
          <w:szCs w:val="21"/>
          <w:highlight w:val="none"/>
        </w:rPr>
        <w:t>4．联合体各</w:t>
      </w:r>
      <w:r>
        <w:rPr>
          <w:rFonts w:hint="eastAsia"/>
          <w:color w:val="auto"/>
          <w:szCs w:val="21"/>
          <w:highlight w:val="none"/>
          <w:lang w:val="en-US" w:eastAsia="zh-CN"/>
        </w:rPr>
        <w:t>方</w:t>
      </w:r>
      <w:r>
        <w:rPr>
          <w:color w:val="auto"/>
          <w:szCs w:val="21"/>
          <w:highlight w:val="none"/>
        </w:rPr>
        <w:t>单位内部的职责分工如下：</w:t>
      </w:r>
      <w:r>
        <w:rPr>
          <w:color w:val="auto"/>
          <w:szCs w:val="21"/>
          <w:highlight w:val="none"/>
          <w:u w:val="single"/>
        </w:rPr>
        <w:t xml:space="preserve">                </w:t>
      </w:r>
      <w:r>
        <w:rPr>
          <w:color w:val="auto"/>
          <w:szCs w:val="21"/>
          <w:highlight w:val="none"/>
        </w:rPr>
        <w:t>。按照本条上述分工，联合体成员单位各自所承担的合同工作量比例如下</w:t>
      </w:r>
      <w:r>
        <w:rPr>
          <w:rFonts w:hint="eastAsia"/>
          <w:color w:val="auto"/>
          <w:szCs w:val="21"/>
          <w:highlight w:val="none"/>
          <w:lang w:eastAsia="zh-CN"/>
        </w:rPr>
        <w:t>（</w:t>
      </w:r>
      <w:r>
        <w:rPr>
          <w:rFonts w:hint="eastAsia"/>
          <w:color w:val="auto"/>
          <w:szCs w:val="21"/>
          <w:highlight w:val="none"/>
          <w:lang w:val="en-US" w:eastAsia="zh-CN"/>
        </w:rPr>
        <w:t>按100%</w:t>
      </w:r>
      <w:r>
        <w:rPr>
          <w:rFonts w:hint="eastAsia"/>
          <w:color w:val="auto"/>
          <w:szCs w:val="21"/>
          <w:highlight w:val="none"/>
          <w:lang w:eastAsia="zh-CN"/>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5．投标工作和联合体在中标后工程实施过程中的有关费用按各自承担的工作量分摊。</w:t>
      </w:r>
    </w:p>
    <w:p>
      <w:pPr>
        <w:snapToGrid w:val="0"/>
        <w:spacing w:line="360" w:lineRule="auto"/>
        <w:ind w:firstLine="404" w:firstLineChars="200"/>
        <w:rPr>
          <w:color w:val="auto"/>
          <w:szCs w:val="21"/>
          <w:highlight w:val="none"/>
        </w:rPr>
      </w:pPr>
      <w:r>
        <w:rPr>
          <w:color w:val="auto"/>
          <w:szCs w:val="21"/>
          <w:highlight w:val="none"/>
        </w:rPr>
        <w:t>6．联合体中标后，本联合体协议是合同的附件，对联合体各</w:t>
      </w:r>
      <w:r>
        <w:rPr>
          <w:rFonts w:hint="eastAsia"/>
          <w:color w:val="auto"/>
          <w:szCs w:val="21"/>
          <w:highlight w:val="none"/>
          <w:lang w:val="en-US" w:eastAsia="zh-CN"/>
        </w:rPr>
        <w:t>方</w:t>
      </w:r>
      <w:r>
        <w:rPr>
          <w:color w:val="auto"/>
          <w:szCs w:val="21"/>
          <w:highlight w:val="none"/>
        </w:rPr>
        <w:t>单位有合同约束力。</w:t>
      </w:r>
    </w:p>
    <w:p>
      <w:pPr>
        <w:snapToGrid w:val="0"/>
        <w:spacing w:line="360" w:lineRule="auto"/>
        <w:ind w:firstLine="404" w:firstLineChars="200"/>
        <w:rPr>
          <w:color w:val="auto"/>
          <w:szCs w:val="21"/>
          <w:highlight w:val="none"/>
        </w:rPr>
      </w:pPr>
      <w:r>
        <w:rPr>
          <w:color w:val="auto"/>
          <w:szCs w:val="21"/>
          <w:highlight w:val="none"/>
        </w:rPr>
        <w:t>7．本协议书自签署之日起生效，联合体未中标或者中标时合同履行完毕后自动失效。</w:t>
      </w:r>
    </w:p>
    <w:p>
      <w:pPr>
        <w:snapToGrid w:val="0"/>
        <w:spacing w:line="360" w:lineRule="auto"/>
        <w:ind w:firstLine="404" w:firstLineChars="200"/>
        <w:rPr>
          <w:color w:val="auto"/>
          <w:szCs w:val="21"/>
          <w:highlight w:val="none"/>
        </w:rPr>
      </w:pPr>
      <w:r>
        <w:rPr>
          <w:color w:val="auto"/>
          <w:szCs w:val="21"/>
          <w:highlight w:val="none"/>
        </w:rPr>
        <w:t>8．本协议书一式</w:t>
      </w:r>
      <w:r>
        <w:rPr>
          <w:rFonts w:hint="eastAsia"/>
          <w:color w:val="auto"/>
          <w:szCs w:val="21"/>
          <w:highlight w:val="none"/>
        </w:rPr>
        <w:t xml:space="preserve">    </w:t>
      </w:r>
      <w:r>
        <w:rPr>
          <w:color w:val="auto"/>
          <w:szCs w:val="21"/>
          <w:highlight w:val="none"/>
        </w:rPr>
        <w:t>份，联合体成员和招标人各执</w:t>
      </w:r>
      <w:r>
        <w:rPr>
          <w:rFonts w:hint="eastAsia"/>
          <w:color w:val="auto"/>
          <w:szCs w:val="21"/>
          <w:highlight w:val="none"/>
        </w:rPr>
        <w:t xml:space="preserve">   </w:t>
      </w:r>
      <w:r>
        <w:rPr>
          <w:color w:val="auto"/>
          <w:szCs w:val="21"/>
          <w:highlight w:val="none"/>
        </w:rPr>
        <w:t>份。</w:t>
      </w:r>
    </w:p>
    <w:p>
      <w:pPr>
        <w:snapToGrid w:val="0"/>
        <w:spacing w:line="360" w:lineRule="auto"/>
        <w:ind w:firstLine="1717" w:firstLineChars="850"/>
        <w:rPr>
          <w:color w:val="auto"/>
          <w:szCs w:val="21"/>
          <w:highlight w:val="none"/>
        </w:rPr>
      </w:pPr>
      <w:r>
        <w:rPr>
          <w:color w:val="auto"/>
          <w:szCs w:val="21"/>
          <w:highlight w:val="none"/>
        </w:rPr>
        <w:t>牵头人名称：（盖单位章）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1717" w:firstLineChars="850"/>
        <w:rPr>
          <w:color w:val="auto"/>
          <w:szCs w:val="21"/>
          <w:highlight w:val="none"/>
        </w:rPr>
      </w:pPr>
      <w:r>
        <w:rPr>
          <w:color w:val="auto"/>
          <w:szCs w:val="21"/>
          <w:highlight w:val="none"/>
        </w:rPr>
        <w:t>成员二名称：（盖单位章）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2020" w:firstLineChars="1000"/>
        <w:rPr>
          <w:color w:val="auto"/>
          <w:szCs w:val="21"/>
          <w:highlight w:val="none"/>
        </w:rPr>
      </w:pPr>
      <w:r>
        <w:rPr>
          <w:color w:val="auto"/>
          <w:szCs w:val="21"/>
          <w:highlight w:val="none"/>
        </w:rPr>
        <w:t>……</w:t>
      </w:r>
    </w:p>
    <w:p>
      <w:pPr>
        <w:snapToGrid w:val="0"/>
        <w:spacing w:line="360" w:lineRule="auto"/>
        <w:jc w:val="right"/>
        <w:rPr>
          <w:color w:val="auto"/>
          <w:szCs w:val="21"/>
          <w:highlight w:val="none"/>
        </w:rPr>
      </w:pPr>
      <w:r>
        <w:rPr>
          <w:color w:val="auto"/>
          <w:szCs w:val="21"/>
          <w:highlight w:val="none"/>
        </w:rPr>
        <w:t>年  月  日</w:t>
      </w:r>
    </w:p>
    <w:p>
      <w:pPr>
        <w:spacing w:line="360" w:lineRule="auto"/>
        <w:rPr>
          <w:color w:val="auto"/>
          <w:sz w:val="18"/>
          <w:szCs w:val="18"/>
          <w:highlight w:val="none"/>
        </w:rPr>
      </w:pPr>
      <w:r>
        <w:rPr>
          <w:rFonts w:hint="eastAsia"/>
          <w:color w:val="auto"/>
          <w:sz w:val="18"/>
          <w:szCs w:val="18"/>
          <w:highlight w:val="none"/>
        </w:rPr>
        <w:t>说明</w:t>
      </w:r>
      <w:r>
        <w:rPr>
          <w:color w:val="auto"/>
          <w:sz w:val="18"/>
          <w:szCs w:val="18"/>
          <w:highlight w:val="none"/>
        </w:rPr>
        <w:t>：本协议书由委托代理人</w:t>
      </w:r>
      <w:r>
        <w:rPr>
          <w:rFonts w:hint="eastAsia"/>
          <w:color w:val="auto"/>
          <w:sz w:val="18"/>
          <w:szCs w:val="18"/>
          <w:highlight w:val="none"/>
        </w:rPr>
        <w:t>签署</w:t>
      </w:r>
      <w:r>
        <w:rPr>
          <w:color w:val="auto"/>
          <w:sz w:val="18"/>
          <w:szCs w:val="18"/>
          <w:highlight w:val="none"/>
        </w:rPr>
        <w:t>的，应附法定代表人</w:t>
      </w:r>
      <w:r>
        <w:rPr>
          <w:rFonts w:hint="eastAsia"/>
          <w:color w:val="auto"/>
          <w:sz w:val="18"/>
          <w:szCs w:val="18"/>
          <w:highlight w:val="none"/>
        </w:rPr>
        <w:t>签署</w:t>
      </w:r>
      <w:r>
        <w:rPr>
          <w:color w:val="auto"/>
          <w:sz w:val="18"/>
          <w:szCs w:val="18"/>
          <w:highlight w:val="none"/>
        </w:rPr>
        <w:t>的授权委托书。</w:t>
      </w:r>
    </w:p>
    <w:p>
      <w:pPr>
        <w:pStyle w:val="3"/>
        <w:jc w:val="center"/>
        <w:rPr>
          <w:rFonts w:ascii="Times New Roman" w:hAnsi="Times New Roman" w:eastAsia="黑体"/>
          <w:b w:val="0"/>
          <w:bCs w:val="0"/>
          <w:color w:val="auto"/>
          <w:sz w:val="30"/>
          <w:highlight w:val="none"/>
        </w:rPr>
      </w:pPr>
      <w:bookmarkStart w:id="1006" w:name="_Toc300678573"/>
      <w:bookmarkStart w:id="1007" w:name="_Toc80006156"/>
      <w:bookmarkStart w:id="1008" w:name="_Toc9178583"/>
      <w:bookmarkStart w:id="1009" w:name="_Toc80006266"/>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投标保证</w:t>
      </w:r>
      <w:bookmarkEnd w:id="1006"/>
      <w:bookmarkEnd w:id="1007"/>
      <w:bookmarkEnd w:id="1008"/>
      <w:bookmarkEnd w:id="1009"/>
    </w:p>
    <w:p>
      <w:pPr>
        <w:widowControl/>
        <w:spacing w:line="400" w:lineRule="exact"/>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w:t>
      </w:r>
      <w:r>
        <w:rPr>
          <w:rFonts w:hint="eastAsia"/>
          <w:color w:val="auto"/>
          <w:highlight w:val="none"/>
          <w:lang w:eastAsia="zh-CN"/>
        </w:rPr>
        <w:t>账户</w:t>
      </w:r>
      <w:r>
        <w:rPr>
          <w:rFonts w:hint="eastAsia"/>
          <w:color w:val="auto"/>
          <w:highlight w:val="none"/>
        </w:rPr>
        <w:t>开户银行打印的账户信息，包含户名、账号、基本存款账户编号等信息）</w:t>
      </w:r>
      <w:r>
        <w:rPr>
          <w:color w:val="auto"/>
          <w:highlight w:val="none"/>
        </w:rPr>
        <w:t>以及投标保证金银行进账单复印件</w:t>
      </w:r>
    </w:p>
    <w:p>
      <w:pPr>
        <w:widowControl/>
        <w:spacing w:line="400" w:lineRule="exact"/>
        <w:jc w:val="left"/>
        <w:rPr>
          <w:color w:val="auto"/>
          <w:highlight w:val="none"/>
        </w:rPr>
      </w:pPr>
      <w:r>
        <w:rPr>
          <w:color w:val="auto"/>
          <w:highlight w:val="none"/>
        </w:rPr>
        <w:t>采用保函的，附投标保函</w:t>
      </w:r>
      <w:r>
        <w:rPr>
          <w:rFonts w:hint="eastAsia"/>
          <w:color w:val="auto"/>
          <w:highlight w:val="none"/>
        </w:rPr>
        <w:t>复印件</w:t>
      </w:r>
      <w:r>
        <w:rPr>
          <w:color w:val="auto"/>
          <w:highlight w:val="none"/>
        </w:rPr>
        <w:t>（格式附后）</w:t>
      </w:r>
    </w:p>
    <w:p>
      <w:pPr>
        <w:widowControl/>
        <w:spacing w:line="400" w:lineRule="exact"/>
        <w:jc w:val="left"/>
        <w:rPr>
          <w:color w:val="auto"/>
          <w:highlight w:val="none"/>
        </w:rPr>
      </w:pPr>
      <w:r>
        <w:rPr>
          <w:rFonts w:hint="eastAsia"/>
          <w:color w:val="auto"/>
          <w:highlight w:val="none"/>
        </w:rPr>
        <w:t>采用保证保险，请附投标保证保险复印件（格式附后）</w:t>
      </w:r>
    </w:p>
    <w:p>
      <w:pPr>
        <w:widowControl/>
        <w:spacing w:line="400" w:lineRule="exact"/>
        <w:jc w:val="left"/>
        <w:rPr>
          <w:color w:val="auto"/>
          <w:highlight w:val="none"/>
        </w:rPr>
      </w:pPr>
      <w:r>
        <w:rPr>
          <w:color w:val="auto"/>
          <w:highlight w:val="none"/>
        </w:rPr>
        <w:t>采用承诺的，附投标承诺</w:t>
      </w:r>
      <w:r>
        <w:rPr>
          <w:rFonts w:hint="eastAsia"/>
          <w:color w:val="auto"/>
          <w:highlight w:val="none"/>
        </w:rPr>
        <w:t>复印件</w:t>
      </w:r>
      <w:r>
        <w:rPr>
          <w:color w:val="auto"/>
          <w:highlight w:val="none"/>
        </w:rPr>
        <w:t>（格式附后）</w:t>
      </w:r>
    </w:p>
    <w:p>
      <w:pPr>
        <w:jc w:val="center"/>
        <w:rPr>
          <w:rFonts w:eastAsia="黑体"/>
          <w:color w:val="auto"/>
          <w:sz w:val="30"/>
          <w:szCs w:val="30"/>
          <w:highlight w:val="none"/>
        </w:rPr>
      </w:pPr>
    </w:p>
    <w:p>
      <w:pPr>
        <w:jc w:val="center"/>
        <w:rPr>
          <w:rFonts w:eastAsia="黑体"/>
          <w:color w:val="auto"/>
          <w:sz w:val="30"/>
          <w:szCs w:val="30"/>
          <w:highlight w:val="none"/>
        </w:rPr>
      </w:pPr>
      <w:r>
        <w:rPr>
          <w:rFonts w:eastAsia="黑体"/>
          <w:color w:val="auto"/>
          <w:sz w:val="30"/>
          <w:szCs w:val="30"/>
          <w:highlight w:val="none"/>
        </w:rPr>
        <w:t>投标保函</w:t>
      </w:r>
    </w:p>
    <w:p>
      <w:pPr>
        <w:spacing w:line="480" w:lineRule="exact"/>
        <w:rPr>
          <w:color w:val="auto"/>
          <w:szCs w:val="32"/>
          <w:highlight w:val="none"/>
        </w:rPr>
      </w:pPr>
      <w:r>
        <w:rPr>
          <w:color w:val="auto"/>
          <w:szCs w:val="32"/>
          <w:highlight w:val="none"/>
          <w:u w:val="single"/>
        </w:rPr>
        <w:t xml:space="preserve">                （受益人名称）</w:t>
      </w:r>
      <w:r>
        <w:rPr>
          <w:color w:val="auto"/>
          <w:szCs w:val="32"/>
          <w:highlight w:val="none"/>
        </w:rPr>
        <w:t>：</w:t>
      </w:r>
    </w:p>
    <w:p>
      <w:pPr>
        <w:spacing w:line="480" w:lineRule="exact"/>
        <w:ind w:firstLine="202" w:firstLineChars="100"/>
        <w:rPr>
          <w:color w:val="auto"/>
          <w:szCs w:val="32"/>
          <w:highlight w:val="none"/>
        </w:rPr>
      </w:pPr>
      <w:r>
        <w:rPr>
          <w:color w:val="auto"/>
          <w:szCs w:val="32"/>
          <w:highlight w:val="none"/>
        </w:rPr>
        <w:t>鉴于</w:t>
      </w:r>
      <w:r>
        <w:rPr>
          <w:color w:val="auto"/>
          <w:szCs w:val="32"/>
          <w:highlight w:val="none"/>
          <w:u w:val="single"/>
        </w:rPr>
        <w:t xml:space="preserve">                （投标人名称，以下称“投标人”）</w:t>
      </w:r>
      <w:r>
        <w:rPr>
          <w:color w:val="auto"/>
          <w:szCs w:val="32"/>
          <w:highlight w:val="none"/>
        </w:rPr>
        <w:t>于_____年___月___日参加你方作为招标人组织的</w:t>
      </w:r>
      <w:r>
        <w:rPr>
          <w:color w:val="auto"/>
          <w:szCs w:val="32"/>
          <w:highlight w:val="none"/>
          <w:u w:val="single"/>
        </w:rPr>
        <w:t xml:space="preserve">                </w:t>
      </w:r>
      <w:r>
        <w:rPr>
          <w:color w:val="auto"/>
          <w:szCs w:val="32"/>
          <w:highlight w:val="none"/>
        </w:rPr>
        <w:t>（</w:t>
      </w:r>
      <w:r>
        <w:rPr>
          <w:rFonts w:hint="eastAsia"/>
          <w:color w:val="auto"/>
          <w:szCs w:val="32"/>
          <w:highlight w:val="none"/>
        </w:rPr>
        <w:t>招标项目及标段</w:t>
      </w:r>
      <w:r>
        <w:rPr>
          <w:color w:val="auto"/>
          <w:szCs w:val="32"/>
          <w:highlight w:val="none"/>
        </w:rPr>
        <w:t>）的</w:t>
      </w:r>
      <w:r>
        <w:rPr>
          <w:rFonts w:hint="eastAsia"/>
          <w:color w:val="auto"/>
          <w:szCs w:val="32"/>
          <w:highlight w:val="none"/>
        </w:rPr>
        <w:t>施工</w:t>
      </w:r>
      <w:r>
        <w:rPr>
          <w:color w:val="auto"/>
          <w:szCs w:val="32"/>
          <w:highlight w:val="none"/>
        </w:rPr>
        <w:t>招标投标，我方愿意无条件地、不可撤销就投标人履行</w:t>
      </w:r>
      <w:r>
        <w:rPr>
          <w:color w:val="auto"/>
          <w:szCs w:val="32"/>
          <w:highlight w:val="none"/>
          <w:u w:val="single"/>
        </w:rPr>
        <w:t xml:space="preserve">                     </w:t>
      </w:r>
      <w:r>
        <w:rPr>
          <w:color w:val="auto"/>
          <w:szCs w:val="32"/>
          <w:highlight w:val="none"/>
        </w:rPr>
        <w:t>项目招标文件规定的投标义务，向你方出具见索即付独立保函：</w:t>
      </w:r>
    </w:p>
    <w:p>
      <w:pPr>
        <w:spacing w:line="480" w:lineRule="exact"/>
        <w:ind w:firstLine="404"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元（¥</w:t>
      </w:r>
      <w:r>
        <w:rPr>
          <w:color w:val="auto"/>
          <w:szCs w:val="32"/>
          <w:highlight w:val="none"/>
          <w:u w:val="single"/>
        </w:rPr>
        <w:t xml:space="preserve">             </w:t>
      </w:r>
      <w:r>
        <w:rPr>
          <w:color w:val="auto"/>
          <w:szCs w:val="32"/>
          <w:highlight w:val="none"/>
        </w:rPr>
        <w:t xml:space="preserve"> ） 。</w:t>
      </w:r>
    </w:p>
    <w:p>
      <w:pPr>
        <w:spacing w:line="480" w:lineRule="exact"/>
        <w:ind w:firstLine="404" w:firstLineChars="200"/>
        <w:rPr>
          <w:color w:val="auto"/>
          <w:szCs w:val="32"/>
          <w:highlight w:val="none"/>
        </w:rPr>
      </w:pPr>
      <w:r>
        <w:rPr>
          <w:color w:val="auto"/>
          <w:szCs w:val="32"/>
          <w:highlight w:val="none"/>
        </w:rPr>
        <w:t>2．保函有效期自______年____月_____日至______年____月_____日止。</w:t>
      </w:r>
    </w:p>
    <w:p>
      <w:pPr>
        <w:spacing w:line="480" w:lineRule="exact"/>
        <w:ind w:firstLine="404" w:firstLineChars="200"/>
        <w:rPr>
          <w:color w:val="auto"/>
          <w:szCs w:val="32"/>
          <w:highlight w:val="none"/>
          <w:shd w:val="clear" w:color="auto" w:fill="FFFFFF"/>
        </w:rPr>
      </w:pPr>
      <w:r>
        <w:rPr>
          <w:color w:val="auto"/>
          <w:szCs w:val="32"/>
          <w:highlight w:val="none"/>
        </w:rPr>
        <w:t>3．在本保函有效期内，</w:t>
      </w:r>
      <w:r>
        <w:rPr>
          <w:color w:val="auto"/>
          <w:szCs w:val="32"/>
          <w:highlight w:val="none"/>
          <w:shd w:val="clear" w:color="auto" w:fill="FFFFFF"/>
        </w:rPr>
        <w:t>投标人存在下列未履行相关投标义务情形之一的，</w:t>
      </w:r>
      <w:r>
        <w:rPr>
          <w:color w:val="auto"/>
          <w:szCs w:val="32"/>
          <w:highlight w:val="none"/>
        </w:rPr>
        <w:t>我方在收到你方提出的书面</w:t>
      </w:r>
      <w:r>
        <w:rPr>
          <w:color w:val="auto"/>
          <w:szCs w:val="32"/>
          <w:highlight w:val="none"/>
          <w:shd w:val="clear" w:color="auto" w:fill="FFFFFF"/>
        </w:rPr>
        <w:t>索赔通知以及本保函原件后，在10个工作日内支付累计总额不超过本保函第1款约定的经济补偿金。</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（1）投标人拒绝按照招标文件、投标文件或中标通知书要求与你方签订合同；</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（2）投标截止后，投标人要求修改、补充或撤销投标文件的实质性内容或者要求更改招标文件和中标通知书的实质性内容；</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（3）投标人拒绝按招标文件规定的时间、金额、形式提交履约担保;</w:t>
      </w:r>
      <w:r>
        <w:rPr>
          <w:color w:val="auto"/>
          <w:szCs w:val="32"/>
          <w:highlight w:val="none"/>
          <w:shd w:val="clear" w:color="auto" w:fill="FFFFFF"/>
        </w:rPr>
        <w:tab/>
      </w:r>
      <w:r>
        <w:rPr>
          <w:color w:val="auto"/>
          <w:szCs w:val="32"/>
          <w:highlight w:val="none"/>
          <w:shd w:val="clear" w:color="auto" w:fill="FFFFFF"/>
        </w:rPr>
        <w:tab/>
      </w:r>
    </w:p>
    <w:p>
      <w:pPr>
        <w:tabs>
          <w:tab w:val="left" w:pos="2184"/>
        </w:tabs>
        <w:spacing w:line="480" w:lineRule="exact"/>
        <w:ind w:firstLine="615"/>
        <w:rPr>
          <w:color w:val="auto"/>
          <w:szCs w:val="32"/>
          <w:highlight w:val="none"/>
          <w:shd w:val="clear" w:color="auto" w:fill="FFFFFF"/>
        </w:rPr>
      </w:pPr>
      <w:r>
        <w:rPr>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pPr>
        <w:spacing w:line="480" w:lineRule="exact"/>
        <w:ind w:firstLine="404" w:firstLineChars="200"/>
        <w:jc w:val="left"/>
        <w:rPr>
          <w:color w:val="auto"/>
          <w:szCs w:val="32"/>
          <w:highlight w:val="none"/>
        </w:rPr>
      </w:pPr>
      <w:r>
        <w:rPr>
          <w:color w:val="auto"/>
          <w:szCs w:val="32"/>
          <w:highlight w:val="none"/>
          <w:shd w:val="clear" w:color="auto" w:fill="FFFFFF"/>
        </w:rPr>
        <w:t>4．你方的索赔通知，应当符合下列要求：</w:t>
      </w:r>
    </w:p>
    <w:p>
      <w:pPr>
        <w:spacing w:line="480" w:lineRule="exact"/>
        <w:ind w:firstLine="404" w:firstLineChars="200"/>
        <w:rPr>
          <w:color w:val="auto"/>
          <w:szCs w:val="32"/>
          <w:highlight w:val="none"/>
        </w:rPr>
      </w:pPr>
      <w:r>
        <w:rPr>
          <w:color w:val="auto"/>
          <w:szCs w:val="32"/>
          <w:highlight w:val="none"/>
        </w:rPr>
        <w:t>（1）索赔通知应当列明索赔金额，由你方加盖单位公章和法定代表人印章；</w:t>
      </w:r>
    </w:p>
    <w:p>
      <w:pPr>
        <w:spacing w:line="480" w:lineRule="exact"/>
        <w:ind w:firstLine="404"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pPr>
        <w:spacing w:line="480" w:lineRule="exact"/>
        <w:ind w:firstLine="404" w:firstLineChars="200"/>
        <w:rPr>
          <w:color w:val="auto"/>
          <w:szCs w:val="32"/>
          <w:highlight w:val="none"/>
          <w:shd w:val="clear" w:color="auto" w:fill="FFFFFF"/>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pPr>
        <w:spacing w:line="480" w:lineRule="exact"/>
        <w:ind w:firstLine="404" w:firstLineChars="200"/>
        <w:rPr>
          <w:color w:val="auto"/>
          <w:szCs w:val="32"/>
          <w:highlight w:val="none"/>
        </w:rPr>
      </w:pPr>
      <w:r>
        <w:rPr>
          <w:color w:val="auto"/>
          <w:szCs w:val="32"/>
          <w:highlight w:val="none"/>
        </w:rPr>
        <w:t>5．本保函有效期届满，无论是否将保函原件退回我方，本保函自行失效。我方在本保函</w:t>
      </w:r>
      <w:r>
        <w:rPr>
          <w:strike/>
          <w:color w:val="auto"/>
          <w:szCs w:val="32"/>
          <w:highlight w:val="none"/>
        </w:rPr>
        <w:t>（</w:t>
      </w:r>
      <w:r>
        <w:rPr>
          <w:color w:val="auto"/>
          <w:szCs w:val="32"/>
          <w:highlight w:val="none"/>
        </w:rPr>
        <w:t>项下的保证责任解除，此后提出的要求我方履行担保责任的主张无效。</w:t>
      </w:r>
    </w:p>
    <w:p>
      <w:pPr>
        <w:spacing w:line="480" w:lineRule="exact"/>
        <w:ind w:firstLine="2018" w:firstLineChars="999"/>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 xml:space="preserve">（盖章） </w:t>
      </w:r>
    </w:p>
    <w:p>
      <w:pPr>
        <w:spacing w:line="480" w:lineRule="exact"/>
        <w:ind w:firstLine="2014" w:firstLineChars="997"/>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pPr>
        <w:spacing w:line="480" w:lineRule="exact"/>
        <w:ind w:firstLine="2018" w:firstLineChars="999"/>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3434" w:firstLineChars="17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rPr>
          <w:color w:val="auto"/>
          <w:szCs w:val="32"/>
          <w:highlight w:val="none"/>
        </w:rPr>
        <w:sectPr>
          <w:pgSz w:w="11906" w:h="16838"/>
          <w:pgMar w:top="1440" w:right="1440" w:bottom="1440" w:left="1440" w:header="1134" w:footer="851" w:gutter="0"/>
          <w:cols w:space="720" w:num="1"/>
          <w:docGrid w:type="linesAndChars" w:linePitch="574" w:charSpace="-1683"/>
        </w:sectPr>
      </w:pPr>
      <w:r>
        <w:rPr>
          <w:rFonts w:hint="eastAsia"/>
          <w:color w:val="auto"/>
          <w:szCs w:val="32"/>
          <w:highlight w:val="none"/>
        </w:rPr>
        <w:t>说明：保函开立人可以根据项目具体情况</w:t>
      </w:r>
      <w:r>
        <w:rPr>
          <w:rFonts w:hint="eastAsia"/>
          <w:color w:val="auto"/>
          <w:szCs w:val="32"/>
          <w:highlight w:val="none"/>
          <w:lang w:val="en-US" w:eastAsia="zh-CN"/>
        </w:rPr>
        <w:t>调整</w:t>
      </w:r>
      <w:r>
        <w:rPr>
          <w:rFonts w:hint="eastAsia"/>
          <w:color w:val="auto"/>
          <w:szCs w:val="32"/>
          <w:highlight w:val="none"/>
        </w:rPr>
        <w:t>相关条款，但不得违背招标文件的实质性内容，以及相关法律法规的规定。</w:t>
      </w:r>
    </w:p>
    <w:p>
      <w:pPr>
        <w:jc w:val="cente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建设工程投标保证保险</w:t>
      </w:r>
    </w:p>
    <w:p>
      <w:pPr>
        <w:pStyle w:val="133"/>
        <w:snapToGrid w:val="0"/>
        <w:spacing w:after="0" w:line="380" w:lineRule="exact"/>
        <w:rPr>
          <w:rFonts w:ascii="华文楷体" w:hAnsi="华文楷体" w:eastAsia="华文楷体"/>
          <w:color w:val="auto"/>
          <w:sz w:val="21"/>
          <w:szCs w:val="21"/>
          <w:highlight w:val="none"/>
        </w:rPr>
      </w:pPr>
      <w:r>
        <w:rPr>
          <w:rFonts w:ascii="华文楷体" w:hAnsi="华文楷体" w:eastAsia="华文楷体"/>
          <w:color w:val="auto"/>
          <w:sz w:val="21"/>
          <w:szCs w:val="21"/>
          <w:highlight w:val="none"/>
          <w:u w:val="single"/>
        </w:rPr>
        <w:t xml:space="preserve">                       </w:t>
      </w:r>
      <w:r>
        <w:rPr>
          <w:rFonts w:hint="eastAsia" w:ascii="华文楷体" w:hAnsi="华文楷体" w:eastAsia="华文楷体"/>
          <w:color w:val="auto"/>
          <w:sz w:val="21"/>
          <w:szCs w:val="21"/>
          <w:highlight w:val="none"/>
          <w:u w:val="single"/>
        </w:rPr>
        <w:t xml:space="preserve"> </w:t>
      </w:r>
      <w:r>
        <w:rPr>
          <w:rFonts w:hint="eastAsia" w:hAnsi="宋体" w:cs="宋体"/>
          <w:color w:val="auto"/>
          <w:sz w:val="21"/>
          <w:szCs w:val="21"/>
          <w:highlight w:val="none"/>
          <w:u w:val="single"/>
        </w:rPr>
        <w:t xml:space="preserve"> （招标人名称</w:t>
      </w:r>
      <w:r>
        <w:rPr>
          <w:rFonts w:hint="eastAsia" w:ascii="华文楷体" w:hAnsi="华文楷体" w:eastAsia="华文楷体"/>
          <w:color w:val="auto"/>
          <w:sz w:val="21"/>
          <w:szCs w:val="21"/>
          <w:highlight w:val="none"/>
          <w:u w:val="single"/>
        </w:rPr>
        <w:t>）</w:t>
      </w:r>
      <w:r>
        <w:rPr>
          <w:rFonts w:hint="eastAsia" w:ascii="华文楷体" w:hAnsi="华文楷体" w:eastAsia="华文楷体"/>
          <w:color w:val="auto"/>
          <w:sz w:val="21"/>
          <w:szCs w:val="21"/>
          <w:highlight w:val="none"/>
        </w:rPr>
        <w:t>：</w:t>
      </w:r>
      <w:r>
        <w:rPr>
          <w:rFonts w:ascii="华文楷体" w:hAnsi="华文楷体" w:eastAsia="华文楷体"/>
          <w:color w:val="auto"/>
          <w:sz w:val="21"/>
          <w:szCs w:val="21"/>
          <w:highlight w:val="none"/>
        </w:rPr>
        <w:t xml:space="preserve"> </w:t>
      </w:r>
    </w:p>
    <w:p>
      <w:pPr>
        <w:pStyle w:val="133"/>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投标人名称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（以下简称“投标人”）于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招标项目及标段   </w:t>
      </w:r>
      <w:r>
        <w:rPr>
          <w:rFonts w:hint="eastAsia" w:hAnsi="宋体" w:cs="宋体"/>
          <w:color w:val="auto"/>
          <w:sz w:val="21"/>
          <w:szCs w:val="21"/>
          <w:highlight w:val="none"/>
        </w:rPr>
        <w:t>施工的招标投标，并向我方投保建设工程投标保证保险（保险单号：              ）。我方愿就投标人履行招标文件规定的投标义务，向贵方提供如下保证保险：</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我方保证保险的保险金额（最高限额）为人民币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 xml:space="preserve"> ）</w:t>
      </w:r>
      <w:r>
        <w:rPr>
          <w:rFonts w:hint="eastAsia" w:ascii="宋体" w:hAnsi="宋体" w:cs="宋体"/>
          <w:color w:val="auto"/>
          <w:szCs w:val="21"/>
          <w:highlight w:val="none"/>
        </w:rPr>
        <w:t>。</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我方在投标人发生以下情形之一时，承担保险责任：</w:t>
      </w:r>
    </w:p>
    <w:p>
      <w:pPr>
        <w:pStyle w:val="133"/>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1、投标截止后投标人违反招标文件的规定修改、补充或撤销投标文件的实质性内容或者要求更改招标文件和中标通知书的实质性内容；</w:t>
      </w:r>
    </w:p>
    <w:p>
      <w:pPr>
        <w:pStyle w:val="133"/>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2、投标人中标后未按招标文件或中标通知书的要求签署合同；</w:t>
      </w:r>
    </w:p>
    <w:p>
      <w:pPr>
        <w:pStyle w:val="133"/>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3、《建设工程招标文件》规定的其他有关投标实质性违约情形。</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个工作日内进行核定后，按照保险合同的约定承担保证保险责任。</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四、保单凭证的生效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本保单凭证自我方加盖保单专用章并交付贵方之日起生效。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具体保险期限以保险合同载明为准。</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bCs/>
          <w:color w:val="auto"/>
          <w:szCs w:val="21"/>
          <w:highlight w:val="none"/>
        </w:rPr>
        <w:t>本保险保单凭证/保函载明事宜以保险合同约定为准。</w:t>
      </w:r>
    </w:p>
    <w:p>
      <w:pPr>
        <w:snapToGrid w:val="0"/>
        <w:spacing w:line="380" w:lineRule="exact"/>
        <w:ind w:firstLine="404"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六、本保单凭证/保函自保险人或授权代理人签字并加盖公章之日起生效。</w:t>
      </w:r>
    </w:p>
    <w:p>
      <w:pPr>
        <w:pStyle w:val="182"/>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pPr>
        <w:pStyle w:val="182"/>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pPr>
        <w:spacing w:line="4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pPr>
        <w:spacing w:line="480" w:lineRule="exact"/>
        <w:rPr>
          <w:color w:val="auto"/>
          <w:szCs w:val="32"/>
          <w:highlight w:val="none"/>
        </w:rPr>
        <w:sectPr>
          <w:pgSz w:w="11906" w:h="16838"/>
          <w:pgMar w:top="1440" w:right="1588" w:bottom="1440" w:left="1440" w:header="1134" w:footer="851" w:gutter="0"/>
          <w:cols w:space="720" w:num="1"/>
          <w:docGrid w:type="linesAndChars" w:linePitch="574" w:charSpace="-1683"/>
        </w:sectPr>
      </w:pPr>
      <w:r>
        <w:rPr>
          <w:rFonts w:hint="eastAsia" w:ascii="Times New Roman" w:hAnsi="Times New Roman" w:eastAsia="宋体" w:cs="Times New Roman"/>
          <w:color w:val="auto"/>
          <w:szCs w:val="32"/>
          <w:highlight w:val="none"/>
        </w:rPr>
        <w:t>说明：</w:t>
      </w:r>
      <w:r>
        <w:rPr>
          <w:rFonts w:hint="eastAsia" w:ascii="Times New Roman" w:hAnsi="Times New Roman" w:eastAsia="宋体" w:cs="Times New Roman"/>
          <w:color w:val="auto"/>
          <w:szCs w:val="32"/>
          <w:highlight w:val="none"/>
          <w:lang w:val="en-US" w:eastAsia="zh-CN"/>
        </w:rPr>
        <w:t>保证保险</w:t>
      </w:r>
      <w:r>
        <w:rPr>
          <w:rFonts w:hint="eastAsia" w:ascii="Times New Roman" w:hAnsi="Times New Roman" w:eastAsia="宋体" w:cs="Times New Roman"/>
          <w:color w:val="auto"/>
          <w:szCs w:val="32"/>
          <w:highlight w:val="none"/>
        </w:rPr>
        <w:t>开立人可以根据项目具体情况</w:t>
      </w:r>
      <w:r>
        <w:rPr>
          <w:rFonts w:hint="eastAsia" w:ascii="Times New Roman" w:hAnsi="Times New Roman" w:eastAsia="宋体" w:cs="Times New Roman"/>
          <w:color w:val="auto"/>
          <w:szCs w:val="32"/>
          <w:highlight w:val="none"/>
          <w:lang w:val="en-US" w:eastAsia="zh-CN"/>
        </w:rPr>
        <w:t>调整</w:t>
      </w:r>
      <w:r>
        <w:rPr>
          <w:rFonts w:hint="eastAsia" w:ascii="Times New Roman" w:hAnsi="Times New Roman" w:eastAsia="宋体" w:cs="Times New Roman"/>
          <w:color w:val="auto"/>
          <w:szCs w:val="32"/>
          <w:highlight w:val="none"/>
        </w:rPr>
        <w:t>相关条款，但不得违背招标文件的实质性内容，以及相关法律法规的规定。</w:t>
      </w:r>
    </w:p>
    <w:p>
      <w:pPr>
        <w:widowControl/>
        <w:jc w:val="left"/>
        <w:rPr>
          <w:color w:val="auto"/>
          <w:highlight w:val="none"/>
        </w:rPr>
      </w:pPr>
    </w:p>
    <w:p>
      <w:pPr>
        <w:adjustRightInd w:val="0"/>
        <w:snapToGrid w:val="0"/>
        <w:jc w:val="center"/>
        <w:rPr>
          <w:rFonts w:eastAsia="黑体"/>
          <w:color w:val="auto"/>
          <w:sz w:val="30"/>
          <w:szCs w:val="30"/>
          <w:highlight w:val="none"/>
        </w:rPr>
      </w:pPr>
      <w:r>
        <w:rPr>
          <w:rFonts w:eastAsia="黑体"/>
          <w:color w:val="auto"/>
          <w:sz w:val="30"/>
          <w:szCs w:val="30"/>
          <w:highlight w:val="none"/>
        </w:rPr>
        <w:t>投标承诺</w:t>
      </w:r>
    </w:p>
    <w:p>
      <w:pPr>
        <w:adjustRightInd w:val="0"/>
        <w:snapToGrid w:val="0"/>
        <w:spacing w:line="480" w:lineRule="exact"/>
        <w:jc w:val="left"/>
        <w:rPr>
          <w:color w:val="auto"/>
          <w:sz w:val="24"/>
          <w:highlight w:val="none"/>
        </w:rPr>
      </w:pPr>
    </w:p>
    <w:p>
      <w:pPr>
        <w:spacing w:line="480" w:lineRule="exact"/>
        <w:rPr>
          <w:color w:val="auto"/>
          <w:szCs w:val="32"/>
          <w:highlight w:val="none"/>
        </w:rPr>
      </w:pPr>
      <w:r>
        <w:rPr>
          <w:color w:val="auto"/>
          <w:szCs w:val="32"/>
          <w:highlight w:val="none"/>
          <w:u w:val="single"/>
        </w:rPr>
        <w:t xml:space="preserve">                （招标人名称）</w:t>
      </w:r>
      <w:r>
        <w:rPr>
          <w:color w:val="auto"/>
          <w:szCs w:val="32"/>
          <w:highlight w:val="none"/>
        </w:rPr>
        <w:t xml:space="preserve"> ：</w:t>
      </w:r>
    </w:p>
    <w:p>
      <w:pPr>
        <w:spacing w:line="480" w:lineRule="exact"/>
        <w:ind w:firstLine="640"/>
        <w:rPr>
          <w:color w:val="auto"/>
          <w:szCs w:val="32"/>
          <w:highlight w:val="none"/>
          <w:u w:val="single"/>
        </w:rPr>
      </w:pPr>
      <w:r>
        <w:rPr>
          <w:color w:val="auto"/>
          <w:szCs w:val="32"/>
          <w:highlight w:val="none"/>
        </w:rPr>
        <w:t>经慎重研究，我公司</w:t>
      </w:r>
      <w:r>
        <w:rPr>
          <w:color w:val="auto"/>
          <w:szCs w:val="32"/>
          <w:highlight w:val="none"/>
          <w:u w:val="single"/>
        </w:rPr>
        <w:t xml:space="preserve">          投标人名称</w:t>
      </w:r>
      <w:r>
        <w:rPr>
          <w:rFonts w:hint="eastAsia"/>
          <w:color w:val="auto"/>
          <w:szCs w:val="32"/>
          <w:highlight w:val="none"/>
          <w:u w:val="single"/>
        </w:rPr>
        <w:t xml:space="preserve">  </w:t>
      </w:r>
      <w:r>
        <w:rPr>
          <w:rFonts w:hint="eastAsia"/>
          <w:color w:val="auto"/>
          <w:szCs w:val="32"/>
          <w:highlight w:val="none"/>
        </w:rPr>
        <w:t>（</w:t>
      </w:r>
      <w:r>
        <w:rPr>
          <w:color w:val="auto"/>
          <w:szCs w:val="32"/>
          <w:highlight w:val="none"/>
        </w:rPr>
        <w:t>以下称“投标人”）决定于______年____月_____日参与你方组织的</w:t>
      </w:r>
      <w:r>
        <w:rPr>
          <w:color w:val="auto"/>
          <w:szCs w:val="32"/>
          <w:highlight w:val="none"/>
          <w:u w:val="single"/>
        </w:rPr>
        <w:t xml:space="preserve">      </w:t>
      </w:r>
      <w:r>
        <w:rPr>
          <w:rFonts w:hint="eastAsia"/>
          <w:color w:val="auto"/>
          <w:szCs w:val="32"/>
          <w:highlight w:val="none"/>
          <w:u w:val="single"/>
        </w:rPr>
        <w:t xml:space="preserve">招标项目及标段   </w:t>
      </w:r>
      <w:r>
        <w:rPr>
          <w:color w:val="auto"/>
          <w:szCs w:val="32"/>
          <w:highlight w:val="none"/>
        </w:rPr>
        <w:t>的</w:t>
      </w:r>
      <w:r>
        <w:rPr>
          <w:rFonts w:hint="eastAsia"/>
          <w:color w:val="auto"/>
          <w:szCs w:val="32"/>
          <w:highlight w:val="none"/>
        </w:rPr>
        <w:t>施工</w:t>
      </w:r>
      <w:r>
        <w:rPr>
          <w:color w:val="auto"/>
          <w:szCs w:val="32"/>
          <w:highlight w:val="none"/>
        </w:rPr>
        <w:t>招标投标，我方承诺严格按照《招标投标法》及其实施条例等法律法规和政策文件的要求，履行投标义务。</w:t>
      </w:r>
    </w:p>
    <w:p>
      <w:pPr>
        <w:spacing w:line="480" w:lineRule="exact"/>
        <w:ind w:firstLine="640"/>
        <w:rPr>
          <w:color w:val="auto"/>
          <w:szCs w:val="32"/>
          <w:highlight w:val="none"/>
        </w:rPr>
      </w:pPr>
      <w:r>
        <w:rPr>
          <w:color w:val="auto"/>
          <w:szCs w:val="32"/>
          <w:highlight w:val="none"/>
        </w:rPr>
        <w:t>如果发生不履行相关投标义务的行为，自愿接受按法律法规和招标文件作出的处理。</w:t>
      </w:r>
    </w:p>
    <w:p>
      <w:pPr>
        <w:adjustRightInd w:val="0"/>
        <w:snapToGrid w:val="0"/>
        <w:spacing w:line="480" w:lineRule="exact"/>
        <w:jc w:val="left"/>
        <w:rPr>
          <w:color w:val="auto"/>
          <w:szCs w:val="32"/>
          <w:highlight w:val="none"/>
        </w:rPr>
      </w:pPr>
    </w:p>
    <w:p>
      <w:pPr>
        <w:adjustRightInd w:val="0"/>
        <w:snapToGrid w:val="0"/>
        <w:spacing w:line="480" w:lineRule="exact"/>
        <w:jc w:val="left"/>
        <w:rPr>
          <w:color w:val="auto"/>
          <w:szCs w:val="32"/>
          <w:highlight w:val="none"/>
        </w:rPr>
      </w:pPr>
    </w:p>
    <w:p>
      <w:pPr>
        <w:spacing w:line="480" w:lineRule="exact"/>
        <w:ind w:right="404" w:firstLine="2121" w:firstLineChars="1050"/>
        <w:rPr>
          <w:color w:val="auto"/>
          <w:szCs w:val="32"/>
          <w:highlight w:val="none"/>
        </w:rPr>
      </w:pPr>
      <w:r>
        <w:rPr>
          <w:color w:val="auto"/>
          <w:szCs w:val="32"/>
          <w:highlight w:val="none"/>
        </w:rPr>
        <w:t>投标人：</w:t>
      </w:r>
      <w:r>
        <w:rPr>
          <w:color w:val="auto"/>
          <w:szCs w:val="32"/>
          <w:highlight w:val="none"/>
          <w:u w:val="single"/>
        </w:rPr>
        <w:t xml:space="preserve">                         </w:t>
      </w:r>
      <w:r>
        <w:rPr>
          <w:color w:val="auto"/>
          <w:szCs w:val="32"/>
          <w:highlight w:val="none"/>
        </w:rPr>
        <w:t>（盖章）</w:t>
      </w:r>
    </w:p>
    <w:p>
      <w:pPr>
        <w:spacing w:line="480" w:lineRule="exact"/>
        <w:ind w:firstLine="2020" w:firstLineChars="1000"/>
        <w:rPr>
          <w:color w:val="auto"/>
          <w:szCs w:val="32"/>
          <w:highlight w:val="none"/>
        </w:rPr>
      </w:pPr>
      <w:r>
        <w:rPr>
          <w:color w:val="auto"/>
          <w:szCs w:val="32"/>
          <w:highlight w:val="none"/>
        </w:rPr>
        <w:t xml:space="preserve"> 法定代表人：</w:t>
      </w:r>
      <w:r>
        <w:rPr>
          <w:color w:val="auto"/>
          <w:szCs w:val="32"/>
          <w:highlight w:val="none"/>
          <w:u w:val="single"/>
        </w:rPr>
        <w:t xml:space="preserve">             </w:t>
      </w:r>
      <w:r>
        <w:rPr>
          <w:color w:val="auto"/>
          <w:szCs w:val="32"/>
          <w:highlight w:val="none"/>
        </w:rPr>
        <w:t>（签字或盖章）</w:t>
      </w:r>
    </w:p>
    <w:p>
      <w:pPr>
        <w:spacing w:line="480" w:lineRule="exact"/>
        <w:ind w:firstLine="2121" w:firstLineChars="1050"/>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707" w:firstLineChars="350"/>
        <w:rPr>
          <w:color w:val="auto"/>
          <w:szCs w:val="32"/>
          <w:highlight w:val="none"/>
        </w:rPr>
      </w:pPr>
    </w:p>
    <w:p>
      <w:pPr>
        <w:spacing w:line="480" w:lineRule="exact"/>
        <w:ind w:firstLine="2929" w:firstLineChars="1450"/>
        <w:rPr>
          <w:color w:val="auto"/>
          <w:szCs w:val="32"/>
          <w:highlight w:val="none"/>
        </w:rPr>
        <w:sectPr>
          <w:pgSz w:w="11906" w:h="16838"/>
          <w:pgMar w:top="1440" w:right="1440" w:bottom="1440" w:left="1440" w:header="1701" w:footer="1701" w:gutter="0"/>
          <w:cols w:space="720" w:num="1"/>
          <w:docGrid w:type="linesAndChars" w:linePitch="574" w:charSpace="-1683"/>
        </w:sect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pStyle w:val="3"/>
        <w:jc w:val="center"/>
        <w:rPr>
          <w:rFonts w:ascii="Times New Roman" w:hAnsi="Times New Roman" w:eastAsia="黑体"/>
          <w:b w:val="0"/>
          <w:bCs w:val="0"/>
          <w:color w:val="auto"/>
          <w:sz w:val="30"/>
          <w:highlight w:val="none"/>
        </w:rPr>
      </w:pPr>
      <w:bookmarkStart w:id="1010" w:name="_Toc80006157"/>
      <w:bookmarkStart w:id="1011" w:name="_Toc9178584"/>
      <w:bookmarkStart w:id="1012" w:name="_Toc80006267"/>
      <w:bookmarkStart w:id="1013" w:name="_Toc300678574"/>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项目管理机构</w:t>
      </w:r>
      <w:bookmarkEnd w:id="1010"/>
      <w:bookmarkEnd w:id="1011"/>
      <w:bookmarkEnd w:id="1012"/>
      <w:bookmarkEnd w:id="1013"/>
    </w:p>
    <w:p>
      <w:pPr>
        <w:pStyle w:val="4"/>
        <w:jc w:val="center"/>
        <w:rPr>
          <w:rFonts w:eastAsia="黑体"/>
          <w:b w:val="0"/>
          <w:bCs w:val="0"/>
          <w:color w:val="auto"/>
          <w:sz w:val="28"/>
          <w:highlight w:val="none"/>
        </w:rPr>
      </w:pPr>
      <w:bookmarkStart w:id="1014" w:name="_Toc80006158"/>
      <w:bookmarkStart w:id="1015" w:name="_Toc80006268"/>
      <w:bookmarkStart w:id="1016" w:name="_Toc79998444"/>
      <w:bookmarkStart w:id="1017" w:name="_Toc79998888"/>
      <w:r>
        <w:rPr>
          <w:rFonts w:eastAsia="黑体"/>
          <w:b w:val="0"/>
          <w:bCs w:val="0"/>
          <w:color w:val="auto"/>
          <w:sz w:val="28"/>
          <w:highlight w:val="none"/>
        </w:rPr>
        <w:t>（</w:t>
      </w:r>
      <w:r>
        <w:rPr>
          <w:rFonts w:hint="eastAsia" w:eastAsia="黑体"/>
          <w:b w:val="0"/>
          <w:bCs w:val="0"/>
          <w:color w:val="auto"/>
          <w:sz w:val="28"/>
          <w:highlight w:val="none"/>
        </w:rPr>
        <w:t>1</w:t>
      </w:r>
      <w:r>
        <w:rPr>
          <w:rFonts w:eastAsia="黑体"/>
          <w:b w:val="0"/>
          <w:bCs w:val="0"/>
          <w:color w:val="auto"/>
          <w:sz w:val="28"/>
          <w:highlight w:val="none"/>
        </w:rPr>
        <w:t>）项目管理机构组成表</w:t>
      </w:r>
      <w:bookmarkEnd w:id="1014"/>
      <w:bookmarkEnd w:id="1015"/>
      <w:bookmarkEnd w:id="1016"/>
      <w:bookmarkEnd w:id="1017"/>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5576"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执业或岗位资格证明</w:t>
            </w:r>
          </w:p>
        </w:tc>
        <w:tc>
          <w:tcPr>
            <w:tcW w:w="151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51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ind w:firstLine="435"/>
        <w:rPr>
          <w:color w:val="auto"/>
          <w:szCs w:val="21"/>
          <w:highlight w:val="none"/>
        </w:rPr>
      </w:pPr>
      <w:r>
        <w:rPr>
          <w:rFonts w:hint="eastAsia"/>
          <w:color w:val="auto"/>
          <w:szCs w:val="21"/>
          <w:highlight w:val="none"/>
        </w:rPr>
        <w:t>说明</w:t>
      </w:r>
      <w:r>
        <w:rPr>
          <w:color w:val="auto"/>
          <w:szCs w:val="21"/>
          <w:highlight w:val="none"/>
        </w:rPr>
        <w:t>：项目管理机构人员是指项目经理。</w:t>
      </w:r>
    </w:p>
    <w:p>
      <w:pPr>
        <w:pStyle w:val="4"/>
        <w:rPr>
          <w:rFonts w:eastAsia="黑体"/>
          <w:b w:val="0"/>
          <w:bCs w:val="0"/>
          <w:color w:val="auto"/>
          <w:sz w:val="28"/>
          <w:highlight w:val="none"/>
        </w:rPr>
      </w:pPr>
      <w:r>
        <w:rPr>
          <w:color w:val="auto"/>
          <w:szCs w:val="21"/>
          <w:highlight w:val="none"/>
        </w:rPr>
        <w:br w:type="page"/>
      </w:r>
      <w:bookmarkStart w:id="1018" w:name="_Toc300678575"/>
      <w:bookmarkStart w:id="1019" w:name="_Toc9178585"/>
    </w:p>
    <w:bookmarkEnd w:id="1018"/>
    <w:bookmarkEnd w:id="1019"/>
    <w:p>
      <w:pPr>
        <w:pStyle w:val="5"/>
        <w:jc w:val="center"/>
        <w:rPr>
          <w:b w:val="0"/>
          <w:color w:val="auto"/>
          <w:szCs w:val="21"/>
          <w:highlight w:val="none"/>
        </w:rPr>
      </w:pPr>
      <w:bookmarkStart w:id="1020" w:name="_Toc300678576"/>
      <w:bookmarkStart w:id="1021" w:name="_Toc80006269"/>
      <w:bookmarkStart w:id="1022" w:name="_Toc79998445"/>
      <w:bookmarkStart w:id="1023" w:name="_Toc80006159"/>
      <w:bookmarkStart w:id="1024" w:name="_Toc79998889"/>
      <w:r>
        <w:rPr>
          <w:rFonts w:eastAsia="黑体"/>
          <w:b w:val="0"/>
          <w:bCs w:val="0"/>
          <w:color w:val="auto"/>
          <w:sz w:val="28"/>
          <w:highlight w:val="none"/>
        </w:rPr>
        <w:t>（</w:t>
      </w:r>
      <w:r>
        <w:rPr>
          <w:rFonts w:hint="eastAsia" w:eastAsia="黑体"/>
          <w:b w:val="0"/>
          <w:bCs w:val="0"/>
          <w:color w:val="auto"/>
          <w:sz w:val="28"/>
          <w:highlight w:val="none"/>
        </w:rPr>
        <w:t>2</w:t>
      </w:r>
      <w:r>
        <w:rPr>
          <w:rFonts w:eastAsia="黑体"/>
          <w:b w:val="0"/>
          <w:bCs w:val="0"/>
          <w:color w:val="auto"/>
          <w:sz w:val="28"/>
          <w:highlight w:val="none"/>
        </w:rPr>
        <w:t>）</w:t>
      </w:r>
      <w:r>
        <w:rPr>
          <w:rFonts w:ascii="Times New Roman" w:hAnsi="Times New Roman" w:eastAsia="黑体" w:cs="Times New Roman"/>
          <w:b w:val="0"/>
          <w:bCs w:val="0"/>
          <w:color w:val="auto"/>
          <w:kern w:val="0"/>
          <w:sz w:val="28"/>
          <w:szCs w:val="24"/>
          <w:highlight w:val="none"/>
        </w:rPr>
        <w:t>拟任项目经理简历表</w:t>
      </w:r>
    </w:p>
    <w:bookmarkEnd w:id="1020"/>
    <w:bookmarkEnd w:id="1021"/>
    <w:bookmarkEnd w:id="1022"/>
    <w:bookmarkEnd w:id="1023"/>
    <w:bookmarkEnd w:id="1024"/>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拟在本工程任职</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注册建造师执业资格等级</w:t>
            </w: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级</w:t>
            </w: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建造师专业</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安全生产考核合格证书证号</w:t>
            </w:r>
          </w:p>
        </w:tc>
        <w:tc>
          <w:tcPr>
            <w:tcW w:w="499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参加过的类似项目名称</w:t>
            </w: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工程概况说明</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spacing w:line="300" w:lineRule="auto"/>
        <w:jc w:val="left"/>
        <w:rPr>
          <w:color w:val="auto"/>
          <w:kern w:val="0"/>
          <w:sz w:val="18"/>
          <w:szCs w:val="18"/>
          <w:highlight w:val="none"/>
        </w:rPr>
      </w:pPr>
      <w:r>
        <w:rPr>
          <w:color w:val="auto"/>
          <w:kern w:val="0"/>
          <w:sz w:val="18"/>
          <w:szCs w:val="18"/>
          <w:highlight w:val="none"/>
        </w:rPr>
        <w:t xml:space="preserve">    </w:t>
      </w:r>
    </w:p>
    <w:p>
      <w:pPr>
        <w:spacing w:line="360" w:lineRule="auto"/>
        <w:rPr>
          <w:color w:val="auto"/>
          <w:highlight w:val="none"/>
        </w:rPr>
      </w:pPr>
      <w:r>
        <w:rPr>
          <w:rFonts w:hint="eastAsia"/>
          <w:color w:val="auto"/>
          <w:highlight w:val="none"/>
        </w:rPr>
        <w:t>说明：</w:t>
      </w:r>
    </w:p>
    <w:p>
      <w:pPr>
        <w:ind w:firstLine="420" w:firstLineChars="200"/>
        <w:rPr>
          <w:color w:val="auto"/>
          <w:highlight w:val="none"/>
        </w:rPr>
      </w:pPr>
      <w:r>
        <w:rPr>
          <w:color w:val="auto"/>
          <w:highlight w:val="none"/>
        </w:rPr>
        <w:t>1.请提供拟任项目经理的建造师注册证书、项目负责人安全生产考核合格证书、身份证</w:t>
      </w:r>
      <w:r>
        <w:rPr>
          <w:rFonts w:hint="eastAsia"/>
          <w:color w:val="auto"/>
          <w:highlight w:val="none"/>
        </w:rPr>
        <w:t>的</w:t>
      </w:r>
      <w:r>
        <w:rPr>
          <w:color w:val="auto"/>
          <w:highlight w:val="none"/>
        </w:rPr>
        <w:t>复印件。</w:t>
      </w:r>
    </w:p>
    <w:p>
      <w:pPr>
        <w:ind w:firstLine="420" w:firstLineChars="200"/>
        <w:rPr>
          <w:color w:val="auto"/>
          <w:highlight w:val="none"/>
        </w:rPr>
      </w:pPr>
      <w:r>
        <w:rPr>
          <w:color w:val="auto"/>
          <w:highlight w:val="none"/>
        </w:rPr>
        <w:t>2.</w:t>
      </w:r>
      <w:r>
        <w:rPr>
          <w:rFonts w:hint="eastAsia"/>
          <w:color w:val="auto"/>
          <w:highlight w:val="none"/>
        </w:rPr>
        <w:t>拟任本招标项目的项目经理在其他项目担任项目经理并发生过变更撤换的，投标人应当在投标文件中如实注明其变更撤换情况，提供经住房城乡建设主管部门备案的变更撤换资料复印件（或其官方网站查询的变更撤换信息的截图）和竣工验收资料复印件（项目已竣工的提供）。未发生以上情形的，请投标人提供不存在上述情形的承诺书（格式自拟）。（适用于：项目经理业绩、奖项加分的项目，且投标人在投标文件中已按招标文件规定提供符合加分的项目经理业绩或奖项证明材料的）</w:t>
      </w:r>
    </w:p>
    <w:p>
      <w:pPr>
        <w:ind w:firstLine="420" w:firstLineChars="200"/>
        <w:rPr>
          <w:rFonts w:hint="eastAsia"/>
          <w:color w:val="auto"/>
          <w:highlight w:val="none"/>
        </w:rPr>
      </w:pPr>
      <w:r>
        <w:rPr>
          <w:color w:val="auto"/>
          <w:highlight w:val="none"/>
        </w:rPr>
        <w:t>3</w:t>
      </w:r>
      <w:r>
        <w:rPr>
          <w:rFonts w:hint="eastAsia"/>
          <w:color w:val="auto"/>
          <w:highlight w:val="none"/>
        </w:rPr>
        <w:t>.类似工程业绩考核期限</w:t>
      </w:r>
      <w:r>
        <w:rPr>
          <w:rFonts w:hint="eastAsia"/>
          <w:color w:val="auto"/>
          <w:highlight w:val="none"/>
          <w:lang w:val="en-US" w:eastAsia="zh-CN"/>
        </w:rPr>
        <w:t>自投标截止之日前</w:t>
      </w:r>
      <w:r>
        <w:rPr>
          <w:rFonts w:hint="eastAsia"/>
          <w:color w:val="auto"/>
          <w:highlight w:val="none"/>
          <w:lang w:eastAsia="zh-CN"/>
        </w:rPr>
        <w:t>3年</w:t>
      </w:r>
      <w:r>
        <w:rPr>
          <w:rFonts w:hint="eastAsia"/>
          <w:color w:val="auto"/>
          <w:highlight w:val="none"/>
        </w:rPr>
        <w:t>，自竣工验收资料中建设单位签字之日起计算。类似工程业绩考核依据中竣工验收备案表未体现建设单位签字之日的以竣工验收备案表“竣工验收日期”栏中注明的时间为准）。</w:t>
      </w:r>
    </w:p>
    <w:p>
      <w:pPr>
        <w:ind w:firstLine="420" w:firstLineChars="200"/>
        <w:rPr>
          <w:color w:val="auto"/>
          <w:highlight w:val="none"/>
        </w:rPr>
      </w:pPr>
      <w:r>
        <w:rPr>
          <w:color w:val="auto"/>
          <w:highlight w:val="none"/>
        </w:rPr>
        <w:t>4</w:t>
      </w:r>
      <w:r>
        <w:rPr>
          <w:rFonts w:hint="eastAsia"/>
          <w:color w:val="auto"/>
          <w:highlight w:val="none"/>
        </w:rPr>
        <w:t>.请附类似工程业绩证明资料（具体要求见本招标文件第二章投标人须知）。</w:t>
      </w:r>
    </w:p>
    <w:p>
      <w:pPr>
        <w:ind w:firstLine="420" w:firstLineChars="200"/>
        <w:rPr>
          <w:rFonts w:hint="eastAsia"/>
          <w:color w:val="auto"/>
          <w:highlight w:val="none"/>
        </w:rPr>
      </w:pPr>
      <w:r>
        <w:rPr>
          <w:color w:val="auto"/>
          <w:highlight w:val="none"/>
        </w:rPr>
        <w:t>5</w:t>
      </w:r>
      <w:r>
        <w:rPr>
          <w:rFonts w:hint="eastAsia"/>
          <w:color w:val="auto"/>
          <w:highlight w:val="none"/>
        </w:rPr>
        <w:t>.请附拟任项目经理奖项证明文件（关键页）复印件（具体要求见本招标文件第三章评标办法）。</w:t>
      </w: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rFonts w:hint="eastAsia"/>
          <w:color w:val="auto"/>
          <w:highlight w:val="none"/>
        </w:rPr>
      </w:pPr>
    </w:p>
    <w:p>
      <w:pPr>
        <w:ind w:firstLine="420" w:firstLineChars="200"/>
        <w:rPr>
          <w:rFonts w:hint="eastAsia"/>
          <w:color w:val="auto"/>
          <w:highlight w:val="none"/>
        </w:rPr>
      </w:pPr>
    </w:p>
    <w:p>
      <w:pPr>
        <w:rPr>
          <w:rFonts w:eastAsia="黑体"/>
          <w:color w:val="auto"/>
          <w:sz w:val="30"/>
          <w:szCs w:val="30"/>
          <w:highlight w:val="none"/>
        </w:rPr>
      </w:pPr>
    </w:p>
    <w:p>
      <w:pPr>
        <w:rPr>
          <w:rFonts w:eastAsia="黑体"/>
          <w:color w:val="auto"/>
          <w:sz w:val="30"/>
          <w:szCs w:val="30"/>
          <w:highlight w:val="none"/>
        </w:rPr>
      </w:pPr>
    </w:p>
    <w:p>
      <w:pPr>
        <w:pStyle w:val="17"/>
        <w:rPr>
          <w:color w:val="auto"/>
          <w:highlight w:val="none"/>
        </w:rPr>
      </w:pPr>
    </w:p>
    <w:p>
      <w:pPr>
        <w:spacing w:line="360" w:lineRule="auto"/>
        <w:ind w:firstLine="420" w:firstLineChars="200"/>
        <w:rPr>
          <w:rFonts w:hint="eastAsia"/>
          <w:color w:val="auto"/>
          <w:highlight w:val="none"/>
        </w:rPr>
      </w:pPr>
    </w:p>
    <w:p>
      <w:pPr>
        <w:jc w:val="center"/>
        <w:rPr>
          <w:rFonts w:eastAsia="黑体"/>
          <w:color w:val="auto"/>
          <w:kern w:val="0"/>
          <w:sz w:val="28"/>
          <w:highlight w:val="none"/>
        </w:rPr>
      </w:pPr>
      <w:bookmarkStart w:id="1025" w:name="_Toc300678578"/>
      <w:r>
        <w:rPr>
          <w:rFonts w:hint="eastAsia" w:eastAsia="黑体"/>
          <w:color w:val="auto"/>
          <w:kern w:val="0"/>
          <w:sz w:val="28"/>
          <w:highlight w:val="none"/>
        </w:rPr>
        <w:t>（3</w:t>
      </w:r>
      <w:r>
        <w:rPr>
          <w:rFonts w:eastAsia="黑体"/>
          <w:color w:val="auto"/>
          <w:kern w:val="0"/>
          <w:sz w:val="28"/>
          <w:highlight w:val="none"/>
        </w:rPr>
        <w:t>）</w:t>
      </w:r>
      <w:r>
        <w:rPr>
          <w:rFonts w:hint="eastAsia" w:eastAsia="黑体"/>
          <w:color w:val="auto"/>
          <w:kern w:val="0"/>
          <w:sz w:val="28"/>
          <w:highlight w:val="none"/>
        </w:rPr>
        <w:t>项目经理</w:t>
      </w:r>
      <w:r>
        <w:rPr>
          <w:rFonts w:eastAsia="黑体"/>
          <w:color w:val="auto"/>
          <w:kern w:val="0"/>
          <w:sz w:val="28"/>
          <w:highlight w:val="none"/>
        </w:rPr>
        <w:t>自评表</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47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5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评审内容</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（项目名称、奖项名称）</w:t>
            </w:r>
          </w:p>
        </w:tc>
        <w:tc>
          <w:tcPr>
            <w:tcW w:w="21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33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472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3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奖项</w:t>
            </w:r>
          </w:p>
        </w:tc>
        <w:tc>
          <w:tcPr>
            <w:tcW w:w="472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3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721"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3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不良信用信息</w:t>
            </w:r>
          </w:p>
        </w:tc>
        <w:tc>
          <w:tcPr>
            <w:tcW w:w="4721"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2333" w:type="dxa"/>
            <w:vMerge w:val="continue"/>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721"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pPr>
        <w:rPr>
          <w:rFonts w:hint="eastAsia"/>
          <w:color w:val="auto"/>
          <w:highlight w:val="none"/>
        </w:rPr>
      </w:pPr>
    </w:p>
    <w:bookmarkEnd w:id="1025"/>
    <w:p>
      <w:pPr>
        <w:rPr>
          <w:color w:val="auto"/>
          <w:highlight w:val="none"/>
        </w:rPr>
      </w:pPr>
      <w:bookmarkStart w:id="1026" w:name="_Toc300678579"/>
    </w:p>
    <w:p>
      <w:pPr>
        <w:rPr>
          <w:color w:val="auto"/>
          <w:highlight w:val="none"/>
        </w:rPr>
      </w:pPr>
    </w:p>
    <w:p>
      <w:pPr>
        <w:rPr>
          <w:color w:val="auto"/>
          <w:highlight w:val="none"/>
        </w:rPr>
      </w:pPr>
    </w:p>
    <w:p>
      <w:pPr>
        <w:rPr>
          <w:color w:val="auto"/>
          <w:highlight w:val="none"/>
        </w:rPr>
      </w:pPr>
      <w:r>
        <w:rPr>
          <w:color w:val="auto"/>
          <w:highlight w:val="none"/>
        </w:rPr>
        <w:br w:type="page"/>
      </w:r>
    </w:p>
    <w:p>
      <w:pPr>
        <w:pStyle w:val="3"/>
        <w:jc w:val="center"/>
        <w:rPr>
          <w:rFonts w:ascii="Times New Roman" w:hAnsi="Times New Roman" w:eastAsia="黑体"/>
          <w:b w:val="0"/>
          <w:bCs w:val="0"/>
          <w:color w:val="auto"/>
          <w:sz w:val="30"/>
          <w:szCs w:val="30"/>
          <w:highlight w:val="none"/>
        </w:rPr>
      </w:pPr>
      <w:bookmarkStart w:id="1027" w:name="_Toc80006160"/>
      <w:bookmarkStart w:id="1028" w:name="_Toc80006270"/>
      <w:bookmarkStart w:id="1029" w:name="_Toc9178586"/>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拟分包计划表</w:t>
      </w:r>
      <w:bookmarkEnd w:id="1026"/>
      <w:bookmarkEnd w:id="1027"/>
      <w:bookmarkEnd w:id="1028"/>
      <w:bookmarkEnd w:id="1029"/>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拟分包项目名称、范围及理由</w:t>
            </w:r>
          </w:p>
        </w:tc>
        <w:tc>
          <w:tcPr>
            <w:tcW w:w="4901"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拟选分包人</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70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拟选分包人名称</w:t>
            </w: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注册地点</w:t>
            </w: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企业资质</w:t>
            </w: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有关业绩</w:t>
            </w: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：本表所列分包仅限于承包人自行施工范围内的非主体、非关键工程。</w:t>
      </w:r>
    </w:p>
    <w:p>
      <w:pPr>
        <w:spacing w:line="360" w:lineRule="auto"/>
        <w:ind w:right="420"/>
        <w:jc w:val="center"/>
        <w:rPr>
          <w:rFonts w:eastAsia="黑体"/>
          <w:b/>
          <w:bCs/>
          <w:color w:val="auto"/>
          <w:sz w:val="30"/>
          <w:highlight w:val="none"/>
        </w:rPr>
      </w:pPr>
      <w:bookmarkStart w:id="1030" w:name="_Toc300678580"/>
      <w:r>
        <w:rPr>
          <w:rFonts w:eastAsia="黑体"/>
          <w:bCs/>
          <w:color w:val="auto"/>
          <w:sz w:val="28"/>
          <w:szCs w:val="28"/>
          <w:highlight w:val="none"/>
        </w:rPr>
        <w:br w:type="page"/>
      </w:r>
      <w:bookmarkStart w:id="1031" w:name="_Toc9178587"/>
      <w:r>
        <w:rPr>
          <w:rFonts w:hint="eastAsia" w:eastAsia="黑体"/>
          <w:b w:val="0"/>
          <w:bCs w:val="0"/>
          <w:color w:val="auto"/>
          <w:sz w:val="30"/>
          <w:highlight w:val="none"/>
        </w:rPr>
        <w:t>8.</w:t>
      </w:r>
      <w:r>
        <w:rPr>
          <w:rFonts w:eastAsia="黑体"/>
          <w:b w:val="0"/>
          <w:bCs w:val="0"/>
          <w:color w:val="auto"/>
          <w:sz w:val="30"/>
          <w:highlight w:val="none"/>
        </w:rPr>
        <w:t>资格审查</w:t>
      </w:r>
      <w:r>
        <w:rPr>
          <w:rFonts w:hint="eastAsia" w:eastAsia="黑体"/>
          <w:b w:val="0"/>
          <w:bCs w:val="0"/>
          <w:color w:val="auto"/>
          <w:sz w:val="30"/>
          <w:highlight w:val="none"/>
        </w:rPr>
        <w:t>等</w:t>
      </w:r>
      <w:r>
        <w:rPr>
          <w:rFonts w:eastAsia="黑体"/>
          <w:b w:val="0"/>
          <w:bCs w:val="0"/>
          <w:color w:val="auto"/>
          <w:sz w:val="30"/>
          <w:highlight w:val="none"/>
        </w:rPr>
        <w:t>资料</w:t>
      </w:r>
      <w:bookmarkEnd w:id="1030"/>
      <w:bookmarkEnd w:id="1031"/>
    </w:p>
    <w:p>
      <w:pPr>
        <w:pStyle w:val="5"/>
        <w:ind w:firstLine="0" w:firstLineChars="0"/>
        <w:jc w:val="center"/>
        <w:rPr>
          <w:rFonts w:ascii="Times New Roman" w:hAnsi="Times New Roman" w:eastAsia="黑体"/>
          <w:b w:val="0"/>
          <w:bCs w:val="0"/>
          <w:color w:val="auto"/>
          <w:sz w:val="24"/>
          <w:highlight w:val="none"/>
        </w:rPr>
      </w:pPr>
      <w:bookmarkStart w:id="1032" w:name="_Toc300678581"/>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）投标人基本情况表</w:t>
      </w:r>
      <w:bookmarkEnd w:id="1032"/>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389"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组织结构</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191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87"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高级职称人员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中级职称人员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初级职称人员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  工</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jc w:val="center"/>
        <w:rPr>
          <w:rFonts w:hint="eastAsia" w:ascii="宋体" w:hAnsi="宋体" w:cs="宋体"/>
          <w:color w:val="auto"/>
          <w:szCs w:val="21"/>
          <w:highlight w:val="none"/>
        </w:rPr>
      </w:pPr>
    </w:p>
    <w:p>
      <w:pPr>
        <w:spacing w:line="300" w:lineRule="auto"/>
        <w:ind w:left="720" w:hanging="630" w:hangingChars="300"/>
        <w:rPr>
          <w:color w:val="auto"/>
          <w:sz w:val="18"/>
          <w:szCs w:val="18"/>
          <w:highlight w:val="none"/>
        </w:rPr>
      </w:pPr>
      <w:r>
        <w:rPr>
          <w:rFonts w:hint="eastAsia" w:ascii="宋体" w:hAnsi="宋体" w:cs="Arial"/>
          <w:color w:val="auto"/>
          <w:szCs w:val="21"/>
          <w:highlight w:val="none"/>
        </w:rPr>
        <w:t>说明：若以联合体形式投标的，则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均须分别填写《投标人基本情况表》</w:t>
      </w:r>
      <w:r>
        <w:rPr>
          <w:rFonts w:eastAsia="黑体"/>
          <w:color w:val="auto"/>
          <w:sz w:val="24"/>
          <w:highlight w:val="none"/>
        </w:rPr>
        <w:br w:type="page"/>
      </w:r>
    </w:p>
    <w:p>
      <w:pPr>
        <w:spacing w:line="300" w:lineRule="auto"/>
        <w:ind w:left="540" w:hanging="540" w:hangingChars="300"/>
        <w:rPr>
          <w:color w:val="auto"/>
          <w:sz w:val="18"/>
          <w:szCs w:val="18"/>
          <w:highlight w:val="none"/>
        </w:rPr>
      </w:pPr>
    </w:p>
    <w:p>
      <w:pPr>
        <w:pStyle w:val="5"/>
        <w:jc w:val="center"/>
        <w:rPr>
          <w:rFonts w:ascii="Times New Roman" w:hAnsi="Times New Roman" w:eastAsia="黑体"/>
          <w:b w:val="0"/>
          <w:bCs w:val="0"/>
          <w:color w:val="auto"/>
          <w:sz w:val="24"/>
          <w:highlight w:val="none"/>
        </w:rPr>
      </w:pPr>
      <w:bookmarkStart w:id="1033" w:name="_Toc300678583"/>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投标人</w:t>
      </w:r>
      <w:r>
        <w:rPr>
          <w:rFonts w:ascii="Times New Roman" w:hAnsi="Times New Roman" w:eastAsia="黑体"/>
          <w:b w:val="0"/>
          <w:bCs w:val="0"/>
          <w:color w:val="auto"/>
          <w:sz w:val="24"/>
          <w:highlight w:val="none"/>
        </w:rPr>
        <w:t>证件复印件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hint="eastAsia"/>
          <w:color w:val="auto"/>
          <w:szCs w:val="21"/>
          <w:highlight w:val="none"/>
        </w:rPr>
        <w:t>说明：复印件</w:t>
      </w:r>
      <w:r>
        <w:rPr>
          <w:color w:val="auto"/>
          <w:szCs w:val="21"/>
          <w:highlight w:val="none"/>
        </w:rPr>
        <w:t>包</w:t>
      </w:r>
      <w:r>
        <w:rPr>
          <w:rFonts w:hint="eastAsia"/>
          <w:color w:val="auto"/>
          <w:szCs w:val="21"/>
          <w:highlight w:val="none"/>
        </w:rPr>
        <w:t>括</w:t>
      </w:r>
      <w:r>
        <w:rPr>
          <w:color w:val="auto"/>
          <w:szCs w:val="21"/>
          <w:highlight w:val="none"/>
        </w:rPr>
        <w:t>企业营业执照、资质证书、安全生产许可证书的复印件</w:t>
      </w:r>
      <w:r>
        <w:rPr>
          <w:rFonts w:hint="eastAsia"/>
          <w:color w:val="auto"/>
          <w:szCs w:val="21"/>
          <w:highlight w:val="none"/>
        </w:rPr>
        <w:t>。</w:t>
      </w:r>
      <w:r>
        <w:rPr>
          <w:rFonts w:hint="eastAsia" w:ascii="宋体" w:hAnsi="宋体" w:cs="Arial"/>
          <w:color w:val="auto"/>
          <w:szCs w:val="21"/>
          <w:highlight w:val="none"/>
        </w:rPr>
        <w:t>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分别提供。</w:t>
      </w:r>
      <w:r>
        <w:rPr>
          <w:rFonts w:hint="eastAsia" w:ascii="Times New Roman" w:hAnsi="Times New Roman" w:eastAsia="宋体" w:cs="Times New Roman"/>
          <w:color w:val="auto"/>
          <w:szCs w:val="21"/>
          <w:highlight w:val="none"/>
        </w:rPr>
        <w:t>同时，请</w:t>
      </w:r>
      <w:r>
        <w:rPr>
          <w:rFonts w:ascii="Times New Roman" w:hAnsi="Times New Roman" w:eastAsia="宋体" w:cs="Times New Roman"/>
          <w:color w:val="auto"/>
          <w:highlight w:val="none"/>
        </w:rPr>
        <w:t>省外入湘企业</w:t>
      </w:r>
      <w:r>
        <w:rPr>
          <w:rFonts w:hint="eastAsia" w:ascii="Times New Roman" w:hAnsi="Times New Roman" w:eastAsia="宋体" w:cs="Times New Roman"/>
          <w:color w:val="auto"/>
          <w:highlight w:val="none"/>
        </w:rPr>
        <w:t>附在</w:t>
      </w:r>
      <w:r>
        <w:rPr>
          <w:rFonts w:ascii="Times New Roman" w:hAnsi="Times New Roman" w:eastAsia="宋体" w:cs="Times New Roman"/>
          <w:color w:val="auto"/>
          <w:highlight w:val="none"/>
        </w:rPr>
        <w:t xml:space="preserve"> “湖南省住房和城乡建设网” 进行基本信息登记</w:t>
      </w:r>
      <w:r>
        <w:rPr>
          <w:rFonts w:hint="eastAsia" w:ascii="Times New Roman" w:hAnsi="Times New Roman" w:eastAsia="宋体" w:cs="Times New Roman"/>
          <w:bCs/>
          <w:color w:val="auto"/>
          <w:highlight w:val="none"/>
        </w:rPr>
        <w:t>的网页</w:t>
      </w:r>
      <w:r>
        <w:rPr>
          <w:rFonts w:ascii="Times New Roman" w:hAnsi="Times New Roman" w:eastAsia="宋体" w:cs="Times New Roman"/>
          <w:bCs/>
          <w:color w:val="auto"/>
          <w:highlight w:val="none"/>
        </w:rPr>
        <w:t>截图</w:t>
      </w:r>
      <w:r>
        <w:rPr>
          <w:rFonts w:ascii="Times New Roman" w:hAnsi="Times New Roman" w:eastAsia="宋体" w:cs="Times New Roman"/>
          <w:color w:val="auto"/>
          <w:szCs w:val="21"/>
          <w:highlight w:val="none"/>
        </w:rPr>
        <w:t>。</w:t>
      </w:r>
    </w:p>
    <w:p>
      <w:pPr>
        <w:spacing w:line="360" w:lineRule="auto"/>
        <w:ind w:firstLine="525" w:firstLineChars="250"/>
        <w:rPr>
          <w:color w:val="auto"/>
          <w:szCs w:val="21"/>
          <w:highlight w:val="none"/>
        </w:rPr>
      </w:pPr>
    </w:p>
    <w:p>
      <w:pPr>
        <w:spacing w:line="360" w:lineRule="auto"/>
        <w:ind w:firstLine="525" w:firstLineChars="250"/>
        <w:rPr>
          <w:color w:val="auto"/>
          <w:szCs w:val="21"/>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sectPr>
          <w:pgSz w:w="11907" w:h="16840"/>
          <w:pgMar w:top="1418" w:right="1418" w:bottom="1418" w:left="1418" w:header="851" w:footer="992" w:gutter="0"/>
          <w:cols w:space="720" w:num="1"/>
          <w:docGrid w:linePitch="326" w:charSpace="0"/>
        </w:sectPr>
      </w:pPr>
    </w:p>
    <w:p>
      <w:pPr>
        <w:pStyle w:val="5"/>
        <w:jc w:val="center"/>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）近年完成的类似</w:t>
      </w:r>
      <w:r>
        <w:rPr>
          <w:rFonts w:hint="eastAsia" w:ascii="Times New Roman" w:hAnsi="Times New Roman" w:eastAsia="黑体"/>
          <w:b w:val="0"/>
          <w:bCs w:val="0"/>
          <w:color w:val="auto"/>
          <w:sz w:val="24"/>
          <w:highlight w:val="none"/>
        </w:rPr>
        <w:t>工程业绩</w:t>
      </w:r>
      <w:r>
        <w:rPr>
          <w:rFonts w:ascii="Times New Roman" w:hAnsi="Times New Roman" w:eastAsia="黑体"/>
          <w:b w:val="0"/>
          <w:bCs w:val="0"/>
          <w:color w:val="auto"/>
          <w:sz w:val="24"/>
          <w:highlight w:val="none"/>
        </w:rPr>
        <w:t>情况表</w:t>
      </w:r>
      <w:bookmarkEnd w:id="1033"/>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发包人名称</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发包人地址</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发包人联系人及电话</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合同价格</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竣工日期</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总监理工程师及电话</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说明：</w:t>
      </w:r>
      <w:bookmarkStart w:id="1034" w:name="_Hlk752035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1.类似工程业绩考核期限</w:t>
      </w:r>
      <w:r>
        <w:rPr>
          <w:rFonts w:hint="eastAsia"/>
          <w:color w:val="auto"/>
          <w:szCs w:val="21"/>
          <w:highlight w:val="none"/>
          <w:lang w:val="en-US" w:eastAsia="zh-CN"/>
        </w:rPr>
        <w:t>自投标截止之日前</w:t>
      </w:r>
      <w:r>
        <w:rPr>
          <w:rFonts w:hint="eastAsia"/>
          <w:color w:val="auto"/>
          <w:szCs w:val="21"/>
          <w:highlight w:val="none"/>
          <w:lang w:eastAsia="zh-CN"/>
        </w:rPr>
        <w:t>3年</w:t>
      </w:r>
      <w:r>
        <w:rPr>
          <w:rFonts w:hint="eastAsia"/>
          <w:color w:val="auto"/>
          <w:szCs w:val="21"/>
          <w:highlight w:val="none"/>
        </w:rPr>
        <w:t>，自竣工验收资料中建设单位签字之日起计算。类似工程业绩考核依据中竣工验收备案表未体现建设单位签字之日的以竣工验收备案表“竣工验收日期”栏中注明的时间为准）。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 请附类似工程业绩证明资料（具体要求见本招标文件第二章投标人须知）。</w:t>
      </w:r>
      <w:bookmarkStart w:id="1035" w:name="_Toc300678584"/>
    </w:p>
    <w:bookmarkEnd w:id="1034"/>
    <w:bookmarkEnd w:id="1035"/>
    <w:p>
      <w:pPr>
        <w:spacing w:line="400" w:lineRule="exact"/>
        <w:rPr>
          <w:color w:val="auto"/>
          <w:szCs w:val="21"/>
          <w:highlight w:val="none"/>
        </w:rPr>
      </w:pPr>
    </w:p>
    <w:p>
      <w:pPr>
        <w:rPr>
          <w:color w:val="auto"/>
          <w:highlight w:val="none"/>
          <w:lang w:val="zh-CN"/>
        </w:rPr>
      </w:pPr>
      <w:r>
        <w:rPr>
          <w:color w:val="auto"/>
          <w:szCs w:val="21"/>
          <w:highlight w:val="none"/>
        </w:rPr>
        <w:br w:type="page"/>
      </w: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4</w:t>
      </w:r>
      <w:r>
        <w:rPr>
          <w:rFonts w:hint="eastAsia" w:ascii="Times New Roman" w:hAnsi="Times New Roman" w:eastAsia="黑体"/>
          <w:b w:val="0"/>
          <w:bCs w:val="0"/>
          <w:color w:val="auto"/>
          <w:sz w:val="24"/>
          <w:highlight w:val="none"/>
        </w:rPr>
        <w:t>）</w:t>
      </w:r>
      <w:bookmarkStart w:id="1036" w:name="_Hlk53732994"/>
      <w:r>
        <w:rPr>
          <w:rFonts w:hint="eastAsia" w:ascii="Times New Roman" w:hAnsi="Times New Roman" w:eastAsia="黑体"/>
          <w:b w:val="0"/>
          <w:bCs w:val="0"/>
          <w:color w:val="auto"/>
          <w:sz w:val="24"/>
          <w:highlight w:val="none"/>
        </w:rPr>
        <w:t>投标人奖项情况</w:t>
      </w:r>
      <w:bookmarkEnd w:id="1036"/>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请附奖项证明资料复印件（具体要求见本招标文件第三章评标办法）</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2.省</w:t>
      </w:r>
      <w:r>
        <w:rPr>
          <w:rFonts w:hint="eastAsia"/>
          <w:color w:val="auto"/>
          <w:szCs w:val="21"/>
          <w:highlight w:val="none"/>
        </w:rPr>
        <w:t>外由省级建设行政主管部门或省级建筑业协会评定的综合工程质量奖项，</w:t>
      </w:r>
      <w:r>
        <w:rPr>
          <w:rFonts w:hint="eastAsia"/>
          <w:color w:val="auto"/>
          <w:szCs w:val="21"/>
          <w:highlight w:val="none"/>
          <w:lang w:val="en-US" w:eastAsia="zh-CN"/>
        </w:rPr>
        <w:t>须提供</w:t>
      </w:r>
      <w:r>
        <w:rPr>
          <w:rFonts w:hint="eastAsia"/>
          <w:color w:val="auto"/>
          <w:szCs w:val="21"/>
          <w:highlight w:val="none"/>
        </w:rPr>
        <w:t>当地省级建设行政主管部门发布的评标办法</w:t>
      </w:r>
      <w:r>
        <w:rPr>
          <w:rFonts w:hint="eastAsia"/>
          <w:color w:val="auto"/>
          <w:szCs w:val="21"/>
          <w:highlight w:val="none"/>
          <w:lang w:val="en-US" w:eastAsia="zh-CN"/>
        </w:rPr>
        <w:t>文件复印件及官网查询截图</w:t>
      </w:r>
      <w:r>
        <w:rPr>
          <w:rFonts w:hint="eastAsia"/>
          <w:color w:val="auto"/>
          <w:szCs w:val="21"/>
          <w:highlight w:val="none"/>
        </w:rPr>
        <w:t>。</w:t>
      </w:r>
      <w:r>
        <w:rPr>
          <w:rFonts w:hint="eastAsia"/>
          <w:color w:val="auto"/>
          <w:szCs w:val="21"/>
          <w:highlight w:val="none"/>
          <w:lang w:val="en-US" w:eastAsia="zh-CN"/>
        </w:rPr>
        <w:t>证明</w:t>
      </w:r>
      <w:r>
        <w:rPr>
          <w:rFonts w:hint="eastAsia"/>
          <w:color w:val="auto"/>
          <w:szCs w:val="21"/>
          <w:highlight w:val="none"/>
        </w:rPr>
        <w:t>每年该综合工程质量奖项数量控制在 100 项以内 (含)的</w:t>
      </w:r>
      <w:r>
        <w:rPr>
          <w:rFonts w:hint="eastAsia"/>
          <w:color w:val="auto"/>
          <w:szCs w:val="21"/>
          <w:highlight w:val="none"/>
          <w:lang w:val="en-US" w:eastAsia="zh-CN"/>
        </w:rPr>
        <w:t>文件复印件（如有）</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3.</w:t>
      </w:r>
      <w:r>
        <w:rPr>
          <w:rFonts w:hint="eastAsia"/>
          <w:color w:val="auto"/>
          <w:szCs w:val="21"/>
          <w:highlight w:val="none"/>
        </w:rPr>
        <w:t>获奖文件能够分辨专业类别的，以获奖文件为准；获奖文件中无法分辨专业类别的，</w:t>
      </w:r>
      <w:r>
        <w:rPr>
          <w:rFonts w:hint="eastAsia"/>
          <w:color w:val="auto"/>
          <w:szCs w:val="21"/>
          <w:highlight w:val="none"/>
          <w:lang w:val="en-US" w:eastAsia="zh-CN"/>
        </w:rPr>
        <w:t>须提供</w:t>
      </w:r>
      <w:r>
        <w:rPr>
          <w:rFonts w:hint="eastAsia"/>
          <w:color w:val="auto"/>
          <w:szCs w:val="21"/>
          <w:highlight w:val="none"/>
        </w:rPr>
        <w:t>奖项申报材料（省级相应行政主管部门、省级协会盖章的相应材料）；仍然无法辨别专业类别的，须提供获奖项目的中标通知书或合同作为证明材料。</w:t>
      </w:r>
    </w:p>
    <w:p>
      <w:pPr>
        <w:rPr>
          <w:color w:val="auto"/>
          <w:highlight w:val="none"/>
        </w:rPr>
      </w:pPr>
    </w:p>
    <w:p>
      <w:pPr>
        <w:rPr>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5</w:t>
      </w:r>
      <w:r>
        <w:rPr>
          <w:rFonts w:hint="eastAsia" w:ascii="Times New Roman" w:hAnsi="Times New Roman" w:eastAsia="黑体"/>
          <w:b w:val="0"/>
          <w:bCs w:val="0"/>
          <w:color w:val="auto"/>
          <w:sz w:val="24"/>
          <w:highlight w:val="none"/>
        </w:rPr>
        <w:t>）投标人标准化工地情况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标准化工地名称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注：</w:t>
      </w:r>
      <w:r>
        <w:rPr>
          <w:rFonts w:hint="eastAsia"/>
          <w:color w:val="auto"/>
          <w:szCs w:val="21"/>
          <w:highlight w:val="none"/>
        </w:rPr>
        <w:t>请附标准化工地证明资料复印件（具体要求见本招标文件第三章评标办法）。</w:t>
      </w:r>
    </w:p>
    <w:p>
      <w:pPr>
        <w:rPr>
          <w:color w:val="auto"/>
          <w:highlight w:val="none"/>
        </w:rPr>
      </w:pPr>
    </w:p>
    <w:p>
      <w:pPr>
        <w:rPr>
          <w:color w:val="auto"/>
          <w:highlight w:val="none"/>
        </w:rPr>
      </w:pPr>
    </w:p>
    <w:p>
      <w:pPr>
        <w:rPr>
          <w:rFonts w:hint="eastAsia"/>
          <w:color w:val="auto"/>
          <w:highlight w:val="none"/>
        </w:rPr>
      </w:pPr>
    </w:p>
    <w:p>
      <w:pPr>
        <w:pStyle w:val="5"/>
        <w:jc w:val="both"/>
        <w:rPr>
          <w:rFonts w:hint="eastAsia"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br w:type="page"/>
      </w:r>
      <w:bookmarkStart w:id="1037" w:name="_Hlk53733018"/>
      <w:r>
        <w:rPr>
          <w:rFonts w:hint="eastAsia" w:ascii="Times New Roman" w:hAnsi="Times New Roman" w:eastAsia="黑体"/>
          <w:b w:val="0"/>
          <w:bCs w:val="0"/>
          <w:color w:val="auto"/>
          <w:sz w:val="24"/>
          <w:highlight w:val="none"/>
        </w:rPr>
        <w:t>（6）投标人信用评价情况</w:t>
      </w:r>
      <w:bookmarkEnd w:id="1037"/>
    </w:p>
    <w:p>
      <w:pPr>
        <w:ind w:firstLine="435"/>
        <w:rPr>
          <w:rFonts w:hint="eastAsia"/>
          <w:color w:val="auto"/>
          <w:szCs w:val="21"/>
          <w:highlight w:val="none"/>
        </w:rPr>
      </w:pPr>
    </w:p>
    <w:tbl>
      <w:tblPr>
        <w:tblStyle w:val="39"/>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w:t>
            </w:r>
            <w:r>
              <w:rPr>
                <w:rFonts w:hint="eastAsia" w:ascii="Calibri" w:hAnsi="Calibri" w:cs="Calibri"/>
                <w:color w:val="auto"/>
                <w:szCs w:val="21"/>
                <w:highlight w:val="none"/>
                <w:lang w:eastAsia="zh-CN"/>
              </w:rPr>
              <w:t>告</w:t>
            </w:r>
            <w:r>
              <w:rPr>
                <w:rFonts w:hint="eastAsia" w:ascii="Calibri" w:hAnsi="Calibri" w:cs="Calibri"/>
                <w:color w:val="auto"/>
                <w:szCs w:val="21"/>
                <w:highlight w:val="none"/>
              </w:rPr>
              <w:t>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上查询的信用评价结果详细信息网页截图</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省外企业无施工单位信用评价查询结果的，可以提供注册地省级住房和城乡建设部门提供的施工单位信用评价结果（百分制）作为评审依据。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未参加信用评价的投标人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Calibri" w:hAnsi="Calibri" w:cs="Calibri"/>
                <w:color w:val="auto"/>
                <w:szCs w:val="21"/>
                <w:highlight w:val="none"/>
              </w:rPr>
              <w:t>未参加信用评价的投标人</w:t>
            </w:r>
            <w:r>
              <w:rPr>
                <w:rFonts w:hint="eastAsia" w:ascii="Calibri" w:hAnsi="Calibri" w:cs="Calibri"/>
                <w:color w:val="auto"/>
                <w:highlight w:val="none"/>
              </w:rPr>
              <w:t>请填写“未参加”，</w:t>
            </w:r>
            <w:r>
              <w:rPr>
                <w:rFonts w:hint="eastAsia" w:ascii="Calibri" w:hAnsi="Calibri" w:cs="Calibri"/>
                <w:color w:val="auto"/>
                <w:szCs w:val="21"/>
                <w:highlight w:val="none"/>
              </w:rPr>
              <w:t>已参加信用评价的投标人</w:t>
            </w:r>
            <w:r>
              <w:rPr>
                <w:rFonts w:hint="eastAsia" w:ascii="Calibri" w:hAnsi="Calibri" w:cs="Calibri"/>
                <w:color w:val="auto"/>
                <w:highlight w:val="none"/>
              </w:rPr>
              <w:t>请填写“</w:t>
            </w:r>
            <w:r>
              <w:rPr>
                <w:rFonts w:hint="default" w:ascii="Calibri" w:hAnsi="Calibri" w:cs="Calibri"/>
                <w:color w:val="auto"/>
                <w:highlight w:val="none"/>
              </w:rPr>
              <w:t>\</w:t>
            </w:r>
            <w:r>
              <w:rPr>
                <w:rFonts w:hint="eastAsia" w:ascii="Calibri" w:hAnsi="Calibri" w:cs="Calibri"/>
                <w:color w:val="auto"/>
                <w:highlight w:val="none"/>
              </w:rPr>
              <w:t>”。</w:t>
            </w:r>
          </w:p>
        </w:tc>
      </w:tr>
    </w:tbl>
    <w:p>
      <w:pPr>
        <w:rPr>
          <w:rFonts w:hint="eastAsia"/>
          <w:color w:val="auto"/>
          <w:highlight w:val="none"/>
        </w:rPr>
      </w:pPr>
    </w:p>
    <w:p>
      <w:pPr>
        <w:rPr>
          <w:color w:val="auto"/>
          <w:highlight w:val="none"/>
          <w:lang w:val="zh-CN"/>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7</w:t>
      </w:r>
      <w:r>
        <w:rPr>
          <w:rFonts w:hint="eastAsia" w:ascii="Times New Roman" w:hAnsi="Times New Roman" w:eastAsia="黑体"/>
          <w:b w:val="0"/>
          <w:bCs w:val="0"/>
          <w:color w:val="auto"/>
          <w:sz w:val="24"/>
          <w:highlight w:val="none"/>
        </w:rPr>
        <w:t>）投标人施工项目季度考评综合优良率情况</w:t>
      </w:r>
    </w:p>
    <w:p>
      <w:pPr>
        <w:rPr>
          <w:rFonts w:hint="eastAsia"/>
          <w:color w:val="auto"/>
          <w:szCs w:val="21"/>
          <w:highlight w:val="none"/>
        </w:rPr>
      </w:pPr>
    </w:p>
    <w:tbl>
      <w:tblPr>
        <w:tblStyle w:val="39"/>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最新公布的</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评价结果</w:t>
            </w:r>
          </w:p>
        </w:tc>
        <w:tc>
          <w:tcPr>
            <w:tcW w:w="595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请附“湖南省智慧住建云—湖南省建筑市场监管公共服务平台”上查询的</w:t>
            </w:r>
            <w:r>
              <w:rPr>
                <w:rFonts w:hint="eastAsia" w:ascii="宋体" w:hAnsi="宋体" w:eastAsia="宋体" w:cs="宋体"/>
                <w:bCs w:val="0"/>
                <w:color w:val="auto"/>
                <w:szCs w:val="21"/>
                <w:highlight w:val="none"/>
              </w:rPr>
              <w:t>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bCs w:val="0"/>
                <w:color w:val="auto"/>
                <w:szCs w:val="21"/>
                <w:highlight w:val="none"/>
              </w:rPr>
              <w:t>评价结果</w:t>
            </w:r>
            <w:r>
              <w:rPr>
                <w:rFonts w:hint="eastAsia" w:ascii="宋体" w:hAnsi="宋体" w:eastAsia="宋体" w:cs="宋体"/>
                <w:color w:val="auto"/>
                <w:szCs w:val="21"/>
                <w:highlight w:val="none"/>
              </w:rPr>
              <w:t>详细信息网页截图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省外企业无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查询结果的，可以提供注册地省级住房和城乡建设部门提供的企业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得分作为评审依据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官网查询截图）</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w:t>
            </w:r>
          </w:p>
        </w:tc>
        <w:tc>
          <w:tcPr>
            <w:tcW w:w="5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注：</w:t>
            </w: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评价的投标人请填写“未参加”，已参加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w:t>
            </w:r>
          </w:p>
        </w:tc>
      </w:tr>
    </w:tbl>
    <w:p>
      <w:pPr>
        <w:rPr>
          <w:color w:val="auto"/>
          <w:highlight w:val="none"/>
        </w:rPr>
      </w:pPr>
    </w:p>
    <w:p>
      <w:pPr>
        <w:rPr>
          <w:color w:val="auto"/>
          <w:highlight w:val="none"/>
        </w:rPr>
      </w:pPr>
    </w:p>
    <w:p>
      <w:pPr>
        <w:rPr>
          <w:color w:val="auto"/>
          <w:highlight w:val="none"/>
        </w:rPr>
      </w:pPr>
    </w:p>
    <w:p>
      <w:pPr>
        <w:rPr>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8</w:t>
      </w:r>
      <w:r>
        <w:rPr>
          <w:rFonts w:hint="eastAsia" w:ascii="Times New Roman" w:hAnsi="Times New Roman" w:eastAsia="黑体"/>
          <w:b w:val="0"/>
          <w:bCs w:val="0"/>
          <w:color w:val="auto"/>
          <w:sz w:val="24"/>
          <w:highlight w:val="none"/>
        </w:rPr>
        <w:t>）</w:t>
      </w:r>
      <w:bookmarkStart w:id="1038" w:name="_Hlk53729905"/>
      <w:bookmarkStart w:id="1039" w:name="_Hlk53733054"/>
      <w:r>
        <w:rPr>
          <w:rFonts w:hint="eastAsia" w:ascii="Times New Roman" w:hAnsi="Times New Roman" w:eastAsia="黑体"/>
          <w:b w:val="0"/>
          <w:bCs w:val="0"/>
          <w:color w:val="auto"/>
          <w:sz w:val="24"/>
          <w:highlight w:val="none"/>
        </w:rPr>
        <w:t>拟任项目</w:t>
      </w:r>
      <w:bookmarkStart w:id="1040" w:name="_Hlk53730093"/>
      <w:r>
        <w:rPr>
          <w:rFonts w:hint="eastAsia" w:ascii="Times New Roman" w:hAnsi="Times New Roman" w:eastAsia="黑体"/>
          <w:b w:val="0"/>
          <w:bCs w:val="0"/>
          <w:color w:val="auto"/>
          <w:sz w:val="24"/>
          <w:highlight w:val="none"/>
        </w:rPr>
        <w:t>经理</w:t>
      </w:r>
      <w:bookmarkEnd w:id="1038"/>
      <w:r>
        <w:rPr>
          <w:rFonts w:hint="eastAsia" w:ascii="Times New Roman" w:hAnsi="Times New Roman" w:eastAsia="黑体"/>
          <w:b w:val="0"/>
          <w:bCs w:val="0"/>
          <w:color w:val="auto"/>
          <w:sz w:val="24"/>
          <w:highlight w:val="none"/>
          <w:lang w:val="en-US" w:eastAsia="zh-CN"/>
        </w:rPr>
        <w:t>不良信用信息</w:t>
      </w:r>
      <w:r>
        <w:rPr>
          <w:rFonts w:hint="eastAsia" w:ascii="Times New Roman" w:hAnsi="Times New Roman" w:eastAsia="黑体"/>
          <w:b w:val="0"/>
          <w:bCs w:val="0"/>
          <w:color w:val="auto"/>
          <w:sz w:val="24"/>
          <w:highlight w:val="none"/>
        </w:rPr>
        <w:t>证明资料</w:t>
      </w:r>
      <w:bookmarkEnd w:id="1040"/>
      <w:r>
        <w:rPr>
          <w:rFonts w:hint="eastAsia" w:ascii="Times New Roman" w:hAnsi="Times New Roman" w:eastAsia="黑体"/>
          <w:b w:val="0"/>
          <w:bCs w:val="0"/>
          <w:color w:val="auto"/>
          <w:sz w:val="24"/>
          <w:highlight w:val="none"/>
        </w:rPr>
        <w:t>复印件</w:t>
      </w:r>
    </w:p>
    <w:bookmarkEnd w:id="1039"/>
    <w:p>
      <w:pPr>
        <w:ind w:firstLine="210" w:firstLineChars="100"/>
        <w:rPr>
          <w:color w:val="auto"/>
          <w:highlight w:val="none"/>
        </w:rPr>
      </w:pPr>
      <w:r>
        <w:rPr>
          <w:rFonts w:hint="eastAsia"/>
          <w:color w:val="auto"/>
          <w:highlight w:val="none"/>
        </w:rPr>
        <w:t>说明：</w:t>
      </w:r>
      <w:r>
        <w:rPr>
          <w:rFonts w:hint="eastAsia"/>
          <w:color w:val="auto"/>
          <w:highlight w:val="none"/>
          <w:lang w:val="en-US" w:eastAsia="zh-CN"/>
        </w:rPr>
        <w:t>不良信用信息</w:t>
      </w:r>
      <w:r>
        <w:rPr>
          <w:rFonts w:hint="eastAsia"/>
          <w:color w:val="auto"/>
          <w:highlight w:val="none"/>
        </w:rPr>
        <w:t>证明资料具体要求见本招标文件第三章评标办法。拟任工程总承包项目负责人在扣分有效期内如无</w:t>
      </w:r>
      <w:r>
        <w:rPr>
          <w:rFonts w:hint="eastAsia"/>
          <w:color w:val="auto"/>
          <w:highlight w:val="none"/>
          <w:lang w:val="en-US" w:eastAsia="zh-CN"/>
        </w:rPr>
        <w:t>不良信用信息</w:t>
      </w:r>
      <w:r>
        <w:rPr>
          <w:rFonts w:hint="eastAsia" w:ascii="宋体" w:hAnsi="宋体"/>
          <w:color w:val="auto"/>
          <w:szCs w:val="21"/>
          <w:highlight w:val="none"/>
        </w:rPr>
        <w:t>的</w:t>
      </w:r>
      <w:r>
        <w:rPr>
          <w:rFonts w:hint="eastAsia"/>
          <w:color w:val="auto"/>
          <w:highlight w:val="none"/>
        </w:rPr>
        <w:t>，投标人需注明“拟任工程总承包项目负责人在扣分有效期内无</w:t>
      </w:r>
      <w:r>
        <w:rPr>
          <w:rFonts w:hint="eastAsia"/>
          <w:color w:val="auto"/>
          <w:highlight w:val="none"/>
          <w:lang w:val="en-US" w:eastAsia="zh-CN"/>
        </w:rPr>
        <w:t>不良信用信息</w:t>
      </w:r>
      <w:r>
        <w:rPr>
          <w:rFonts w:hint="eastAsia"/>
          <w:color w:val="auto"/>
          <w:highlight w:val="none"/>
        </w:rPr>
        <w:t>”。</w:t>
      </w:r>
    </w:p>
    <w:p>
      <w:pPr>
        <w:ind w:firstLine="210" w:firstLineChars="100"/>
        <w:rPr>
          <w:color w:val="auto"/>
          <w:highlight w:val="none"/>
        </w:rPr>
      </w:pPr>
    </w:p>
    <w:p>
      <w:pPr>
        <w:ind w:firstLine="210" w:firstLineChars="100"/>
        <w:rPr>
          <w:color w:val="auto"/>
          <w:highlight w:val="none"/>
        </w:rPr>
        <w:sectPr>
          <w:pgSz w:w="11907" w:h="16840"/>
          <w:pgMar w:top="1418" w:right="1418" w:bottom="1418" w:left="1418" w:header="851" w:footer="992" w:gutter="0"/>
          <w:cols w:space="720" w:num="1"/>
          <w:docGrid w:linePitch="326" w:charSpace="0"/>
        </w:sectPr>
      </w:pPr>
    </w:p>
    <w:p>
      <w:pPr>
        <w:pStyle w:val="3"/>
        <w:jc w:val="center"/>
        <w:rPr>
          <w:rFonts w:hint="eastAsia" w:ascii="Times New Roman" w:hAnsi="Times New Roman" w:eastAsia="黑体"/>
          <w:b w:val="0"/>
          <w:bCs w:val="0"/>
          <w:color w:val="auto"/>
          <w:sz w:val="30"/>
          <w:highlight w:val="none"/>
        </w:rPr>
      </w:pPr>
      <w:bookmarkStart w:id="1041" w:name="_Toc80006161"/>
      <w:bookmarkStart w:id="1042" w:name="_Toc80006271"/>
      <w:bookmarkStart w:id="1043" w:name="_Toc69199942"/>
      <w:bookmarkStart w:id="1044" w:name="_Hlk53733080"/>
      <w:r>
        <w:rPr>
          <w:rFonts w:hint="eastAsia" w:ascii="Times New Roman" w:hAnsi="Times New Roman" w:eastAsia="黑体"/>
          <w:b w:val="0"/>
          <w:bCs w:val="0"/>
          <w:color w:val="auto"/>
          <w:sz w:val="30"/>
          <w:highlight w:val="none"/>
        </w:rPr>
        <w:t>9</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企业资信及履约能力（业绩及信用）自评表</w:t>
      </w:r>
      <w:bookmarkEnd w:id="1041"/>
      <w:bookmarkEnd w:id="1042"/>
      <w:bookmarkEnd w:id="1043"/>
    </w:p>
    <w:bookmarkEnd w:id="1044"/>
    <w:tbl>
      <w:tblPr>
        <w:tblStyle w:val="3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5"/>
        <w:gridCol w:w="15"/>
        <w:gridCol w:w="1115"/>
        <w:gridCol w:w="382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审对象</w:t>
            </w:r>
          </w:p>
        </w:tc>
        <w:tc>
          <w:tcPr>
            <w:tcW w:w="5573"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审内容</w:t>
            </w:r>
          </w:p>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default" w:ascii="Calibri" w:hAnsi="Calibri" w:cs="Calibri"/>
                <w:color w:val="auto"/>
                <w:sz w:val="18"/>
                <w:szCs w:val="21"/>
                <w:highlight w:val="none"/>
              </w:rPr>
              <w:t>（项目名称、奖项名称）</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独立投标人（施工资质）或联合体中施工单位</w:t>
            </w: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标准化工地</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宋体" w:hAnsi="宋体" w:cs="宋体"/>
                <w:color w:val="auto"/>
                <w:kern w:val="0"/>
                <w:sz w:val="20"/>
                <w:szCs w:val="20"/>
                <w:highlight w:val="none"/>
              </w:rPr>
              <w:t>拟任项目经理</w:t>
            </w:r>
          </w:p>
        </w:tc>
        <w:tc>
          <w:tcPr>
            <w:tcW w:w="6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奖项</w:t>
            </w:r>
          </w:p>
        </w:tc>
        <w:tc>
          <w:tcPr>
            <w:tcW w:w="113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6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p>
        </w:tc>
        <w:tc>
          <w:tcPr>
            <w:tcW w:w="113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1745" w:type="dxa"/>
            <w:gridSpan w:val="3"/>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1745" w:type="dxa"/>
            <w:gridSpan w:val="3"/>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 w:val="20"/>
                <w:szCs w:val="20"/>
                <w:highlight w:val="none"/>
                <w:lang w:val="en-US" w:eastAsia="zh-CN"/>
              </w:rPr>
            </w:pPr>
            <w:r>
              <w:rPr>
                <w:rFonts w:hint="eastAsia" w:ascii="Calibri" w:hAnsi="Calibri" w:cs="Calibri"/>
                <w:color w:val="auto"/>
                <w:sz w:val="20"/>
                <w:szCs w:val="20"/>
                <w:highlight w:val="none"/>
                <w:lang w:val="en-US" w:eastAsia="zh-CN"/>
              </w:rPr>
              <w:t>不良信用信息</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color w:val="auto"/>
          <w:highlight w:val="none"/>
        </w:rPr>
      </w:pPr>
    </w:p>
    <w:p>
      <w:pPr>
        <w:snapToGrid w:val="0"/>
        <w:spacing w:line="360" w:lineRule="auto"/>
        <w:rPr>
          <w:color w:val="auto"/>
          <w:highlight w:val="none"/>
        </w:rPr>
      </w:pPr>
      <w:r>
        <w:rPr>
          <w:color w:val="auto"/>
          <w:highlight w:val="none"/>
        </w:rPr>
        <w:br w:type="page"/>
      </w:r>
    </w:p>
    <w:p>
      <w:pPr>
        <w:pStyle w:val="3"/>
        <w:spacing w:before="0" w:after="0" w:line="360" w:lineRule="auto"/>
        <w:jc w:val="center"/>
        <w:rPr>
          <w:rFonts w:ascii="Times New Roman" w:hAnsi="Times New Roman" w:eastAsia="黑体"/>
          <w:b w:val="0"/>
          <w:bCs w:val="0"/>
          <w:color w:val="auto"/>
          <w:sz w:val="30"/>
          <w:szCs w:val="30"/>
          <w:highlight w:val="none"/>
        </w:rPr>
      </w:pPr>
      <w:bookmarkStart w:id="1045" w:name="_Toc80006272"/>
      <w:bookmarkStart w:id="1046" w:name="_Toc80006162"/>
      <w:bookmarkStart w:id="1047" w:name="_Toc69199943"/>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0</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承 诺 书</w:t>
      </w:r>
      <w:bookmarkEnd w:id="1045"/>
      <w:bookmarkEnd w:id="1046"/>
      <w:bookmarkEnd w:id="1047"/>
    </w:p>
    <w:p>
      <w:pPr>
        <w:snapToGrid w:val="0"/>
        <w:spacing w:line="360" w:lineRule="auto"/>
        <w:rPr>
          <w:color w:val="auto"/>
          <w:highlight w:val="none"/>
        </w:rPr>
      </w:pPr>
    </w:p>
    <w:p>
      <w:pPr>
        <w:snapToGrid w:val="0"/>
        <w:spacing w:line="360" w:lineRule="auto"/>
        <w:rPr>
          <w:color w:val="auto"/>
          <w:highlight w:val="none"/>
        </w:rPr>
      </w:pPr>
      <w:r>
        <w:rPr>
          <w:color w:val="auto"/>
          <w:highlight w:val="none"/>
          <w:u w:val="single"/>
        </w:rPr>
        <w:t xml:space="preserve">                     </w:t>
      </w:r>
      <w:r>
        <w:rPr>
          <w:color w:val="auto"/>
          <w:highlight w:val="none"/>
        </w:rPr>
        <w:t>（招标人名称）：</w:t>
      </w:r>
    </w:p>
    <w:p>
      <w:pPr>
        <w:snapToGrid w:val="0"/>
        <w:spacing w:line="360" w:lineRule="auto"/>
        <w:rPr>
          <w:color w:val="auto"/>
          <w:highlight w:val="none"/>
        </w:rPr>
      </w:pPr>
    </w:p>
    <w:p>
      <w:pPr>
        <w:snapToGrid w:val="0"/>
        <w:spacing w:line="360" w:lineRule="auto"/>
        <w:ind w:firstLine="420" w:firstLineChars="200"/>
        <w:rPr>
          <w:color w:val="auto"/>
          <w:highlight w:val="none"/>
        </w:rPr>
      </w:pPr>
      <w:r>
        <w:rPr>
          <w:color w:val="auto"/>
          <w:highlight w:val="none"/>
        </w:rPr>
        <w:t>我方在此声明：</w:t>
      </w:r>
    </w:p>
    <w:p>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项目经理</w:t>
      </w:r>
      <w:r>
        <w:rPr>
          <w:color w:val="auto"/>
          <w:highlight w:val="none"/>
        </w:rPr>
        <w:t>能够到位履行职责，如不能到位，我方自愿接受处罚</w:t>
      </w:r>
      <w:r>
        <w:rPr>
          <w:rFonts w:hint="eastAsia"/>
          <w:color w:val="auto"/>
          <w:highlight w:val="none"/>
        </w:rPr>
        <w:t>和被予不良行为记录</w:t>
      </w:r>
      <w:r>
        <w:rPr>
          <w:color w:val="auto"/>
          <w:highlight w:val="none"/>
        </w:rPr>
        <w:t>。</w:t>
      </w:r>
    </w:p>
    <w:p>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w:t>
      </w:r>
      <w:r>
        <w:rPr>
          <w:rFonts w:hint="eastAsia"/>
          <w:color w:val="auto"/>
          <w:highlight w:val="none"/>
        </w:rPr>
        <w:t>绝</w:t>
      </w:r>
      <w:r>
        <w:rPr>
          <w:color w:val="auto"/>
          <w:highlight w:val="none"/>
        </w:rPr>
        <w:t>不拖欠。</w:t>
      </w:r>
    </w:p>
    <w:p>
      <w:pPr>
        <w:snapToGrid w:val="0"/>
        <w:spacing w:line="360" w:lineRule="auto"/>
        <w:ind w:firstLine="420" w:firstLineChars="200"/>
        <w:rPr>
          <w:color w:val="auto"/>
          <w:highlight w:val="none"/>
        </w:rPr>
      </w:pPr>
      <w:r>
        <w:rPr>
          <w:color w:val="auto"/>
          <w:highlight w:val="none"/>
        </w:rPr>
        <w:t>特此承诺！</w:t>
      </w:r>
    </w:p>
    <w:p>
      <w:pPr>
        <w:snapToGrid w:val="0"/>
        <w:spacing w:line="360" w:lineRule="auto"/>
        <w:ind w:firstLine="420" w:firstLineChars="200"/>
        <w:rPr>
          <w:color w:val="auto"/>
          <w:highlight w:val="none"/>
        </w:rPr>
      </w:pPr>
    </w:p>
    <w:p>
      <w:pPr>
        <w:snapToGrid w:val="0"/>
        <w:spacing w:line="360" w:lineRule="auto"/>
        <w:ind w:firstLine="420" w:firstLineChars="200"/>
        <w:rPr>
          <w:color w:val="auto"/>
          <w:highlight w:val="none"/>
        </w:rPr>
      </w:pPr>
    </w:p>
    <w:p>
      <w:pPr>
        <w:snapToGrid w:val="0"/>
        <w:spacing w:line="360" w:lineRule="auto"/>
        <w:ind w:firstLine="420" w:firstLineChars="200"/>
        <w:jc w:val="right"/>
        <w:rPr>
          <w:color w:val="auto"/>
          <w:highlight w:val="none"/>
        </w:rPr>
      </w:pPr>
      <w:r>
        <w:rPr>
          <w:color w:val="auto"/>
          <w:highlight w:val="none"/>
        </w:rPr>
        <w:t>投标人：（盖单位章）</w:t>
      </w:r>
    </w:p>
    <w:p>
      <w:pPr>
        <w:snapToGrid w:val="0"/>
        <w:spacing w:line="360" w:lineRule="auto"/>
        <w:ind w:firstLine="420" w:firstLineChars="200"/>
        <w:jc w:val="right"/>
        <w:rPr>
          <w:color w:val="auto"/>
          <w:highlight w:val="none"/>
        </w:rPr>
      </w:pPr>
      <w:r>
        <w:rPr>
          <w:color w:val="auto"/>
          <w:highlight w:val="none"/>
        </w:rPr>
        <w:t>法定代表人或其委托代理人：（签字或盖章）</w:t>
      </w:r>
    </w:p>
    <w:p>
      <w:pPr>
        <w:snapToGrid w:val="0"/>
        <w:spacing w:line="360" w:lineRule="auto"/>
        <w:ind w:firstLine="420" w:firstLineChars="200"/>
        <w:jc w:val="right"/>
        <w:rPr>
          <w:color w:val="auto"/>
          <w:highlight w:val="none"/>
        </w:rPr>
      </w:pPr>
      <w:r>
        <w:rPr>
          <w:color w:val="auto"/>
          <w:highlight w:val="none"/>
        </w:rPr>
        <w:t xml:space="preserve">   年   月  日</w:t>
      </w:r>
    </w:p>
    <w:p>
      <w:pPr>
        <w:widowControl/>
        <w:jc w:val="left"/>
        <w:rPr>
          <w:rFonts w:hint="eastAsia" w:eastAsia="黑体"/>
          <w:bCs/>
          <w:color w:val="auto"/>
          <w:kern w:val="0"/>
          <w:sz w:val="32"/>
          <w:szCs w:val="32"/>
          <w:highlight w:val="none"/>
        </w:rPr>
      </w:pPr>
    </w:p>
    <w:p>
      <w:pPr>
        <w:pStyle w:val="222"/>
        <w:rPr>
          <w:rFonts w:hint="eastAsia" w:ascii="Arial" w:hAnsi="Arial" w:eastAsia="新宋体" w:cs="Arial"/>
          <w:b/>
          <w:color w:val="auto"/>
          <w:sz w:val="21"/>
          <w:highlight w:val="none"/>
        </w:rPr>
      </w:pPr>
    </w:p>
    <w:p>
      <w:pPr>
        <w:pStyle w:val="222"/>
        <w:rPr>
          <w:rFonts w:eastAsia="黑体"/>
          <w:bCs/>
          <w:color w:val="auto"/>
          <w:sz w:val="32"/>
          <w:szCs w:val="32"/>
          <w:highlight w:val="none"/>
        </w:rPr>
      </w:pPr>
      <w:r>
        <w:rPr>
          <w:rFonts w:eastAsia="黑体"/>
          <w:bCs/>
          <w:color w:val="auto"/>
          <w:sz w:val="32"/>
          <w:szCs w:val="32"/>
          <w:highlight w:val="none"/>
        </w:rPr>
        <w:br w:type="page"/>
      </w:r>
    </w:p>
    <w:p>
      <w:pPr>
        <w:jc w:val="center"/>
        <w:rPr>
          <w:rFonts w:eastAsia="黑体"/>
          <w:bCs/>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1048" w:name="_Toc80006273"/>
      <w:bookmarkStart w:id="1049" w:name="_Toc80006163"/>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1</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投标信息表</w:t>
      </w:r>
      <w:bookmarkEnd w:id="1048"/>
      <w:bookmarkEnd w:id="1049"/>
    </w:p>
    <w:tbl>
      <w:tblPr>
        <w:tblStyle w:val="39"/>
        <w:tblW w:w="9439"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12"/>
        <w:gridCol w:w="1112"/>
        <w:gridCol w:w="1155"/>
        <w:gridCol w:w="576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2524" w:type="dxa"/>
            <w:gridSpan w:val="2"/>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6915" w:type="dxa"/>
            <w:gridSpan w:val="2"/>
            <w:tcBorders>
              <w:top w:val="single" w:color="auto" w:sz="4" w:space="0"/>
              <w:left w:val="nil"/>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投标报价（万元）</w:t>
            </w:r>
          </w:p>
        </w:tc>
        <w:tc>
          <w:tcPr>
            <w:tcW w:w="6915" w:type="dxa"/>
            <w:gridSpan w:val="2"/>
            <w:tcBorders>
              <w:top w:val="nil"/>
              <w:left w:val="nil"/>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其中暂估价（万元）</w:t>
            </w:r>
          </w:p>
        </w:tc>
        <w:tc>
          <w:tcPr>
            <w:tcW w:w="6915" w:type="dxa"/>
            <w:gridSpan w:val="2"/>
            <w:tcBorders>
              <w:top w:val="nil"/>
              <w:left w:val="nil"/>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524" w:type="dxa"/>
            <w:gridSpan w:val="2"/>
            <w:vMerge w:val="restart"/>
            <w:tcBorders>
              <w:top w:val="nil"/>
              <w:left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1155"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760"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2</w:t>
            </w:r>
          </w:p>
        </w:tc>
        <w:tc>
          <w:tcPr>
            <w:tcW w:w="5760"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3</w:t>
            </w:r>
          </w:p>
        </w:tc>
        <w:tc>
          <w:tcPr>
            <w:tcW w:w="5760"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5760"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restart"/>
            <w:tcBorders>
              <w:top w:val="single" w:color="auto" w:sz="4" w:space="0"/>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表彰奖励 </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情况</w:t>
            </w:r>
          </w:p>
        </w:tc>
        <w:tc>
          <w:tcPr>
            <w:tcW w:w="1155"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国家级</w:t>
            </w: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省级</w:t>
            </w: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41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97"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表彰奖励 </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83" w:hRule="atLeast"/>
          <w:jc w:val="center"/>
        </w:trPr>
        <w:tc>
          <w:tcPr>
            <w:tcW w:w="1412" w:type="dxa"/>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112" w:type="dxa"/>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41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投标担</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保信息</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担保机构</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经营地址</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rPr>
          <w:rFonts w:eastAsia="仿宋"/>
          <w:color w:val="auto"/>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1050" w:name="_Toc80006164"/>
      <w:bookmarkStart w:id="1051" w:name="_Toc9178589"/>
      <w:bookmarkStart w:id="1052" w:name="_Toc80006274"/>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2</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其他</w:t>
      </w:r>
      <w:bookmarkEnd w:id="1050"/>
      <w:bookmarkEnd w:id="1051"/>
      <w:bookmarkEnd w:id="1052"/>
    </w:p>
    <w:p>
      <w:pPr>
        <w:widowControl/>
        <w:rPr>
          <w:color w:val="auto"/>
          <w:highlight w:val="none"/>
        </w:rPr>
      </w:pPr>
    </w:p>
    <w:p>
      <w:pPr>
        <w:rPr>
          <w:color w:val="auto"/>
          <w:highlight w:val="none"/>
        </w:rPr>
      </w:pPr>
    </w:p>
    <w:p>
      <w:pPr>
        <w:rPr>
          <w:color w:val="auto"/>
          <w:highlight w:val="none"/>
        </w:rPr>
      </w:pPr>
    </w:p>
    <w:p>
      <w:pPr>
        <w:jc w:val="left"/>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pStyle w:val="2"/>
        <w:jc w:val="center"/>
        <w:rPr>
          <w:rFonts w:ascii="Times New Roman" w:hAnsi="Times New Roman" w:eastAsia="黑体"/>
          <w:b w:val="0"/>
          <w:color w:val="auto"/>
          <w:highlight w:val="none"/>
        </w:rPr>
      </w:pPr>
      <w:bookmarkStart w:id="1053" w:name="_Toc300678593"/>
      <w:bookmarkStart w:id="1054" w:name="_Toc80006275"/>
      <w:bookmarkStart w:id="1055" w:name="_Toc80006165"/>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1053"/>
      <w:r>
        <w:rPr>
          <w:rFonts w:ascii="Times New Roman" w:hAnsi="Times New Roman" w:eastAsia="黑体"/>
          <w:b w:val="0"/>
          <w:color w:val="auto"/>
          <w:highlight w:val="none"/>
        </w:rPr>
        <w:t>格式</w:t>
      </w:r>
      <w:bookmarkEnd w:id="1054"/>
      <w:bookmarkEnd w:id="1055"/>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（投标报价）</w:t>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widowControl/>
        <w:rPr>
          <w:color w:val="auto"/>
          <w:highlight w:val="none"/>
        </w:rPr>
      </w:pPr>
    </w:p>
    <w:p>
      <w:pPr>
        <w:widowControl/>
        <w:rPr>
          <w:color w:val="auto"/>
          <w:highlight w:val="none"/>
        </w:rPr>
      </w:pPr>
    </w:p>
    <w:p>
      <w:pPr>
        <w:widowControl/>
        <w:rPr>
          <w:rFonts w:eastAsia="黑体"/>
          <w:color w:val="auto"/>
          <w:sz w:val="28"/>
          <w:szCs w:val="28"/>
          <w:highlight w:val="none"/>
        </w:rPr>
      </w:pPr>
      <w:r>
        <w:rPr>
          <w:rFonts w:eastAsia="黑体"/>
          <w:color w:val="auto"/>
          <w:sz w:val="28"/>
          <w:szCs w:val="28"/>
          <w:highlight w:val="none"/>
        </w:rPr>
        <w:br w:type="page"/>
      </w:r>
      <w:bookmarkStart w:id="1056" w:name="_Toc300678594"/>
    </w:p>
    <w:p>
      <w:pPr>
        <w:widowControl/>
        <w:rPr>
          <w:rFonts w:eastAsia="黑体"/>
          <w:color w:val="auto"/>
          <w:sz w:val="28"/>
          <w:szCs w:val="28"/>
          <w:highlight w:val="none"/>
        </w:rPr>
      </w:pPr>
    </w:p>
    <w:p>
      <w:pPr>
        <w:widowControl/>
        <w:rPr>
          <w:rFonts w:eastAsia="黑体"/>
          <w:color w:val="auto"/>
          <w:sz w:val="28"/>
          <w:szCs w:val="28"/>
          <w:highlight w:val="none"/>
        </w:rPr>
      </w:pPr>
    </w:p>
    <w:p>
      <w:pPr>
        <w:pStyle w:val="3"/>
        <w:spacing w:before="0" w:after="0" w:line="240" w:lineRule="auto"/>
        <w:jc w:val="center"/>
        <w:rPr>
          <w:rFonts w:ascii="Times New Roman" w:hAnsi="Times New Roman" w:eastAsia="黑体"/>
          <w:b w:val="0"/>
          <w:bCs w:val="0"/>
          <w:color w:val="auto"/>
          <w:sz w:val="36"/>
          <w:szCs w:val="36"/>
          <w:highlight w:val="none"/>
        </w:rPr>
      </w:pPr>
      <w:bookmarkStart w:id="1057" w:name="_Toc80006166"/>
      <w:bookmarkStart w:id="1058" w:name="_Toc80006276"/>
      <w:bookmarkStart w:id="1059" w:name="_Toc9178591"/>
      <w:r>
        <w:rPr>
          <w:rFonts w:ascii="Times New Roman" w:hAnsi="Times New Roman" w:eastAsia="黑体"/>
          <w:b w:val="0"/>
          <w:bCs w:val="0"/>
          <w:color w:val="auto"/>
          <w:sz w:val="36"/>
          <w:szCs w:val="36"/>
          <w:highlight w:val="none"/>
        </w:rPr>
        <w:t>目    录</w:t>
      </w:r>
      <w:bookmarkEnd w:id="1056"/>
      <w:bookmarkEnd w:id="1057"/>
      <w:bookmarkEnd w:id="1058"/>
      <w:bookmarkEnd w:id="1059"/>
    </w:p>
    <w:p>
      <w:pPr>
        <w:spacing w:line="360" w:lineRule="auto"/>
        <w:rPr>
          <w:color w:val="auto"/>
          <w:highlight w:val="none"/>
        </w:rPr>
      </w:pPr>
    </w:p>
    <w:p>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"_Toc300678595"</w:instrText>
      </w:r>
      <w:r>
        <w:rPr>
          <w:color w:val="auto"/>
          <w:highlight w:val="none"/>
        </w:rPr>
        <w:fldChar w:fldCharType="separate"/>
      </w:r>
      <w:r>
        <w:rPr>
          <w:rFonts w:hint="eastAsia"/>
          <w:color w:val="auto"/>
          <w:highlight w:val="none"/>
        </w:rPr>
        <w:t>1.</w:t>
      </w:r>
      <w:r>
        <w:rPr>
          <w:rStyle w:val="46"/>
          <w:color w:val="auto"/>
          <w:highlight w:val="none"/>
          <w:u w:val="none"/>
        </w:rPr>
        <w:t>已标价工程量清单内容</w:t>
      </w:r>
      <w:r>
        <w:rPr>
          <w:color w:val="auto"/>
          <w:highlight w:val="none"/>
        </w:rPr>
        <w:tab/>
      </w:r>
      <w:r>
        <w:rPr>
          <w:color w:val="auto"/>
          <w:highlight w:val="none"/>
        </w:rPr>
        <w:fldChar w:fldCharType="end"/>
      </w:r>
    </w:p>
    <w:p>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"_Toc300678596"</w:instrText>
      </w:r>
      <w:r>
        <w:rPr>
          <w:color w:val="auto"/>
          <w:highlight w:val="none"/>
        </w:rPr>
        <w:fldChar w:fldCharType="separate"/>
      </w:r>
      <w:r>
        <w:rPr>
          <w:rFonts w:hint="eastAsia"/>
          <w:color w:val="auto"/>
          <w:highlight w:val="none"/>
        </w:rPr>
        <w:t>2.</w:t>
      </w:r>
      <w:r>
        <w:rPr>
          <w:rStyle w:val="46"/>
          <w:rFonts w:hint="eastAsia"/>
          <w:color w:val="auto"/>
          <w:highlight w:val="none"/>
          <w:u w:val="none"/>
        </w:rPr>
        <w:t>已</w:t>
      </w:r>
      <w:r>
        <w:rPr>
          <w:rStyle w:val="46"/>
          <w:color w:val="auto"/>
          <w:highlight w:val="none"/>
          <w:u w:val="none"/>
        </w:rPr>
        <w:t>标价工程量清单格式</w:t>
      </w:r>
      <w:r>
        <w:rPr>
          <w:color w:val="auto"/>
          <w:highlight w:val="none"/>
        </w:rPr>
        <w:tab/>
      </w:r>
      <w:r>
        <w:rPr>
          <w:color w:val="auto"/>
          <w:highlight w:val="none"/>
        </w:rPr>
        <w:fldChar w:fldCharType="end"/>
      </w:r>
    </w:p>
    <w:p>
      <w:pPr>
        <w:autoSpaceDE w:val="0"/>
        <w:autoSpaceDN w:val="0"/>
        <w:adjustRightInd w:val="0"/>
        <w:spacing w:before="64" w:line="360" w:lineRule="auto"/>
        <w:ind w:right="-23" w:firstLine="420" w:firstLineChars="200"/>
        <w:jc w:val="left"/>
        <w:rPr>
          <w:color w:val="auto"/>
          <w:kern w:val="0"/>
          <w:szCs w:val="21"/>
          <w:highlight w:val="none"/>
        </w:rPr>
      </w:pPr>
      <w:r>
        <w:rPr>
          <w:color w:val="auto"/>
          <w:highlight w:val="none"/>
        </w:rPr>
        <w:t xml:space="preserve">   </w:t>
      </w: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widowControl/>
        <w:jc w:val="left"/>
        <w:rPr>
          <w:color w:val="auto"/>
          <w:kern w:val="0"/>
          <w:szCs w:val="21"/>
          <w:highlight w:val="none"/>
        </w:rPr>
      </w:pPr>
      <w:r>
        <w:rPr>
          <w:color w:val="auto"/>
          <w:kern w:val="0"/>
          <w:szCs w:val="21"/>
          <w:highlight w:val="none"/>
        </w:rPr>
        <w:br w:type="page"/>
      </w:r>
    </w:p>
    <w:p>
      <w:pPr>
        <w:pStyle w:val="30"/>
        <w:tabs>
          <w:tab w:val="right" w:leader="dot" w:pos="8720"/>
        </w:tabs>
        <w:ind w:left="0" w:leftChars="0"/>
        <w:jc w:val="left"/>
        <w:rPr>
          <w:color w:val="auto"/>
          <w:highlight w:val="none"/>
        </w:rPr>
      </w:pPr>
    </w:p>
    <w:p>
      <w:pPr>
        <w:pStyle w:val="4"/>
        <w:keepNext/>
        <w:keepLines/>
        <w:widowControl w:val="0"/>
        <w:jc w:val="left"/>
        <w:rPr>
          <w:rFonts w:eastAsia="黑体"/>
          <w:b w:val="0"/>
          <w:color w:val="auto"/>
          <w:sz w:val="28"/>
          <w:szCs w:val="28"/>
          <w:highlight w:val="none"/>
        </w:rPr>
      </w:pPr>
      <w:bookmarkStart w:id="1060" w:name="_Toc9178592"/>
      <w:bookmarkStart w:id="1061" w:name="_Toc300678595"/>
      <w:bookmarkStart w:id="1062" w:name="_Toc80006277"/>
      <w:bookmarkStart w:id="1063" w:name="_Toc80006167"/>
      <w:r>
        <w:rPr>
          <w:rFonts w:hint="eastAsia" w:eastAsia="黑体"/>
          <w:b w:val="0"/>
          <w:color w:val="auto"/>
          <w:sz w:val="28"/>
          <w:szCs w:val="28"/>
          <w:highlight w:val="none"/>
        </w:rPr>
        <w:t>1.</w:t>
      </w:r>
      <w:r>
        <w:rPr>
          <w:rFonts w:eastAsia="黑体"/>
          <w:b w:val="0"/>
          <w:color w:val="auto"/>
          <w:sz w:val="28"/>
          <w:szCs w:val="28"/>
          <w:highlight w:val="none"/>
        </w:rPr>
        <w:t>已标价工程量清单内容</w:t>
      </w:r>
      <w:bookmarkEnd w:id="1060"/>
      <w:bookmarkEnd w:id="1061"/>
      <w:bookmarkEnd w:id="1062"/>
      <w:bookmarkEnd w:id="1063"/>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w:t>
      </w:r>
      <w:r>
        <w:rPr>
          <w:rFonts w:hint="eastAsia"/>
          <w:color w:val="auto"/>
          <w:highlight w:val="none"/>
        </w:rPr>
        <w:t>）投标总价封面；</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2</w:t>
      </w:r>
      <w:r>
        <w:rPr>
          <w:rFonts w:hint="eastAsia"/>
          <w:color w:val="auto"/>
          <w:highlight w:val="none"/>
        </w:rPr>
        <w:t>）投标总价扉页</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3</w:t>
      </w:r>
      <w:r>
        <w:rPr>
          <w:rFonts w:hint="eastAsia"/>
          <w:color w:val="auto"/>
          <w:highlight w:val="none"/>
        </w:rPr>
        <w:t>）工程计价总说明</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4</w:t>
      </w:r>
      <w:r>
        <w:rPr>
          <w:rFonts w:hint="eastAsia"/>
          <w:color w:val="auto"/>
          <w:highlight w:val="none"/>
        </w:rPr>
        <w:t>）建设项目投标报价汇总表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5</w:t>
      </w:r>
      <w:r>
        <w:rPr>
          <w:rFonts w:hint="eastAsia"/>
          <w:color w:val="auto"/>
          <w:highlight w:val="none"/>
        </w:rPr>
        <w:t>）单项工程投标报价汇总表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6</w:t>
      </w:r>
      <w:r>
        <w:rPr>
          <w:rFonts w:hint="eastAsia"/>
          <w:color w:val="auto"/>
          <w:highlight w:val="none"/>
        </w:rPr>
        <w:t>）单位工程投标报价汇总表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7</w:t>
      </w:r>
      <w:r>
        <w:rPr>
          <w:rFonts w:hint="eastAsia"/>
          <w:color w:val="auto"/>
          <w:highlight w:val="none"/>
        </w:rPr>
        <w:t>）分部分项工程项目清单与措施项目清单计价表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8</w:t>
      </w:r>
      <w:r>
        <w:rPr>
          <w:rFonts w:hint="eastAsia"/>
          <w:color w:val="auto"/>
          <w:highlight w:val="none"/>
        </w:rPr>
        <w:t>）综合单价分析表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9</w:t>
      </w:r>
      <w:r>
        <w:rPr>
          <w:rFonts w:hint="eastAsia"/>
          <w:color w:val="auto"/>
          <w:highlight w:val="none"/>
        </w:rPr>
        <w:t>）总价措施项目清单计费表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10</w:t>
      </w:r>
      <w:r>
        <w:rPr>
          <w:rFonts w:hint="eastAsia"/>
          <w:color w:val="auto"/>
          <w:highlight w:val="none"/>
        </w:rPr>
        <w:t>）绿色施工安全防护措施项目费计价表（招投标）</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11</w:t>
      </w:r>
      <w:r>
        <w:rPr>
          <w:rFonts w:hint="eastAsia"/>
          <w:color w:val="auto"/>
          <w:highlight w:val="none"/>
        </w:rPr>
        <w:t>）其他项目清单与计价汇总表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12</w:t>
      </w:r>
      <w:r>
        <w:rPr>
          <w:rFonts w:hint="eastAsia"/>
          <w:color w:val="auto"/>
          <w:highlight w:val="none"/>
        </w:rPr>
        <w:t>）暂列金额明细表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13</w:t>
      </w:r>
      <w:r>
        <w:rPr>
          <w:rFonts w:hint="eastAsia"/>
          <w:color w:val="auto"/>
          <w:highlight w:val="none"/>
        </w:rPr>
        <w:t>）材料暂估单价及调整表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14</w:t>
      </w:r>
      <w:r>
        <w:rPr>
          <w:rFonts w:hint="eastAsia"/>
          <w:color w:val="auto"/>
          <w:highlight w:val="none"/>
        </w:rPr>
        <w:t>）专业工程</w:t>
      </w:r>
      <w:r>
        <w:rPr>
          <w:color w:val="auto"/>
          <w:highlight w:val="none"/>
        </w:rPr>
        <w:t>/</w:t>
      </w:r>
      <w:r>
        <w:rPr>
          <w:rFonts w:hint="eastAsia"/>
          <w:color w:val="auto"/>
          <w:highlight w:val="none"/>
        </w:rPr>
        <w:t>分部分项工程暂估价及结算价表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15</w:t>
      </w:r>
      <w:r>
        <w:rPr>
          <w:rFonts w:hint="eastAsia"/>
          <w:color w:val="auto"/>
          <w:highlight w:val="none"/>
        </w:rPr>
        <w:t>）计日工表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16</w:t>
      </w:r>
      <w:r>
        <w:rPr>
          <w:rFonts w:hint="eastAsia"/>
          <w:color w:val="auto"/>
          <w:highlight w:val="none"/>
        </w:rPr>
        <w:t>）总承包服务费计价表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17</w:t>
      </w:r>
      <w:r>
        <w:rPr>
          <w:rFonts w:hint="eastAsia"/>
          <w:color w:val="auto"/>
          <w:highlight w:val="none"/>
        </w:rPr>
        <w:t>）部分其他项目费计价表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18</w:t>
      </w:r>
      <w:r>
        <w:rPr>
          <w:rFonts w:hint="eastAsia"/>
          <w:color w:val="auto"/>
          <w:highlight w:val="none"/>
        </w:rPr>
        <w:t>）发包人提供材料一览表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19</w:t>
      </w:r>
      <w:r>
        <w:rPr>
          <w:rFonts w:hint="eastAsia"/>
          <w:color w:val="auto"/>
          <w:highlight w:val="none"/>
        </w:rPr>
        <w:t>）人工、材料、机械汇总表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（20）重点评审的工程量清单综合单价（含单价措施项目）表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2</w:t>
      </w:r>
      <w:r>
        <w:rPr>
          <w:rFonts w:hint="eastAsia"/>
          <w:color w:val="auto"/>
          <w:highlight w:val="none"/>
        </w:rPr>
        <w:t>1）重点评审的材料单价表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说明：以上表格如为空白表格，可不提供。</w:t>
      </w:r>
    </w:p>
    <w:p>
      <w:pPr>
        <w:autoSpaceDE w:val="0"/>
        <w:autoSpaceDN w:val="0"/>
        <w:adjustRightInd w:val="0"/>
        <w:spacing w:before="64" w:line="360" w:lineRule="auto"/>
        <w:ind w:right="-23"/>
        <w:jc w:val="left"/>
        <w:rPr>
          <w:color w:val="auto"/>
          <w:highlight w:val="none"/>
        </w:rPr>
      </w:pPr>
    </w:p>
    <w:p>
      <w:pPr>
        <w:autoSpaceDE w:val="0"/>
        <w:autoSpaceDN w:val="0"/>
        <w:adjustRightInd w:val="0"/>
        <w:spacing w:before="64" w:line="360" w:lineRule="auto"/>
        <w:ind w:right="-23"/>
        <w:jc w:val="left"/>
        <w:rPr>
          <w:color w:val="auto"/>
          <w:highlight w:val="none"/>
        </w:rPr>
      </w:pPr>
    </w:p>
    <w:p>
      <w:pPr>
        <w:widowControl/>
        <w:jc w:val="left"/>
        <w:rPr>
          <w:color w:val="auto"/>
          <w:highlight w:val="none"/>
        </w:rPr>
      </w:pPr>
      <w:r>
        <w:rPr>
          <w:color w:val="auto"/>
          <w:highlight w:val="none"/>
        </w:rPr>
        <w:br w:type="page"/>
      </w:r>
    </w:p>
    <w:p>
      <w:pPr>
        <w:spacing w:after="240" w:afterLines="100"/>
        <w:rPr>
          <w:color w:val="auto"/>
          <w:highlight w:val="none"/>
        </w:rPr>
      </w:pPr>
      <w:bookmarkStart w:id="1064" w:name="_Toc300678597"/>
    </w:p>
    <w:bookmarkEnd w:id="1064"/>
    <w:p>
      <w:pPr>
        <w:pStyle w:val="4"/>
        <w:keepNext/>
        <w:keepLines/>
        <w:widowControl w:val="0"/>
        <w:jc w:val="left"/>
        <w:rPr>
          <w:rFonts w:eastAsia="黑体"/>
          <w:b w:val="0"/>
          <w:color w:val="auto"/>
          <w:sz w:val="28"/>
          <w:szCs w:val="28"/>
          <w:highlight w:val="none"/>
        </w:rPr>
      </w:pPr>
      <w:bookmarkStart w:id="1065" w:name="_Toc80006278"/>
      <w:bookmarkStart w:id="1066" w:name="_Toc80006168"/>
      <w:r>
        <w:rPr>
          <w:rFonts w:hint="eastAsia" w:eastAsia="黑体"/>
          <w:b w:val="0"/>
          <w:color w:val="auto"/>
          <w:sz w:val="28"/>
          <w:szCs w:val="28"/>
          <w:highlight w:val="none"/>
        </w:rPr>
        <w:t>2.</w:t>
      </w:r>
      <w:r>
        <w:rPr>
          <w:rFonts w:eastAsia="黑体"/>
          <w:b w:val="0"/>
          <w:color w:val="auto"/>
          <w:sz w:val="28"/>
          <w:szCs w:val="28"/>
          <w:highlight w:val="none"/>
        </w:rPr>
        <w:t>已标价工程量清单格式</w:t>
      </w:r>
      <w:bookmarkEnd w:id="1065"/>
      <w:bookmarkEnd w:id="1066"/>
    </w:p>
    <w:p>
      <w:pPr>
        <w:spacing w:line="360" w:lineRule="auto"/>
        <w:ind w:firstLine="480" w:firstLineChars="200"/>
        <w:rPr>
          <w:rFonts w:eastAsia="黑体"/>
          <w:color w:val="auto"/>
          <w:sz w:val="24"/>
          <w:highlight w:val="none"/>
        </w:rPr>
      </w:pPr>
    </w:p>
    <w:p>
      <w:pPr>
        <w:spacing w:line="360" w:lineRule="auto"/>
        <w:ind w:firstLine="480" w:firstLineChars="200"/>
        <w:rPr>
          <w:color w:val="auto"/>
          <w:sz w:val="24"/>
          <w:highlight w:val="none"/>
        </w:rPr>
      </w:pPr>
      <w:r>
        <w:rPr>
          <w:rFonts w:hint="eastAsia" w:eastAsia="黑体"/>
          <w:color w:val="auto"/>
          <w:sz w:val="24"/>
          <w:highlight w:val="none"/>
        </w:rPr>
        <w:t>说明：</w:t>
      </w:r>
      <w:r>
        <w:rPr>
          <w:rFonts w:hint="eastAsia" w:ascii="宋体" w:hAnsi="宋体"/>
          <w:color w:val="auto"/>
          <w:szCs w:val="21"/>
          <w:highlight w:val="none"/>
        </w:rPr>
        <w:t>已标价工程量清单按照</w:t>
      </w:r>
      <w:r>
        <w:rPr>
          <w:color w:val="auto"/>
          <w:highlight w:val="none"/>
        </w:rPr>
        <w:t>《</w:t>
      </w:r>
      <w:r>
        <w:rPr>
          <w:rFonts w:hint="eastAsia"/>
          <w:color w:val="auto"/>
          <w:highlight w:val="none"/>
        </w:rPr>
        <w:t>湖南省住房和城乡建设厅关于印发&lt;湖南省建设工程计价办法</w:t>
      </w:r>
      <w:r>
        <w:rPr>
          <w:color w:val="auto"/>
          <w:highlight w:val="none"/>
        </w:rPr>
        <w:t>&gt;</w:t>
      </w:r>
      <w:r>
        <w:rPr>
          <w:rFonts w:hint="eastAsia"/>
          <w:color w:val="auto"/>
          <w:highlight w:val="none"/>
        </w:rPr>
        <w:t>及&lt;湖南省建设工程消耗量标准</w:t>
      </w:r>
      <w:r>
        <w:rPr>
          <w:color w:val="auto"/>
          <w:highlight w:val="none"/>
        </w:rPr>
        <w:t>&gt;</w:t>
      </w:r>
      <w:r>
        <w:rPr>
          <w:rFonts w:hint="eastAsia"/>
          <w:color w:val="auto"/>
          <w:highlight w:val="none"/>
        </w:rPr>
        <w:t>的通知</w:t>
      </w:r>
      <w:r>
        <w:rPr>
          <w:color w:val="auto"/>
          <w:highlight w:val="none"/>
        </w:rPr>
        <w:t>》（</w:t>
      </w:r>
      <w:r>
        <w:rPr>
          <w:rFonts w:hint="eastAsia"/>
          <w:color w:val="auto"/>
          <w:highlight w:val="none"/>
        </w:rPr>
        <w:t xml:space="preserve"> 湘建价【2020】56号</w:t>
      </w:r>
      <w:r>
        <w:rPr>
          <w:color w:val="auto"/>
          <w:highlight w:val="none"/>
        </w:rPr>
        <w:t>）等文件规定的格式</w:t>
      </w:r>
      <w:r>
        <w:rPr>
          <w:rFonts w:hint="eastAsia"/>
          <w:color w:val="auto"/>
          <w:highlight w:val="none"/>
        </w:rPr>
        <w:t>填写。由计价软件打印的已标价工程量清单与上述文件格式不一致的，以计价软件打印的表格为准。投标人采用的计价软件应当通过了湖南建设工程造价管理总站的测评。</w:t>
      </w: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pStyle w:val="2"/>
        <w:jc w:val="center"/>
        <w:rPr>
          <w:rFonts w:ascii="Times New Roman" w:hAnsi="Times New Roman" w:eastAsia="黑体"/>
          <w:b w:val="0"/>
          <w:bCs w:val="0"/>
          <w:color w:val="auto"/>
          <w:highlight w:val="none"/>
        </w:rPr>
      </w:pPr>
      <w:bookmarkStart w:id="1067" w:name="_Toc300678612"/>
      <w:bookmarkStart w:id="1068" w:name="_Toc80006169"/>
      <w:bookmarkStart w:id="1069" w:name="_Toc80006279"/>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施工组织设计格式</w:t>
      </w:r>
      <w:bookmarkEnd w:id="1067"/>
      <w:bookmarkEnd w:id="1068"/>
      <w:bookmarkEnd w:id="1069"/>
    </w:p>
    <w:p>
      <w:pPr>
        <w:widowControl/>
        <w:jc w:val="center"/>
        <w:rPr>
          <w:b/>
          <w:bCs/>
          <w:color w:val="auto"/>
          <w:sz w:val="28"/>
          <w:szCs w:val="36"/>
          <w:highlight w:val="none"/>
        </w:rPr>
      </w:pPr>
      <w:bookmarkStart w:id="1070" w:name="_Toc79998456"/>
      <w:bookmarkStart w:id="1071" w:name="_Toc79998900"/>
      <w:bookmarkStart w:id="1072" w:name="_Toc303865021"/>
      <w:bookmarkStart w:id="1073" w:name="_Toc21505475"/>
      <w:bookmarkStart w:id="1074" w:name="_Toc9189379"/>
      <w:r>
        <w:rPr>
          <w:b/>
          <w:bCs/>
          <w:color w:val="auto"/>
          <w:sz w:val="28"/>
          <w:szCs w:val="36"/>
          <w:highlight w:val="none"/>
        </w:rPr>
        <w:t>（明标）</w:t>
      </w:r>
      <w:bookmarkEnd w:id="1070"/>
      <w:bookmarkEnd w:id="1071"/>
      <w:bookmarkEnd w:id="1072"/>
      <w:bookmarkEnd w:id="1073"/>
      <w:bookmarkEnd w:id="1074"/>
    </w:p>
    <w:p>
      <w:pPr>
        <w:rPr>
          <w:color w:val="auto"/>
          <w:highlight w:val="none"/>
        </w:rPr>
      </w:pPr>
    </w:p>
    <w:p>
      <w:pPr>
        <w:rPr>
          <w:color w:val="auto"/>
          <w:highlight w:val="none"/>
        </w:rPr>
      </w:pPr>
    </w:p>
    <w:p>
      <w:pPr>
        <w:rPr>
          <w:color w:val="auto"/>
          <w:highlight w:val="none"/>
        </w:rPr>
      </w:pPr>
    </w:p>
    <w:p>
      <w:pPr>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rPr>
          <w:color w:val="auto"/>
          <w:highlight w:val="none"/>
        </w:rPr>
      </w:pPr>
      <w:r>
        <w:rPr>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color w:val="auto"/>
          <w:sz w:val="28"/>
          <w:szCs w:val="32"/>
          <w:highlight w:val="none"/>
          <w:u w:val="singl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（施工组织设计）</w:t>
      </w: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rPr>
          <w:rFonts w:eastAsia="黑体"/>
          <w:color w:val="auto"/>
          <w:sz w:val="24"/>
          <w:szCs w:val="21"/>
          <w:highlight w:val="none"/>
        </w:rPr>
      </w:pPr>
      <w:r>
        <w:rPr>
          <w:rFonts w:eastAsia="黑体"/>
          <w:color w:val="auto"/>
          <w:sz w:val="24"/>
          <w:szCs w:val="21"/>
          <w:highlight w:val="none"/>
        </w:rPr>
        <w:br w:type="page"/>
      </w:r>
    </w:p>
    <w:p>
      <w:pPr>
        <w:adjustRightInd w:val="0"/>
        <w:snapToGrid w:val="0"/>
        <w:spacing w:line="400" w:lineRule="atLeast"/>
        <w:ind w:firstLine="560" w:firstLineChars="200"/>
        <w:jc w:val="center"/>
        <w:rPr>
          <w:rFonts w:eastAsia="黑体"/>
          <w:color w:val="auto"/>
          <w:sz w:val="28"/>
          <w:szCs w:val="28"/>
          <w:highlight w:val="none"/>
        </w:rPr>
      </w:pPr>
      <w:r>
        <w:rPr>
          <w:rFonts w:eastAsia="黑体"/>
          <w:color w:val="auto"/>
          <w:sz w:val="28"/>
          <w:szCs w:val="28"/>
          <w:highlight w:val="none"/>
        </w:rPr>
        <w:t>施工组织设计编制要求</w:t>
      </w:r>
    </w:p>
    <w:p>
      <w:pPr>
        <w:rPr>
          <w:color w:val="auto"/>
          <w:highlight w:val="none"/>
        </w:rPr>
      </w:pPr>
    </w:p>
    <w:p>
      <w:pPr>
        <w:spacing w:line="360" w:lineRule="auto"/>
        <w:ind w:firstLine="420" w:firstLineChars="200"/>
        <w:rPr>
          <w:color w:val="auto"/>
          <w:highlight w:val="none"/>
        </w:rPr>
      </w:pPr>
      <w:r>
        <w:rPr>
          <w:color w:val="auto"/>
          <w:highlight w:val="none"/>
        </w:rPr>
        <w:t>“经评审的最低投标价法”的施工组织设计采用明标方式评审，</w:t>
      </w:r>
      <w:r>
        <w:rPr>
          <w:color w:val="auto"/>
          <w:szCs w:val="21"/>
          <w:highlight w:val="none"/>
        </w:rPr>
        <w:t>投标人应当根据</w:t>
      </w:r>
      <w:r>
        <w:rPr>
          <w:color w:val="auto"/>
          <w:highlight w:val="none"/>
        </w:rPr>
        <w:t>湘建监督〔</w:t>
      </w:r>
      <w:r>
        <w:rPr>
          <w:rFonts w:hint="eastAsia"/>
          <w:color w:val="auto"/>
          <w:highlight w:val="none"/>
          <w:lang w:val="en-US" w:eastAsia="zh-CN"/>
        </w:rPr>
        <w:t xml:space="preserve">2024 </w:t>
      </w:r>
      <w:r>
        <w:rPr>
          <w:color w:val="auto"/>
          <w:highlight w:val="none"/>
        </w:rPr>
        <w:t>〕</w:t>
      </w:r>
      <w:r>
        <w:rPr>
          <w:rFonts w:hint="eastAsia"/>
          <w:color w:val="auto"/>
          <w:highlight w:val="none"/>
          <w:lang w:val="en-US" w:eastAsia="zh-CN"/>
        </w:rPr>
        <w:t>33</w:t>
      </w:r>
      <w:r>
        <w:rPr>
          <w:rFonts w:hint="eastAsia"/>
          <w:color w:val="auto"/>
          <w:highlight w:val="none"/>
        </w:rPr>
        <w:t xml:space="preserve"> </w:t>
      </w:r>
      <w:r>
        <w:rPr>
          <w:color w:val="auto"/>
          <w:highlight w:val="none"/>
        </w:rPr>
        <w:t>号文件规定的评审内容编制施工组织设计，具体包括下列内容（按此顺序）：</w:t>
      </w:r>
    </w:p>
    <w:p>
      <w:pPr>
        <w:adjustRightInd w:val="0"/>
        <w:snapToGrid w:val="0"/>
        <w:spacing w:line="360" w:lineRule="auto"/>
        <w:ind w:firstLine="420" w:firstLineChars="200"/>
        <w:jc w:val="left"/>
        <w:rPr>
          <w:color w:val="auto"/>
          <w:highlight w:val="none"/>
        </w:rPr>
      </w:pPr>
      <w:r>
        <w:rPr>
          <w:color w:val="auto"/>
          <w:highlight w:val="none"/>
        </w:rPr>
        <w:t>1.施工方案与技术措施；</w:t>
      </w:r>
    </w:p>
    <w:p>
      <w:pPr>
        <w:adjustRightInd w:val="0"/>
        <w:snapToGrid w:val="0"/>
        <w:spacing w:line="360" w:lineRule="auto"/>
        <w:ind w:firstLine="420" w:firstLineChars="200"/>
        <w:jc w:val="left"/>
        <w:rPr>
          <w:color w:val="auto"/>
          <w:highlight w:val="none"/>
        </w:rPr>
      </w:pPr>
      <w:r>
        <w:rPr>
          <w:color w:val="auto"/>
          <w:highlight w:val="none"/>
        </w:rPr>
        <w:t>2.质量管理体系与措施；</w:t>
      </w:r>
    </w:p>
    <w:p>
      <w:pPr>
        <w:spacing w:line="360" w:lineRule="auto"/>
        <w:ind w:firstLine="420" w:firstLineChars="200"/>
        <w:rPr>
          <w:color w:val="auto"/>
          <w:highlight w:val="none"/>
        </w:rPr>
      </w:pPr>
      <w:r>
        <w:rPr>
          <w:color w:val="auto"/>
          <w:highlight w:val="none"/>
        </w:rPr>
        <w:t>3.</w:t>
      </w:r>
      <w:r>
        <w:rPr>
          <w:color w:val="auto"/>
          <w:szCs w:val="21"/>
          <w:highlight w:val="none"/>
        </w:rPr>
        <w:t>安全管理</w:t>
      </w:r>
      <w:r>
        <w:rPr>
          <w:color w:val="auto"/>
          <w:highlight w:val="none"/>
        </w:rPr>
        <w:t>体系与措施；</w:t>
      </w:r>
    </w:p>
    <w:p>
      <w:pPr>
        <w:adjustRightInd w:val="0"/>
        <w:snapToGrid w:val="0"/>
        <w:spacing w:line="360" w:lineRule="auto"/>
        <w:jc w:val="left"/>
        <w:rPr>
          <w:color w:val="auto"/>
          <w:sz w:val="18"/>
          <w:szCs w:val="18"/>
          <w:highlight w:val="none"/>
        </w:rPr>
      </w:pPr>
    </w:p>
    <w:p>
      <w:pPr>
        <w:adjustRightInd w:val="0"/>
        <w:snapToGrid w:val="0"/>
        <w:spacing w:line="360" w:lineRule="auto"/>
        <w:jc w:val="left"/>
        <w:rPr>
          <w:color w:val="auto"/>
          <w:sz w:val="18"/>
          <w:szCs w:val="18"/>
          <w:highlight w:val="none"/>
        </w:rPr>
      </w:pPr>
      <w:r>
        <w:rPr>
          <w:rFonts w:hint="eastAsia"/>
          <w:color w:val="auto"/>
          <w:sz w:val="18"/>
          <w:szCs w:val="18"/>
          <w:highlight w:val="none"/>
        </w:rPr>
        <w:t>说明</w:t>
      </w:r>
      <w:r>
        <w:rPr>
          <w:color w:val="auto"/>
          <w:sz w:val="18"/>
          <w:szCs w:val="18"/>
          <w:highlight w:val="none"/>
        </w:rPr>
        <w:t>：如有合理化建议，不单独列出，各投标人将相关内容融入各相应章节。</w:t>
      </w:r>
    </w:p>
    <w:p>
      <w:pPr>
        <w:rPr>
          <w:rFonts w:eastAsia="黑体"/>
          <w:color w:val="auto"/>
          <w:szCs w:val="21"/>
          <w:highlight w:val="none"/>
          <w:u w:val="single"/>
        </w:rPr>
      </w:pPr>
      <w:r>
        <w:rPr>
          <w:rFonts w:eastAsia="黑体"/>
          <w:color w:val="auto"/>
          <w:szCs w:val="21"/>
          <w:highlight w:val="none"/>
          <w:u w:val="single"/>
        </w:rPr>
        <w:br w:type="page"/>
      </w: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pStyle w:val="2"/>
        <w:jc w:val="center"/>
        <w:rPr>
          <w:rFonts w:ascii="Times New Roman" w:hAnsi="Times New Roman" w:eastAsia="黑体"/>
          <w:b w:val="0"/>
          <w:bCs w:val="0"/>
          <w:color w:val="auto"/>
          <w:highlight w:val="none"/>
        </w:rPr>
      </w:pPr>
      <w:bookmarkStart w:id="1075" w:name="_Toc80006170"/>
      <w:bookmarkStart w:id="1076" w:name="_Toc80006280"/>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施工组织设计格式</w:t>
      </w:r>
      <w:bookmarkEnd w:id="1075"/>
      <w:bookmarkEnd w:id="1076"/>
    </w:p>
    <w:p>
      <w:pPr>
        <w:widowControl/>
        <w:jc w:val="center"/>
        <w:rPr>
          <w:b/>
          <w:bCs/>
          <w:color w:val="auto"/>
          <w:sz w:val="28"/>
          <w:szCs w:val="36"/>
          <w:highlight w:val="none"/>
        </w:rPr>
      </w:pPr>
      <w:bookmarkStart w:id="1077" w:name="_Toc79998902"/>
      <w:bookmarkStart w:id="1078" w:name="_Toc79998458"/>
      <w:bookmarkStart w:id="1079" w:name="_Toc303865023"/>
      <w:bookmarkStart w:id="1080" w:name="_Toc21505477"/>
      <w:bookmarkStart w:id="1081" w:name="_Toc9189381"/>
      <w:r>
        <w:rPr>
          <w:b/>
          <w:bCs/>
          <w:color w:val="auto"/>
          <w:sz w:val="28"/>
          <w:szCs w:val="36"/>
          <w:highlight w:val="none"/>
        </w:rPr>
        <w:t>（暗标）</w:t>
      </w:r>
      <w:bookmarkEnd w:id="1077"/>
      <w:bookmarkEnd w:id="1078"/>
      <w:bookmarkEnd w:id="1079"/>
      <w:bookmarkEnd w:id="1080"/>
      <w:bookmarkEnd w:id="1081"/>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r>
        <w:rPr>
          <w:rFonts w:eastAsia="黑体"/>
          <w:color w:val="auto"/>
          <w:sz w:val="28"/>
          <w:szCs w:val="28"/>
          <w:highlight w:val="none"/>
        </w:rPr>
        <w:br w:type="page"/>
      </w:r>
      <w:r>
        <w:rPr>
          <w:rFonts w:eastAsia="黑体"/>
          <w:color w:val="auto"/>
          <w:sz w:val="28"/>
          <w:szCs w:val="28"/>
          <w:highlight w:val="none"/>
        </w:rPr>
        <w:t>施工组织设计编制要求</w:t>
      </w:r>
    </w:p>
    <w:p>
      <w:pPr>
        <w:spacing w:line="360" w:lineRule="auto"/>
        <w:ind w:left="210" w:leftChars="100" w:firstLine="210" w:firstLineChars="100"/>
        <w:rPr>
          <w:color w:val="auto"/>
          <w:szCs w:val="21"/>
          <w:highlight w:val="none"/>
        </w:rPr>
      </w:pPr>
      <w:r>
        <w:rPr>
          <w:color w:val="auto"/>
          <w:szCs w:val="21"/>
          <w:highlight w:val="none"/>
        </w:rPr>
        <w:t>一、</w:t>
      </w:r>
      <w:r>
        <w:rPr>
          <w:color w:val="auto"/>
          <w:highlight w:val="none"/>
        </w:rPr>
        <w:t>“综合评估法”的施工组织设计</w:t>
      </w:r>
      <w:r>
        <w:rPr>
          <w:color w:val="auto"/>
          <w:szCs w:val="21"/>
          <w:highlight w:val="none"/>
        </w:rPr>
        <w:t>采用暗标评审方式，投标人应当根据</w:t>
      </w:r>
      <w:r>
        <w:rPr>
          <w:color w:val="auto"/>
          <w:highlight w:val="none"/>
        </w:rPr>
        <w:t>湘建监督〔</w:t>
      </w:r>
      <w:r>
        <w:rPr>
          <w:rFonts w:hint="eastAsia"/>
          <w:color w:val="auto"/>
          <w:highlight w:val="none"/>
          <w:lang w:val="en-US" w:eastAsia="zh-CN"/>
        </w:rPr>
        <w:t>2024</w:t>
      </w:r>
      <w:r>
        <w:rPr>
          <w:color w:val="auto"/>
          <w:highlight w:val="none"/>
        </w:rPr>
        <w:t>〕</w:t>
      </w:r>
      <w:r>
        <w:rPr>
          <w:rFonts w:hint="eastAsia"/>
          <w:color w:val="auto"/>
          <w:highlight w:val="none"/>
          <w:lang w:val="en-US" w:eastAsia="zh-CN"/>
        </w:rPr>
        <w:t>33</w:t>
      </w:r>
      <w:r>
        <w:rPr>
          <w:color w:val="auto"/>
          <w:highlight w:val="none"/>
        </w:rPr>
        <w:t>号文件规定的评审内容编制施工组织设计，具体</w:t>
      </w:r>
      <w:r>
        <w:rPr>
          <w:color w:val="auto"/>
          <w:szCs w:val="21"/>
          <w:highlight w:val="none"/>
        </w:rPr>
        <w:t>包括下列内容（按此顺序）：</w:t>
      </w:r>
    </w:p>
    <w:p>
      <w:pPr>
        <w:adjustRightInd w:val="0"/>
        <w:snapToGrid w:val="0"/>
        <w:spacing w:line="360" w:lineRule="auto"/>
        <w:ind w:firstLine="420" w:firstLineChars="200"/>
        <w:jc w:val="left"/>
        <w:rPr>
          <w:color w:val="auto"/>
          <w:szCs w:val="21"/>
          <w:highlight w:val="none"/>
        </w:rPr>
      </w:pPr>
      <w:r>
        <w:rPr>
          <w:color w:val="auto"/>
          <w:szCs w:val="21"/>
          <w:highlight w:val="none"/>
        </w:rPr>
        <w:t>1．施工方案与技术措施；</w:t>
      </w:r>
    </w:p>
    <w:p>
      <w:pPr>
        <w:adjustRightInd w:val="0"/>
        <w:snapToGrid w:val="0"/>
        <w:spacing w:line="360" w:lineRule="auto"/>
        <w:ind w:firstLine="420" w:firstLineChars="200"/>
        <w:jc w:val="left"/>
        <w:rPr>
          <w:color w:val="auto"/>
          <w:szCs w:val="21"/>
          <w:highlight w:val="none"/>
        </w:rPr>
      </w:pPr>
      <w:r>
        <w:rPr>
          <w:color w:val="auto"/>
          <w:szCs w:val="21"/>
          <w:highlight w:val="none"/>
        </w:rPr>
        <w:t>2．质量管理体系与措施；</w:t>
      </w:r>
    </w:p>
    <w:p>
      <w:pPr>
        <w:adjustRightInd w:val="0"/>
        <w:snapToGrid w:val="0"/>
        <w:spacing w:line="360" w:lineRule="auto"/>
        <w:ind w:firstLine="420" w:firstLineChars="200"/>
        <w:jc w:val="left"/>
        <w:rPr>
          <w:color w:val="auto"/>
          <w:szCs w:val="21"/>
          <w:highlight w:val="none"/>
        </w:rPr>
      </w:pPr>
      <w:r>
        <w:rPr>
          <w:color w:val="auto"/>
          <w:szCs w:val="21"/>
          <w:highlight w:val="none"/>
        </w:rPr>
        <w:t>3．安全管理体系与措施；</w:t>
      </w:r>
    </w:p>
    <w:p>
      <w:pPr>
        <w:adjustRightInd w:val="0"/>
        <w:snapToGrid w:val="0"/>
        <w:spacing w:line="360" w:lineRule="auto"/>
        <w:ind w:firstLine="420" w:firstLineChars="200"/>
        <w:jc w:val="left"/>
        <w:rPr>
          <w:color w:val="auto"/>
          <w:szCs w:val="21"/>
          <w:highlight w:val="none"/>
        </w:rPr>
      </w:pPr>
      <w:r>
        <w:rPr>
          <w:color w:val="auto"/>
          <w:szCs w:val="21"/>
          <w:highlight w:val="none"/>
        </w:rPr>
        <w:t>4．环境保护管理体系与措施；</w:t>
      </w:r>
    </w:p>
    <w:p>
      <w:pPr>
        <w:adjustRightInd w:val="0"/>
        <w:snapToGrid w:val="0"/>
        <w:spacing w:line="360" w:lineRule="auto"/>
        <w:ind w:firstLine="420" w:firstLineChars="200"/>
        <w:jc w:val="left"/>
        <w:rPr>
          <w:color w:val="auto"/>
          <w:szCs w:val="21"/>
          <w:highlight w:val="none"/>
        </w:rPr>
      </w:pPr>
      <w:r>
        <w:rPr>
          <w:color w:val="auto"/>
          <w:szCs w:val="21"/>
          <w:highlight w:val="none"/>
        </w:rPr>
        <w:t>5．工程进度计划与保证措施；</w:t>
      </w:r>
    </w:p>
    <w:p>
      <w:pPr>
        <w:adjustRightInd w:val="0"/>
        <w:snapToGrid w:val="0"/>
        <w:spacing w:line="360" w:lineRule="auto"/>
        <w:ind w:firstLine="420" w:firstLineChars="200"/>
        <w:jc w:val="left"/>
        <w:rPr>
          <w:rFonts w:hint="eastAsia" w:eastAsia="宋体"/>
          <w:color w:val="auto"/>
          <w:szCs w:val="21"/>
          <w:highlight w:val="none"/>
          <w:lang w:eastAsia="zh-CN"/>
        </w:rPr>
      </w:pPr>
      <w:r>
        <w:rPr>
          <w:color w:val="auto"/>
          <w:szCs w:val="21"/>
          <w:highlight w:val="none"/>
        </w:rPr>
        <w:t>6．资源配备计划</w:t>
      </w:r>
      <w:r>
        <w:rPr>
          <w:rFonts w:hint="eastAsia"/>
          <w:color w:val="auto"/>
          <w:szCs w:val="21"/>
          <w:highlight w:val="none"/>
          <w:lang w:eastAsia="zh-CN"/>
        </w:rPr>
        <w:t>；</w:t>
      </w:r>
    </w:p>
    <w:p>
      <w:pPr>
        <w:adjustRightInd w:val="0"/>
        <w:snapToGrid w:val="0"/>
        <w:spacing w:line="360" w:lineRule="auto"/>
        <w:ind w:firstLine="420" w:firstLineChars="200"/>
        <w:jc w:val="left"/>
        <w:rPr>
          <w:rFonts w:hint="default"/>
          <w:color w:val="auto"/>
          <w:szCs w:val="21"/>
          <w:highlight w:val="none"/>
          <w:lang w:val="en-US" w:eastAsia="zh-CN"/>
        </w:rPr>
      </w:pPr>
      <w:r>
        <w:rPr>
          <w:rFonts w:hint="eastAsia"/>
          <w:color w:val="auto"/>
          <w:szCs w:val="21"/>
          <w:highlight w:val="none"/>
          <w:lang w:val="en-US" w:eastAsia="zh-CN"/>
        </w:rPr>
        <w:t>7</w:t>
      </w:r>
      <w:r>
        <w:rPr>
          <w:color w:val="auto"/>
          <w:szCs w:val="21"/>
          <w:highlight w:val="none"/>
        </w:rPr>
        <w:t>．</w:t>
      </w:r>
      <w:r>
        <w:rPr>
          <w:rFonts w:hint="eastAsia"/>
          <w:color w:val="auto"/>
          <w:szCs w:val="21"/>
          <w:highlight w:val="none"/>
          <w:lang w:val="en-US" w:eastAsia="zh-CN"/>
        </w:rPr>
        <w:t>其他。</w:t>
      </w:r>
    </w:p>
    <w:p>
      <w:pPr>
        <w:adjustRightInd w:val="0"/>
        <w:snapToGrid w:val="0"/>
        <w:spacing w:line="360" w:lineRule="auto"/>
        <w:ind w:firstLine="360" w:firstLineChars="200"/>
        <w:jc w:val="left"/>
        <w:rPr>
          <w:color w:val="auto"/>
          <w:sz w:val="18"/>
          <w:szCs w:val="18"/>
          <w:highlight w:val="none"/>
        </w:rPr>
      </w:pPr>
      <w:r>
        <w:rPr>
          <w:color w:val="auto"/>
          <w:sz w:val="18"/>
          <w:szCs w:val="18"/>
          <w:highlight w:val="none"/>
        </w:rPr>
        <w:t>注：如有合理化建议，不单独列出，各投标人将相关内容融入各相应章节。</w:t>
      </w:r>
    </w:p>
    <w:p>
      <w:pPr>
        <w:spacing w:line="360" w:lineRule="auto"/>
        <w:ind w:firstLine="105" w:firstLineChars="50"/>
        <w:rPr>
          <w:color w:val="auto"/>
          <w:szCs w:val="21"/>
          <w:highlight w:val="none"/>
        </w:rPr>
      </w:pPr>
      <w:r>
        <w:rPr>
          <w:color w:val="auto"/>
          <w:highlight w:val="none"/>
        </w:rPr>
        <w:t xml:space="preserve"> </w:t>
      </w:r>
      <w:r>
        <w:rPr>
          <w:color w:val="auto"/>
          <w:szCs w:val="21"/>
          <w:highlight w:val="none"/>
        </w:rPr>
        <w:t>二、</w:t>
      </w:r>
      <w:r>
        <w:rPr>
          <w:rFonts w:hint="eastAsia"/>
          <w:color w:val="auto"/>
          <w:szCs w:val="21"/>
          <w:highlight w:val="none"/>
        </w:rPr>
        <w:t>施工组织设计（</w:t>
      </w:r>
      <w:r>
        <w:rPr>
          <w:color w:val="auto"/>
          <w:szCs w:val="21"/>
          <w:highlight w:val="none"/>
        </w:rPr>
        <w:t>暗标</w:t>
      </w:r>
      <w:r>
        <w:rPr>
          <w:rFonts w:hint="eastAsia"/>
          <w:color w:val="auto"/>
          <w:szCs w:val="21"/>
          <w:highlight w:val="none"/>
        </w:rPr>
        <w:t>）</w:t>
      </w:r>
      <w:r>
        <w:rPr>
          <w:rFonts w:hint="eastAsia"/>
          <w:color w:val="auto"/>
          <w:szCs w:val="21"/>
          <w:highlight w:val="none"/>
          <w:lang w:val="en-US" w:eastAsia="zh-CN"/>
        </w:rPr>
        <w:t>编制要</w:t>
      </w:r>
      <w:r>
        <w:rPr>
          <w:color w:val="auto"/>
          <w:szCs w:val="21"/>
          <w:highlight w:val="none"/>
        </w:rPr>
        <w:t>求</w:t>
      </w:r>
    </w:p>
    <w:p>
      <w:pPr>
        <w:adjustRightInd w:val="0"/>
        <w:snapToGrid w:val="0"/>
        <w:spacing w:line="360" w:lineRule="auto"/>
        <w:ind w:firstLine="420" w:firstLineChars="200"/>
        <w:jc w:val="left"/>
        <w:rPr>
          <w:color w:val="auto"/>
          <w:szCs w:val="21"/>
          <w:highlight w:val="none"/>
        </w:rPr>
      </w:pPr>
      <w:r>
        <w:rPr>
          <w:rFonts w:hint="eastAsia"/>
          <w:color w:val="auto"/>
          <w:szCs w:val="21"/>
          <w:highlight w:val="none"/>
        </w:rPr>
        <w:t>1</w:t>
      </w:r>
      <w:r>
        <w:rPr>
          <w:color w:val="auto"/>
          <w:szCs w:val="21"/>
          <w:highlight w:val="none"/>
        </w:rPr>
        <w:t>.应在“施工组织设计暗标”页签中导入电子招标文件生成相关评审模块的目录，并在评审模块目录中导入相关文件。</w:t>
      </w:r>
    </w:p>
    <w:p>
      <w:pPr>
        <w:adjustRightInd w:val="0"/>
        <w:snapToGrid w:val="0"/>
        <w:spacing w:line="360" w:lineRule="auto"/>
        <w:ind w:firstLine="420" w:firstLineChars="200"/>
        <w:jc w:val="left"/>
        <w:rPr>
          <w:color w:val="auto"/>
          <w:szCs w:val="21"/>
          <w:highlight w:val="none"/>
        </w:rPr>
      </w:pPr>
      <w:r>
        <w:rPr>
          <w:color w:val="auto"/>
          <w:szCs w:val="21"/>
          <w:highlight w:val="none"/>
        </w:rPr>
        <w:t>2.编制“施工组织设计暗标”评审模块的文件时，</w:t>
      </w:r>
      <w:r>
        <w:rPr>
          <w:rFonts w:hint="eastAsia"/>
          <w:color w:val="auto"/>
          <w:szCs w:val="21"/>
          <w:highlight w:val="none"/>
        </w:rPr>
        <w:t>需</w:t>
      </w:r>
      <w:r>
        <w:rPr>
          <w:color w:val="auto"/>
          <w:szCs w:val="21"/>
          <w:highlight w:val="none"/>
        </w:rPr>
        <w:t>生成页码。</w:t>
      </w:r>
    </w:p>
    <w:p>
      <w:pPr>
        <w:adjustRightInd w:val="0"/>
        <w:snapToGrid w:val="0"/>
        <w:spacing w:line="360" w:lineRule="auto"/>
        <w:ind w:firstLine="420" w:firstLineChars="200"/>
        <w:jc w:val="left"/>
        <w:rPr>
          <w:rFonts w:hint="eastAsia"/>
          <w:color w:val="auto"/>
          <w:szCs w:val="21"/>
          <w:highlight w:val="none"/>
        </w:rPr>
      </w:pPr>
      <w:r>
        <w:rPr>
          <w:color w:val="auto"/>
          <w:szCs w:val="21"/>
          <w:highlight w:val="none"/>
        </w:rPr>
        <w:t>3.</w:t>
      </w:r>
      <w:r>
        <w:rPr>
          <w:rFonts w:hint="eastAsia"/>
          <w:color w:val="auto"/>
          <w:szCs w:val="21"/>
          <w:highlight w:val="none"/>
        </w:rPr>
        <w:t>除满足上述各项要求外，投标文件的“施工组织设计暗标”内不得出现投标人名称或者出现任何能直接判断出投标人名称的内容。否则，施工组织设计评审计零分。出现不符合招标文件规定格式等错误的，由评标委员会集体评审，按照一项错误扣1分。</w:t>
      </w:r>
    </w:p>
    <w:p>
      <w:pPr>
        <w:spacing w:line="360" w:lineRule="auto"/>
        <w:rPr>
          <w:bCs/>
          <w:color w:val="auto"/>
          <w:highlight w:val="none"/>
          <w:u w:val="single"/>
        </w:rPr>
      </w:pPr>
    </w:p>
    <w:p>
      <w:pPr>
        <w:spacing w:line="360" w:lineRule="auto"/>
        <w:rPr>
          <w:color w:val="auto"/>
          <w:highlight w:val="none"/>
        </w:rPr>
      </w:pPr>
    </w:p>
    <w:p>
      <w:pPr>
        <w:spacing w:line="360" w:lineRule="auto"/>
        <w:rPr>
          <w:color w:val="auto"/>
          <w:highlight w:val="none"/>
        </w:rPr>
      </w:pPr>
    </w:p>
    <w:p>
      <w:pPr>
        <w:spacing w:line="360" w:lineRule="auto"/>
        <w:ind w:firstLine="420" w:firstLineChars="200"/>
        <w:rPr>
          <w:color w:val="auto"/>
          <w:szCs w:val="21"/>
          <w:highlight w:val="none"/>
        </w:rPr>
      </w:pPr>
    </w:p>
    <w:p>
      <w:pPr>
        <w:rPr>
          <w:color w:val="auto"/>
          <w:highlight w:val="none"/>
        </w:rPr>
      </w:pPr>
    </w:p>
    <w:p>
      <w:pPr>
        <w:rPr>
          <w:color w:val="auto"/>
          <w:highlight w:val="none"/>
        </w:rPr>
      </w:pPr>
    </w:p>
    <w:p>
      <w:pPr>
        <w:rPr>
          <w:rFonts w:hint="eastAsia"/>
          <w:color w:val="auto"/>
          <w:highlight w:val="none"/>
        </w:rPr>
      </w:pPr>
    </w:p>
    <w:sectPr>
      <w:footerReference r:id="rId15" w:type="default"/>
      <w:pgSz w:w="11907" w:h="16840"/>
      <w:pgMar w:top="1440" w:right="1440" w:bottom="1440" w:left="1440" w:header="851"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FZShuSong-Z01">
    <w:altName w:val="宋体"/>
    <w:panose1 w:val="02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sz w:val="24"/>
        <w:szCs w:val="24"/>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eastAsia="宋体"/>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43"/>
      </w:rPr>
    </w:pPr>
    <w:r>
      <w:fldChar w:fldCharType="begin"/>
    </w:r>
    <w:r>
      <w:rPr>
        <w:rStyle w:val="43"/>
      </w:rPr>
      <w:instrText xml:space="preserve">PAGE  </w:instrText>
    </w:r>
    <w:r>
      <w:fldChar w:fldCharType="separate"/>
    </w:r>
    <w:r>
      <w:rPr>
        <w:rStyle w:val="43"/>
      </w:rPr>
      <w:t>368</w:t>
    </w:r>
    <w: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posOffset>-8568690</wp:posOffset>
              </wp:positionH>
              <wp:positionV relativeFrom="paragraph">
                <wp:posOffset>-10004425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w:t>
                          </w:r>
                          <w:r>
                            <w:rPr>
                              <w:rFonts w:ascii="宋体" w:hAnsi="宋体"/>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left:-674.7pt;margin-top:-787.75pt;height:144pt;width:144pt;mso-position-horizontal-relative:margin;mso-wrap-style:none;z-index:251659264;mso-width-relative:page;mso-height-relative:page;" filled="f" stroked="f" coordsize="21600,21600" o:gfxdata="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CJr/4AAAABMBAAAPAAAAAAAAAAEAIAAAACIAAABkcnMvZG93bnJldi54bWxQSwECFAAUAAAA&#10;CACHTuJAwvrD9+YBAADIAwAADgAAAAAAAAABACAAAAAvAQAAZHJzL2Uyb0RvYy54bWxQSwUGAAAA&#10;AAYABgBZAQAAhwUAAAAA&#10;">
              <v:fill on="f" focussize="0,0"/>
              <v:stroke on="f" weight="1.25pt"/>
              <v:imagedata o:title=""/>
              <o:lock v:ext="edit" aspectratio="f"/>
              <v:textbox inset="0mm,0mm,0mm,0mm" style="mso-fit-shape-to-text:t;">
                <w:txbxContent>
                  <w:p>
                    <w:pPr>
                      <w:pStyle w:val="27"/>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w:t>
                    </w:r>
                    <w:r>
                      <w:rPr>
                        <w:rFonts w:ascii="宋体" w:hAnsi="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eastAsia="宋体"/>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1B81A"/>
    <w:multiLevelType w:val="singleLevel"/>
    <w:tmpl w:val="E221B81A"/>
    <w:lvl w:ilvl="0" w:tentative="0">
      <w:start w:val="1"/>
      <w:numFmt w:val="decimal"/>
      <w:suff w:val="nothing"/>
      <w:lvlText w:val="（%1）"/>
      <w:lvlJc w:val="left"/>
    </w:lvl>
  </w:abstractNum>
  <w:abstractNum w:abstractNumId="1">
    <w:nsid w:val="5CF0CE0C"/>
    <w:multiLevelType w:val="singleLevel"/>
    <w:tmpl w:val="5CF0CE0C"/>
    <w:lvl w:ilvl="0" w:tentative="0">
      <w:start w:val="1"/>
      <w:numFmt w:val="decimal"/>
      <w:suff w:val="nothing"/>
      <w:lvlText w:val="%1."/>
      <w:lvlJc w:val="left"/>
    </w:lvl>
  </w:abstractNum>
  <w:abstractNum w:abstractNumId="2">
    <w:nsid w:val="69F9DE24"/>
    <w:multiLevelType w:val="singleLevel"/>
    <w:tmpl w:val="69F9DE24"/>
    <w:lvl w:ilvl="0" w:tentative="0">
      <w:start w:val="7"/>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mYxNzRmZmJmZWZlZGE5Mzk4NDEwYjI1MWY2NTEifQ=="/>
  </w:docVars>
  <w:rsids>
    <w:rsidRoot w:val="00172A27"/>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910"/>
    <w:rsid w:val="0002245E"/>
    <w:rsid w:val="00022B7F"/>
    <w:rsid w:val="00023378"/>
    <w:rsid w:val="00023647"/>
    <w:rsid w:val="000236D4"/>
    <w:rsid w:val="00023A43"/>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77E0"/>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90BC8"/>
    <w:rsid w:val="0009141B"/>
    <w:rsid w:val="00092B1C"/>
    <w:rsid w:val="000932FD"/>
    <w:rsid w:val="00093D97"/>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437"/>
    <w:rsid w:val="00141822"/>
    <w:rsid w:val="00142830"/>
    <w:rsid w:val="00142A16"/>
    <w:rsid w:val="00144E41"/>
    <w:rsid w:val="0014627A"/>
    <w:rsid w:val="001462F6"/>
    <w:rsid w:val="00147330"/>
    <w:rsid w:val="001477FD"/>
    <w:rsid w:val="001479A2"/>
    <w:rsid w:val="00147D27"/>
    <w:rsid w:val="00150643"/>
    <w:rsid w:val="001509F4"/>
    <w:rsid w:val="00151B63"/>
    <w:rsid w:val="00151FB5"/>
    <w:rsid w:val="00154052"/>
    <w:rsid w:val="001546C6"/>
    <w:rsid w:val="00154FF1"/>
    <w:rsid w:val="00155573"/>
    <w:rsid w:val="00155596"/>
    <w:rsid w:val="0015715B"/>
    <w:rsid w:val="0016053D"/>
    <w:rsid w:val="001607AD"/>
    <w:rsid w:val="001625CB"/>
    <w:rsid w:val="00163B47"/>
    <w:rsid w:val="00163BF1"/>
    <w:rsid w:val="001645ED"/>
    <w:rsid w:val="001647CA"/>
    <w:rsid w:val="00165400"/>
    <w:rsid w:val="0016562D"/>
    <w:rsid w:val="001656C6"/>
    <w:rsid w:val="00167203"/>
    <w:rsid w:val="001701F2"/>
    <w:rsid w:val="00170487"/>
    <w:rsid w:val="001709ED"/>
    <w:rsid w:val="00171938"/>
    <w:rsid w:val="00172A27"/>
    <w:rsid w:val="00174080"/>
    <w:rsid w:val="00174D63"/>
    <w:rsid w:val="001753A4"/>
    <w:rsid w:val="00175746"/>
    <w:rsid w:val="001759CE"/>
    <w:rsid w:val="001807AA"/>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B1"/>
    <w:rsid w:val="001D3FB2"/>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2462"/>
    <w:rsid w:val="00252AD0"/>
    <w:rsid w:val="00252FAD"/>
    <w:rsid w:val="0025346F"/>
    <w:rsid w:val="00253AA4"/>
    <w:rsid w:val="00254005"/>
    <w:rsid w:val="0025435A"/>
    <w:rsid w:val="00254581"/>
    <w:rsid w:val="00254AD9"/>
    <w:rsid w:val="00254F9A"/>
    <w:rsid w:val="00256F9B"/>
    <w:rsid w:val="0026091C"/>
    <w:rsid w:val="002637B7"/>
    <w:rsid w:val="00263B77"/>
    <w:rsid w:val="00264149"/>
    <w:rsid w:val="002641C6"/>
    <w:rsid w:val="0026462C"/>
    <w:rsid w:val="002660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90ED2"/>
    <w:rsid w:val="002921BD"/>
    <w:rsid w:val="002926AA"/>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9A1"/>
    <w:rsid w:val="002D0A26"/>
    <w:rsid w:val="002D0E39"/>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2279"/>
    <w:rsid w:val="00302519"/>
    <w:rsid w:val="003028AE"/>
    <w:rsid w:val="00304F0B"/>
    <w:rsid w:val="00305028"/>
    <w:rsid w:val="00305F90"/>
    <w:rsid w:val="00306577"/>
    <w:rsid w:val="003070EF"/>
    <w:rsid w:val="00307B50"/>
    <w:rsid w:val="00310293"/>
    <w:rsid w:val="00310D7D"/>
    <w:rsid w:val="00310EC9"/>
    <w:rsid w:val="00310FA4"/>
    <w:rsid w:val="00311237"/>
    <w:rsid w:val="00311436"/>
    <w:rsid w:val="00311705"/>
    <w:rsid w:val="00311A7F"/>
    <w:rsid w:val="00312384"/>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12"/>
    <w:rsid w:val="00347F42"/>
    <w:rsid w:val="00347FCB"/>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FCC"/>
    <w:rsid w:val="003739F2"/>
    <w:rsid w:val="0037691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2A39"/>
    <w:rsid w:val="003B2BB6"/>
    <w:rsid w:val="003B3F79"/>
    <w:rsid w:val="003B4436"/>
    <w:rsid w:val="003B4B0D"/>
    <w:rsid w:val="003B4DAD"/>
    <w:rsid w:val="003B560B"/>
    <w:rsid w:val="003B58B2"/>
    <w:rsid w:val="003B5D25"/>
    <w:rsid w:val="003B5E0B"/>
    <w:rsid w:val="003B74D9"/>
    <w:rsid w:val="003C06B8"/>
    <w:rsid w:val="003C235C"/>
    <w:rsid w:val="003C292A"/>
    <w:rsid w:val="003C293F"/>
    <w:rsid w:val="003C3609"/>
    <w:rsid w:val="003C4566"/>
    <w:rsid w:val="003C561B"/>
    <w:rsid w:val="003C7491"/>
    <w:rsid w:val="003C7737"/>
    <w:rsid w:val="003C7F06"/>
    <w:rsid w:val="003D1571"/>
    <w:rsid w:val="003D1DA6"/>
    <w:rsid w:val="003D33EF"/>
    <w:rsid w:val="003D3A7F"/>
    <w:rsid w:val="003D4D29"/>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221F"/>
    <w:rsid w:val="003F28E7"/>
    <w:rsid w:val="003F328E"/>
    <w:rsid w:val="003F3EA8"/>
    <w:rsid w:val="003F3FA8"/>
    <w:rsid w:val="003F4DAD"/>
    <w:rsid w:val="003F536A"/>
    <w:rsid w:val="003F570C"/>
    <w:rsid w:val="003F6462"/>
    <w:rsid w:val="003F6E59"/>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60E0"/>
    <w:rsid w:val="00446F09"/>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BC1"/>
    <w:rsid w:val="00492F95"/>
    <w:rsid w:val="00493F3A"/>
    <w:rsid w:val="00494777"/>
    <w:rsid w:val="0049498F"/>
    <w:rsid w:val="004960F5"/>
    <w:rsid w:val="00497497"/>
    <w:rsid w:val="004A155E"/>
    <w:rsid w:val="004A255D"/>
    <w:rsid w:val="004A2F38"/>
    <w:rsid w:val="004A4EF1"/>
    <w:rsid w:val="004A5338"/>
    <w:rsid w:val="004A53BD"/>
    <w:rsid w:val="004A6E10"/>
    <w:rsid w:val="004A7FF3"/>
    <w:rsid w:val="004B0297"/>
    <w:rsid w:val="004B03AA"/>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FD7"/>
    <w:rsid w:val="00511523"/>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C022F"/>
    <w:rsid w:val="005C16FD"/>
    <w:rsid w:val="005C1BB3"/>
    <w:rsid w:val="005C479F"/>
    <w:rsid w:val="005C507F"/>
    <w:rsid w:val="005C655A"/>
    <w:rsid w:val="005C67B4"/>
    <w:rsid w:val="005C6DD8"/>
    <w:rsid w:val="005C73A0"/>
    <w:rsid w:val="005C73DD"/>
    <w:rsid w:val="005D0147"/>
    <w:rsid w:val="005D02D8"/>
    <w:rsid w:val="005D0DAD"/>
    <w:rsid w:val="005D1307"/>
    <w:rsid w:val="005D1963"/>
    <w:rsid w:val="005D1EC7"/>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6CC"/>
    <w:rsid w:val="005E6B51"/>
    <w:rsid w:val="005E7297"/>
    <w:rsid w:val="005E7414"/>
    <w:rsid w:val="005F077E"/>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3BE"/>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7CA8"/>
    <w:rsid w:val="006A0EE5"/>
    <w:rsid w:val="006A1C23"/>
    <w:rsid w:val="006A475A"/>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4390"/>
    <w:rsid w:val="006C48C4"/>
    <w:rsid w:val="006C4DED"/>
    <w:rsid w:val="006C6716"/>
    <w:rsid w:val="006C6850"/>
    <w:rsid w:val="006C6F4F"/>
    <w:rsid w:val="006D086D"/>
    <w:rsid w:val="006D1ABF"/>
    <w:rsid w:val="006D29B7"/>
    <w:rsid w:val="006D335E"/>
    <w:rsid w:val="006D4134"/>
    <w:rsid w:val="006D4B75"/>
    <w:rsid w:val="006D50BE"/>
    <w:rsid w:val="006D6720"/>
    <w:rsid w:val="006D7381"/>
    <w:rsid w:val="006E03F7"/>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59C8"/>
    <w:rsid w:val="006F6325"/>
    <w:rsid w:val="006F6714"/>
    <w:rsid w:val="006F6DCC"/>
    <w:rsid w:val="00700114"/>
    <w:rsid w:val="00700871"/>
    <w:rsid w:val="00702052"/>
    <w:rsid w:val="00702501"/>
    <w:rsid w:val="0070306C"/>
    <w:rsid w:val="0070368B"/>
    <w:rsid w:val="0070395C"/>
    <w:rsid w:val="00703A2C"/>
    <w:rsid w:val="007041F9"/>
    <w:rsid w:val="0070434D"/>
    <w:rsid w:val="007045F9"/>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1B06"/>
    <w:rsid w:val="0078307C"/>
    <w:rsid w:val="0078455B"/>
    <w:rsid w:val="00785268"/>
    <w:rsid w:val="0078551D"/>
    <w:rsid w:val="007863CA"/>
    <w:rsid w:val="00786C8D"/>
    <w:rsid w:val="00787B45"/>
    <w:rsid w:val="00787E38"/>
    <w:rsid w:val="00790A16"/>
    <w:rsid w:val="00790D3E"/>
    <w:rsid w:val="00790D82"/>
    <w:rsid w:val="00792AA4"/>
    <w:rsid w:val="00793349"/>
    <w:rsid w:val="00794121"/>
    <w:rsid w:val="0079502A"/>
    <w:rsid w:val="0079514C"/>
    <w:rsid w:val="007958B1"/>
    <w:rsid w:val="00795ADC"/>
    <w:rsid w:val="00795F67"/>
    <w:rsid w:val="00795FE9"/>
    <w:rsid w:val="00796C05"/>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3651"/>
    <w:rsid w:val="007F563B"/>
    <w:rsid w:val="007F56D0"/>
    <w:rsid w:val="007F5714"/>
    <w:rsid w:val="007F6327"/>
    <w:rsid w:val="007F656B"/>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D92"/>
    <w:rsid w:val="00854487"/>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19AE"/>
    <w:rsid w:val="008C1C6C"/>
    <w:rsid w:val="008C2B02"/>
    <w:rsid w:val="008C38BF"/>
    <w:rsid w:val="008C412D"/>
    <w:rsid w:val="008C46E1"/>
    <w:rsid w:val="008C594F"/>
    <w:rsid w:val="008C5BF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3162"/>
    <w:rsid w:val="008E41DC"/>
    <w:rsid w:val="008E512A"/>
    <w:rsid w:val="008F0B3E"/>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BC"/>
    <w:rsid w:val="0096497B"/>
    <w:rsid w:val="00965A04"/>
    <w:rsid w:val="00966561"/>
    <w:rsid w:val="0096730A"/>
    <w:rsid w:val="009675B0"/>
    <w:rsid w:val="00967838"/>
    <w:rsid w:val="00970444"/>
    <w:rsid w:val="009736EA"/>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8AC"/>
    <w:rsid w:val="009872A2"/>
    <w:rsid w:val="0099015C"/>
    <w:rsid w:val="00990918"/>
    <w:rsid w:val="00991A8E"/>
    <w:rsid w:val="00992553"/>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E46"/>
    <w:rsid w:val="009B1EC4"/>
    <w:rsid w:val="009B2884"/>
    <w:rsid w:val="009B2FAB"/>
    <w:rsid w:val="009B3020"/>
    <w:rsid w:val="009B3141"/>
    <w:rsid w:val="009B3B00"/>
    <w:rsid w:val="009B4064"/>
    <w:rsid w:val="009B4147"/>
    <w:rsid w:val="009B44B6"/>
    <w:rsid w:val="009B52E1"/>
    <w:rsid w:val="009B58EC"/>
    <w:rsid w:val="009B63B6"/>
    <w:rsid w:val="009B71AF"/>
    <w:rsid w:val="009B7E1A"/>
    <w:rsid w:val="009C0133"/>
    <w:rsid w:val="009C03E9"/>
    <w:rsid w:val="009C0670"/>
    <w:rsid w:val="009C0BE7"/>
    <w:rsid w:val="009C0D74"/>
    <w:rsid w:val="009C191C"/>
    <w:rsid w:val="009C33B0"/>
    <w:rsid w:val="009C3EA3"/>
    <w:rsid w:val="009C503E"/>
    <w:rsid w:val="009C5AD6"/>
    <w:rsid w:val="009C6676"/>
    <w:rsid w:val="009C66AD"/>
    <w:rsid w:val="009C7820"/>
    <w:rsid w:val="009D062C"/>
    <w:rsid w:val="009D0844"/>
    <w:rsid w:val="009D1309"/>
    <w:rsid w:val="009D17DC"/>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309"/>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4240"/>
    <w:rsid w:val="00A351BD"/>
    <w:rsid w:val="00A3558A"/>
    <w:rsid w:val="00A36745"/>
    <w:rsid w:val="00A376A2"/>
    <w:rsid w:val="00A404BA"/>
    <w:rsid w:val="00A405E9"/>
    <w:rsid w:val="00A40AD1"/>
    <w:rsid w:val="00A41873"/>
    <w:rsid w:val="00A43A71"/>
    <w:rsid w:val="00A43ED0"/>
    <w:rsid w:val="00A44FAB"/>
    <w:rsid w:val="00A45777"/>
    <w:rsid w:val="00A46A23"/>
    <w:rsid w:val="00A46B32"/>
    <w:rsid w:val="00A46C2B"/>
    <w:rsid w:val="00A46CE1"/>
    <w:rsid w:val="00A470D5"/>
    <w:rsid w:val="00A4793F"/>
    <w:rsid w:val="00A502E2"/>
    <w:rsid w:val="00A50763"/>
    <w:rsid w:val="00A5379B"/>
    <w:rsid w:val="00A54E30"/>
    <w:rsid w:val="00A55A20"/>
    <w:rsid w:val="00A55AB8"/>
    <w:rsid w:val="00A56D35"/>
    <w:rsid w:val="00A56EA6"/>
    <w:rsid w:val="00A576ED"/>
    <w:rsid w:val="00A602D8"/>
    <w:rsid w:val="00A618E4"/>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128A"/>
    <w:rsid w:val="00AA1CCA"/>
    <w:rsid w:val="00AA1E85"/>
    <w:rsid w:val="00AA22BC"/>
    <w:rsid w:val="00AA37C0"/>
    <w:rsid w:val="00AA50A5"/>
    <w:rsid w:val="00AA592B"/>
    <w:rsid w:val="00AA5F61"/>
    <w:rsid w:val="00AA6493"/>
    <w:rsid w:val="00AA704F"/>
    <w:rsid w:val="00AA72BA"/>
    <w:rsid w:val="00AB0651"/>
    <w:rsid w:val="00AB3730"/>
    <w:rsid w:val="00AB4B0E"/>
    <w:rsid w:val="00AB55C3"/>
    <w:rsid w:val="00AB77C4"/>
    <w:rsid w:val="00AB7C19"/>
    <w:rsid w:val="00AC0533"/>
    <w:rsid w:val="00AC0818"/>
    <w:rsid w:val="00AC2083"/>
    <w:rsid w:val="00AC261A"/>
    <w:rsid w:val="00AC32CA"/>
    <w:rsid w:val="00AC39A3"/>
    <w:rsid w:val="00AC4BBD"/>
    <w:rsid w:val="00AC73B4"/>
    <w:rsid w:val="00AC789F"/>
    <w:rsid w:val="00AD013E"/>
    <w:rsid w:val="00AD0DE4"/>
    <w:rsid w:val="00AD15B0"/>
    <w:rsid w:val="00AD226D"/>
    <w:rsid w:val="00AD28FA"/>
    <w:rsid w:val="00AD2C59"/>
    <w:rsid w:val="00AD2F96"/>
    <w:rsid w:val="00AD3B94"/>
    <w:rsid w:val="00AD3EF7"/>
    <w:rsid w:val="00AD4C74"/>
    <w:rsid w:val="00AD5F0A"/>
    <w:rsid w:val="00AD5F29"/>
    <w:rsid w:val="00AD669B"/>
    <w:rsid w:val="00AD67AA"/>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3D44"/>
    <w:rsid w:val="00B040E5"/>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C50"/>
    <w:rsid w:val="00B26F7D"/>
    <w:rsid w:val="00B275B2"/>
    <w:rsid w:val="00B30990"/>
    <w:rsid w:val="00B30FCC"/>
    <w:rsid w:val="00B31143"/>
    <w:rsid w:val="00B32829"/>
    <w:rsid w:val="00B33D0A"/>
    <w:rsid w:val="00B3466E"/>
    <w:rsid w:val="00B351B7"/>
    <w:rsid w:val="00B371CF"/>
    <w:rsid w:val="00B378A1"/>
    <w:rsid w:val="00B40713"/>
    <w:rsid w:val="00B41810"/>
    <w:rsid w:val="00B41D86"/>
    <w:rsid w:val="00B4276B"/>
    <w:rsid w:val="00B4279C"/>
    <w:rsid w:val="00B43BC9"/>
    <w:rsid w:val="00B4460E"/>
    <w:rsid w:val="00B44668"/>
    <w:rsid w:val="00B4593E"/>
    <w:rsid w:val="00B45A61"/>
    <w:rsid w:val="00B45E0D"/>
    <w:rsid w:val="00B46443"/>
    <w:rsid w:val="00B46DA5"/>
    <w:rsid w:val="00B470E3"/>
    <w:rsid w:val="00B50C80"/>
    <w:rsid w:val="00B5375A"/>
    <w:rsid w:val="00B56B87"/>
    <w:rsid w:val="00B5743B"/>
    <w:rsid w:val="00B60263"/>
    <w:rsid w:val="00B603BA"/>
    <w:rsid w:val="00B605C0"/>
    <w:rsid w:val="00B62190"/>
    <w:rsid w:val="00B62374"/>
    <w:rsid w:val="00B63704"/>
    <w:rsid w:val="00B63AD3"/>
    <w:rsid w:val="00B63C5B"/>
    <w:rsid w:val="00B63F7A"/>
    <w:rsid w:val="00B6540F"/>
    <w:rsid w:val="00B65549"/>
    <w:rsid w:val="00B6667D"/>
    <w:rsid w:val="00B67A9D"/>
    <w:rsid w:val="00B7006D"/>
    <w:rsid w:val="00B70F58"/>
    <w:rsid w:val="00B71CC1"/>
    <w:rsid w:val="00B71E9B"/>
    <w:rsid w:val="00B72072"/>
    <w:rsid w:val="00B729E5"/>
    <w:rsid w:val="00B72ADE"/>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346B"/>
    <w:rsid w:val="00C3524F"/>
    <w:rsid w:val="00C35A4B"/>
    <w:rsid w:val="00C35DBE"/>
    <w:rsid w:val="00C3605B"/>
    <w:rsid w:val="00C4001D"/>
    <w:rsid w:val="00C401EF"/>
    <w:rsid w:val="00C40371"/>
    <w:rsid w:val="00C412CD"/>
    <w:rsid w:val="00C446A0"/>
    <w:rsid w:val="00C45225"/>
    <w:rsid w:val="00C466D8"/>
    <w:rsid w:val="00C4739B"/>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4C3"/>
    <w:rsid w:val="00CC15EB"/>
    <w:rsid w:val="00CC2EFB"/>
    <w:rsid w:val="00CC353C"/>
    <w:rsid w:val="00CC364F"/>
    <w:rsid w:val="00CC3E82"/>
    <w:rsid w:val="00CC5354"/>
    <w:rsid w:val="00CC5638"/>
    <w:rsid w:val="00CC5CFD"/>
    <w:rsid w:val="00CC6DC2"/>
    <w:rsid w:val="00CC7674"/>
    <w:rsid w:val="00CC7789"/>
    <w:rsid w:val="00CD11C2"/>
    <w:rsid w:val="00CD1332"/>
    <w:rsid w:val="00CD2D55"/>
    <w:rsid w:val="00CD30DC"/>
    <w:rsid w:val="00CD5D14"/>
    <w:rsid w:val="00CD7626"/>
    <w:rsid w:val="00CE124D"/>
    <w:rsid w:val="00CE1335"/>
    <w:rsid w:val="00CE1609"/>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6309"/>
    <w:rsid w:val="00D065A7"/>
    <w:rsid w:val="00D1078E"/>
    <w:rsid w:val="00D10ACB"/>
    <w:rsid w:val="00D1228F"/>
    <w:rsid w:val="00D12693"/>
    <w:rsid w:val="00D12767"/>
    <w:rsid w:val="00D13261"/>
    <w:rsid w:val="00D13EFD"/>
    <w:rsid w:val="00D1410D"/>
    <w:rsid w:val="00D15024"/>
    <w:rsid w:val="00D15275"/>
    <w:rsid w:val="00D15BE2"/>
    <w:rsid w:val="00D1737E"/>
    <w:rsid w:val="00D17932"/>
    <w:rsid w:val="00D17A8C"/>
    <w:rsid w:val="00D2209C"/>
    <w:rsid w:val="00D22726"/>
    <w:rsid w:val="00D24001"/>
    <w:rsid w:val="00D24465"/>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6D"/>
    <w:rsid w:val="00D85198"/>
    <w:rsid w:val="00D85B53"/>
    <w:rsid w:val="00D85CEB"/>
    <w:rsid w:val="00D86EF4"/>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D92"/>
    <w:rsid w:val="00DC16C4"/>
    <w:rsid w:val="00DC1840"/>
    <w:rsid w:val="00DC1D0E"/>
    <w:rsid w:val="00DC1D5A"/>
    <w:rsid w:val="00DC2F28"/>
    <w:rsid w:val="00DC3EAD"/>
    <w:rsid w:val="00DC429F"/>
    <w:rsid w:val="00DC44BB"/>
    <w:rsid w:val="00DC4DBC"/>
    <w:rsid w:val="00DC630F"/>
    <w:rsid w:val="00DC6B7B"/>
    <w:rsid w:val="00DC7538"/>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EC4"/>
    <w:rsid w:val="00E33104"/>
    <w:rsid w:val="00E33748"/>
    <w:rsid w:val="00E3397A"/>
    <w:rsid w:val="00E33D62"/>
    <w:rsid w:val="00E33DFB"/>
    <w:rsid w:val="00E348A0"/>
    <w:rsid w:val="00E34BB5"/>
    <w:rsid w:val="00E35AE3"/>
    <w:rsid w:val="00E3681E"/>
    <w:rsid w:val="00E37A59"/>
    <w:rsid w:val="00E40348"/>
    <w:rsid w:val="00E409E4"/>
    <w:rsid w:val="00E415F2"/>
    <w:rsid w:val="00E41FB4"/>
    <w:rsid w:val="00E44559"/>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70A9F"/>
    <w:rsid w:val="00E7105F"/>
    <w:rsid w:val="00E7115D"/>
    <w:rsid w:val="00E713C3"/>
    <w:rsid w:val="00E71438"/>
    <w:rsid w:val="00E72A13"/>
    <w:rsid w:val="00E72D47"/>
    <w:rsid w:val="00E738AA"/>
    <w:rsid w:val="00E739BE"/>
    <w:rsid w:val="00E7470F"/>
    <w:rsid w:val="00E7483B"/>
    <w:rsid w:val="00E74AEE"/>
    <w:rsid w:val="00E75C9D"/>
    <w:rsid w:val="00E76092"/>
    <w:rsid w:val="00E76441"/>
    <w:rsid w:val="00E76EBB"/>
    <w:rsid w:val="00E77141"/>
    <w:rsid w:val="00E80911"/>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528"/>
    <w:rsid w:val="00E92B93"/>
    <w:rsid w:val="00E92EE2"/>
    <w:rsid w:val="00E93361"/>
    <w:rsid w:val="00E93836"/>
    <w:rsid w:val="00E93893"/>
    <w:rsid w:val="00E93CEF"/>
    <w:rsid w:val="00E93EDA"/>
    <w:rsid w:val="00E94886"/>
    <w:rsid w:val="00E94F43"/>
    <w:rsid w:val="00E95522"/>
    <w:rsid w:val="00E96091"/>
    <w:rsid w:val="00E96139"/>
    <w:rsid w:val="00E97544"/>
    <w:rsid w:val="00E97D5B"/>
    <w:rsid w:val="00EA09F7"/>
    <w:rsid w:val="00EA15EB"/>
    <w:rsid w:val="00EA173F"/>
    <w:rsid w:val="00EA19F5"/>
    <w:rsid w:val="00EA2499"/>
    <w:rsid w:val="00EA3128"/>
    <w:rsid w:val="00EA31BE"/>
    <w:rsid w:val="00EA3A8D"/>
    <w:rsid w:val="00EA424B"/>
    <w:rsid w:val="00EA4DE3"/>
    <w:rsid w:val="00EA55D3"/>
    <w:rsid w:val="00EA5A16"/>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655"/>
    <w:rsid w:val="00EC1C87"/>
    <w:rsid w:val="00EC2583"/>
    <w:rsid w:val="00EC2850"/>
    <w:rsid w:val="00EC2E64"/>
    <w:rsid w:val="00EC3101"/>
    <w:rsid w:val="00EC3604"/>
    <w:rsid w:val="00EC3A12"/>
    <w:rsid w:val="00EC48A5"/>
    <w:rsid w:val="00EC4D6A"/>
    <w:rsid w:val="00EC4E7F"/>
    <w:rsid w:val="00EC5DA2"/>
    <w:rsid w:val="00EC5F15"/>
    <w:rsid w:val="00EC64FC"/>
    <w:rsid w:val="00EC6F32"/>
    <w:rsid w:val="00EC77A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274E"/>
    <w:rsid w:val="00F027B9"/>
    <w:rsid w:val="00F02BAD"/>
    <w:rsid w:val="00F02EFE"/>
    <w:rsid w:val="00F054ED"/>
    <w:rsid w:val="00F05980"/>
    <w:rsid w:val="00F076B6"/>
    <w:rsid w:val="00F10841"/>
    <w:rsid w:val="00F1097A"/>
    <w:rsid w:val="00F10EEB"/>
    <w:rsid w:val="00F11217"/>
    <w:rsid w:val="00F12A70"/>
    <w:rsid w:val="00F13F06"/>
    <w:rsid w:val="00F1463D"/>
    <w:rsid w:val="00F15F7C"/>
    <w:rsid w:val="00F16AB9"/>
    <w:rsid w:val="00F17069"/>
    <w:rsid w:val="00F179E5"/>
    <w:rsid w:val="00F17C4C"/>
    <w:rsid w:val="00F20347"/>
    <w:rsid w:val="00F209DB"/>
    <w:rsid w:val="00F236C0"/>
    <w:rsid w:val="00F23962"/>
    <w:rsid w:val="00F251CA"/>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7A1"/>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688"/>
    <w:rsid w:val="00F7523A"/>
    <w:rsid w:val="00F765BB"/>
    <w:rsid w:val="00F76836"/>
    <w:rsid w:val="00F76FB2"/>
    <w:rsid w:val="00F77E86"/>
    <w:rsid w:val="00F80710"/>
    <w:rsid w:val="00F81334"/>
    <w:rsid w:val="00F81342"/>
    <w:rsid w:val="00F8138A"/>
    <w:rsid w:val="00F82C51"/>
    <w:rsid w:val="00F84276"/>
    <w:rsid w:val="00F8561A"/>
    <w:rsid w:val="00F90128"/>
    <w:rsid w:val="00F906F8"/>
    <w:rsid w:val="00F90979"/>
    <w:rsid w:val="00F915E2"/>
    <w:rsid w:val="00F91A5D"/>
    <w:rsid w:val="00F92218"/>
    <w:rsid w:val="00F93353"/>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8E3"/>
    <w:rsid w:val="00FB2D6A"/>
    <w:rsid w:val="00FB2FE4"/>
    <w:rsid w:val="00FB3CAA"/>
    <w:rsid w:val="00FB540F"/>
    <w:rsid w:val="00FB5E03"/>
    <w:rsid w:val="00FB5EA4"/>
    <w:rsid w:val="00FB7E36"/>
    <w:rsid w:val="00FC0258"/>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7138"/>
    <w:rsid w:val="00FD7AD3"/>
    <w:rsid w:val="00FD7C6F"/>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124840"/>
    <w:rsid w:val="011C1FFB"/>
    <w:rsid w:val="011F1DB8"/>
    <w:rsid w:val="012B32AA"/>
    <w:rsid w:val="012B351C"/>
    <w:rsid w:val="012D7A79"/>
    <w:rsid w:val="013E35E1"/>
    <w:rsid w:val="016844A4"/>
    <w:rsid w:val="01724F7C"/>
    <w:rsid w:val="01785C2C"/>
    <w:rsid w:val="017A034A"/>
    <w:rsid w:val="01800DA6"/>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3024A00"/>
    <w:rsid w:val="03032339"/>
    <w:rsid w:val="030625CB"/>
    <w:rsid w:val="030C6F29"/>
    <w:rsid w:val="030D1D2D"/>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123DBD"/>
    <w:rsid w:val="0415791F"/>
    <w:rsid w:val="04247E93"/>
    <w:rsid w:val="042D4BCA"/>
    <w:rsid w:val="0438233B"/>
    <w:rsid w:val="04415975"/>
    <w:rsid w:val="04422EA4"/>
    <w:rsid w:val="04453FA6"/>
    <w:rsid w:val="045654C5"/>
    <w:rsid w:val="045841FB"/>
    <w:rsid w:val="04635E28"/>
    <w:rsid w:val="046E0340"/>
    <w:rsid w:val="0470433C"/>
    <w:rsid w:val="04795398"/>
    <w:rsid w:val="047D3A77"/>
    <w:rsid w:val="047E4E8C"/>
    <w:rsid w:val="048250A5"/>
    <w:rsid w:val="04965B36"/>
    <w:rsid w:val="04AC5A06"/>
    <w:rsid w:val="04AE7343"/>
    <w:rsid w:val="04B90BB3"/>
    <w:rsid w:val="04C4109A"/>
    <w:rsid w:val="04D26CFA"/>
    <w:rsid w:val="04E847E3"/>
    <w:rsid w:val="04F03E4C"/>
    <w:rsid w:val="04F964FE"/>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E60F1"/>
    <w:rsid w:val="06151530"/>
    <w:rsid w:val="061E78E4"/>
    <w:rsid w:val="062524A0"/>
    <w:rsid w:val="062C1339"/>
    <w:rsid w:val="06396C2F"/>
    <w:rsid w:val="06414FF3"/>
    <w:rsid w:val="064266BC"/>
    <w:rsid w:val="06496457"/>
    <w:rsid w:val="064A03A8"/>
    <w:rsid w:val="0655713A"/>
    <w:rsid w:val="06625D2A"/>
    <w:rsid w:val="06651536"/>
    <w:rsid w:val="066E6FEA"/>
    <w:rsid w:val="067C1790"/>
    <w:rsid w:val="067D6DB8"/>
    <w:rsid w:val="069271F5"/>
    <w:rsid w:val="06984400"/>
    <w:rsid w:val="06A74C05"/>
    <w:rsid w:val="06B4093A"/>
    <w:rsid w:val="06C34D8E"/>
    <w:rsid w:val="06D020E0"/>
    <w:rsid w:val="06ED199B"/>
    <w:rsid w:val="06EE4389"/>
    <w:rsid w:val="06EF716D"/>
    <w:rsid w:val="07010286"/>
    <w:rsid w:val="070241E9"/>
    <w:rsid w:val="07106769"/>
    <w:rsid w:val="071A4087"/>
    <w:rsid w:val="071B04B1"/>
    <w:rsid w:val="07203EF1"/>
    <w:rsid w:val="073D0D2B"/>
    <w:rsid w:val="074B37DE"/>
    <w:rsid w:val="07525D62"/>
    <w:rsid w:val="075F4260"/>
    <w:rsid w:val="076F68F3"/>
    <w:rsid w:val="078134DF"/>
    <w:rsid w:val="07882FBE"/>
    <w:rsid w:val="078B6222"/>
    <w:rsid w:val="079727D2"/>
    <w:rsid w:val="079F7CA9"/>
    <w:rsid w:val="07A1167C"/>
    <w:rsid w:val="07AE108C"/>
    <w:rsid w:val="07B27B3D"/>
    <w:rsid w:val="07BA4CCA"/>
    <w:rsid w:val="07C210D3"/>
    <w:rsid w:val="07C43646"/>
    <w:rsid w:val="07D17825"/>
    <w:rsid w:val="07D46474"/>
    <w:rsid w:val="07F60E79"/>
    <w:rsid w:val="0810594A"/>
    <w:rsid w:val="081348AE"/>
    <w:rsid w:val="081B6711"/>
    <w:rsid w:val="081E5651"/>
    <w:rsid w:val="083539DF"/>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442F3E"/>
    <w:rsid w:val="0A5B02BB"/>
    <w:rsid w:val="0A6527F0"/>
    <w:rsid w:val="0A67309C"/>
    <w:rsid w:val="0A6A061B"/>
    <w:rsid w:val="0A6C53BD"/>
    <w:rsid w:val="0A7026DC"/>
    <w:rsid w:val="0A7D6CA0"/>
    <w:rsid w:val="0A91410C"/>
    <w:rsid w:val="0A9F4449"/>
    <w:rsid w:val="0AAB1C3E"/>
    <w:rsid w:val="0AAD6510"/>
    <w:rsid w:val="0AB03822"/>
    <w:rsid w:val="0AB511CC"/>
    <w:rsid w:val="0AD1042D"/>
    <w:rsid w:val="0AD211EC"/>
    <w:rsid w:val="0AD52C15"/>
    <w:rsid w:val="0AFF7223"/>
    <w:rsid w:val="0B03303B"/>
    <w:rsid w:val="0B177AE4"/>
    <w:rsid w:val="0B1E1622"/>
    <w:rsid w:val="0B1E4234"/>
    <w:rsid w:val="0B210FF4"/>
    <w:rsid w:val="0B214EC8"/>
    <w:rsid w:val="0B4C4CA4"/>
    <w:rsid w:val="0B4C67B5"/>
    <w:rsid w:val="0B5625FF"/>
    <w:rsid w:val="0B5C0F89"/>
    <w:rsid w:val="0B5C2E5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B2986"/>
    <w:rsid w:val="0BFD70B9"/>
    <w:rsid w:val="0C010F49"/>
    <w:rsid w:val="0C0254AB"/>
    <w:rsid w:val="0C0517F8"/>
    <w:rsid w:val="0C0C7624"/>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F7154E"/>
    <w:rsid w:val="0D0F45AD"/>
    <w:rsid w:val="0D2248EA"/>
    <w:rsid w:val="0D3A4CFC"/>
    <w:rsid w:val="0D3F0D33"/>
    <w:rsid w:val="0D401645"/>
    <w:rsid w:val="0D49074A"/>
    <w:rsid w:val="0D5C24F9"/>
    <w:rsid w:val="0D6F127E"/>
    <w:rsid w:val="0D777DEE"/>
    <w:rsid w:val="0D78660A"/>
    <w:rsid w:val="0D7B7804"/>
    <w:rsid w:val="0D8205BD"/>
    <w:rsid w:val="0D8E2736"/>
    <w:rsid w:val="0D9C6CDB"/>
    <w:rsid w:val="0DAE7784"/>
    <w:rsid w:val="0DB86A13"/>
    <w:rsid w:val="0DBB3214"/>
    <w:rsid w:val="0DC71A36"/>
    <w:rsid w:val="0DCB220A"/>
    <w:rsid w:val="0DE30F5D"/>
    <w:rsid w:val="0DF70178"/>
    <w:rsid w:val="0E014504"/>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F4E7C"/>
    <w:rsid w:val="0EDF78EC"/>
    <w:rsid w:val="0EE44596"/>
    <w:rsid w:val="0EF04C39"/>
    <w:rsid w:val="0EF331DC"/>
    <w:rsid w:val="0F23590D"/>
    <w:rsid w:val="0F2C41CE"/>
    <w:rsid w:val="0F3B100B"/>
    <w:rsid w:val="0F413A6B"/>
    <w:rsid w:val="0F511440"/>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4738C"/>
    <w:rsid w:val="103074A4"/>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57599"/>
    <w:rsid w:val="1182367E"/>
    <w:rsid w:val="118F20F0"/>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831FD8"/>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C13A9"/>
    <w:rsid w:val="132847E3"/>
    <w:rsid w:val="133E5DF7"/>
    <w:rsid w:val="134C2116"/>
    <w:rsid w:val="13521337"/>
    <w:rsid w:val="13592639"/>
    <w:rsid w:val="135F6DFD"/>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E21CD1"/>
    <w:rsid w:val="13E342D2"/>
    <w:rsid w:val="13E346E1"/>
    <w:rsid w:val="13E57A43"/>
    <w:rsid w:val="13FC3E5D"/>
    <w:rsid w:val="14047949"/>
    <w:rsid w:val="140719E6"/>
    <w:rsid w:val="14093A6F"/>
    <w:rsid w:val="14266D5F"/>
    <w:rsid w:val="142733EA"/>
    <w:rsid w:val="145A1D34"/>
    <w:rsid w:val="146042B9"/>
    <w:rsid w:val="14604F96"/>
    <w:rsid w:val="14634C74"/>
    <w:rsid w:val="14656774"/>
    <w:rsid w:val="14762D0E"/>
    <w:rsid w:val="147809E1"/>
    <w:rsid w:val="149A22F6"/>
    <w:rsid w:val="149D1367"/>
    <w:rsid w:val="149E0BD6"/>
    <w:rsid w:val="149F0103"/>
    <w:rsid w:val="14A6546F"/>
    <w:rsid w:val="14B41CB6"/>
    <w:rsid w:val="14BB16C1"/>
    <w:rsid w:val="14BC76E5"/>
    <w:rsid w:val="14BF4344"/>
    <w:rsid w:val="14C352AB"/>
    <w:rsid w:val="14C43015"/>
    <w:rsid w:val="14C72E33"/>
    <w:rsid w:val="14D14737"/>
    <w:rsid w:val="14DB56EA"/>
    <w:rsid w:val="14DD64AD"/>
    <w:rsid w:val="14E1675A"/>
    <w:rsid w:val="14E243FA"/>
    <w:rsid w:val="15000605"/>
    <w:rsid w:val="15186E7A"/>
    <w:rsid w:val="151A2CDD"/>
    <w:rsid w:val="151D5AB3"/>
    <w:rsid w:val="152B59BE"/>
    <w:rsid w:val="153C0833"/>
    <w:rsid w:val="154A78EE"/>
    <w:rsid w:val="155852D1"/>
    <w:rsid w:val="155C4C28"/>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076A6"/>
    <w:rsid w:val="15F647D0"/>
    <w:rsid w:val="1600660E"/>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F52BC"/>
    <w:rsid w:val="16C23278"/>
    <w:rsid w:val="16C3321D"/>
    <w:rsid w:val="16CA18BE"/>
    <w:rsid w:val="16D30710"/>
    <w:rsid w:val="16DE5DCD"/>
    <w:rsid w:val="16E3612D"/>
    <w:rsid w:val="16F57D88"/>
    <w:rsid w:val="1701270F"/>
    <w:rsid w:val="17190EAD"/>
    <w:rsid w:val="17233957"/>
    <w:rsid w:val="17257E6A"/>
    <w:rsid w:val="172B0CA4"/>
    <w:rsid w:val="172B431A"/>
    <w:rsid w:val="172D25D1"/>
    <w:rsid w:val="173C4F5C"/>
    <w:rsid w:val="173C59CD"/>
    <w:rsid w:val="173C6D9B"/>
    <w:rsid w:val="17504B00"/>
    <w:rsid w:val="17533F7B"/>
    <w:rsid w:val="17555A33"/>
    <w:rsid w:val="175D7DCB"/>
    <w:rsid w:val="176E37C0"/>
    <w:rsid w:val="176F63F4"/>
    <w:rsid w:val="177D764E"/>
    <w:rsid w:val="17814641"/>
    <w:rsid w:val="178733D8"/>
    <w:rsid w:val="17A34DC3"/>
    <w:rsid w:val="17AC2CDF"/>
    <w:rsid w:val="17BE5764"/>
    <w:rsid w:val="17C02955"/>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2155E5"/>
    <w:rsid w:val="192447C5"/>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A55B7F"/>
    <w:rsid w:val="1AAE178F"/>
    <w:rsid w:val="1AB25285"/>
    <w:rsid w:val="1ABD5800"/>
    <w:rsid w:val="1AF81775"/>
    <w:rsid w:val="1AFD16E0"/>
    <w:rsid w:val="1AFE56C7"/>
    <w:rsid w:val="1B3237B5"/>
    <w:rsid w:val="1B32716B"/>
    <w:rsid w:val="1B4972A7"/>
    <w:rsid w:val="1B511989"/>
    <w:rsid w:val="1B5418FE"/>
    <w:rsid w:val="1B8841DE"/>
    <w:rsid w:val="1B98518A"/>
    <w:rsid w:val="1BA15FE4"/>
    <w:rsid w:val="1BA42378"/>
    <w:rsid w:val="1BA61A06"/>
    <w:rsid w:val="1BA957E2"/>
    <w:rsid w:val="1BB1659A"/>
    <w:rsid w:val="1BB64B12"/>
    <w:rsid w:val="1BDF0CB3"/>
    <w:rsid w:val="1BE60593"/>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90CEC"/>
    <w:rsid w:val="1CF7183B"/>
    <w:rsid w:val="1CFC7CE7"/>
    <w:rsid w:val="1D0A638B"/>
    <w:rsid w:val="1D0F2537"/>
    <w:rsid w:val="1D1E1666"/>
    <w:rsid w:val="1D2364DF"/>
    <w:rsid w:val="1D260219"/>
    <w:rsid w:val="1D4A1CE0"/>
    <w:rsid w:val="1D4F1B96"/>
    <w:rsid w:val="1D64043C"/>
    <w:rsid w:val="1D6B214C"/>
    <w:rsid w:val="1D6D0733"/>
    <w:rsid w:val="1D7B10C7"/>
    <w:rsid w:val="1D812265"/>
    <w:rsid w:val="1D8704DB"/>
    <w:rsid w:val="1D8D1FD3"/>
    <w:rsid w:val="1D941AC7"/>
    <w:rsid w:val="1D987CBA"/>
    <w:rsid w:val="1D9C098F"/>
    <w:rsid w:val="1D9C5FC4"/>
    <w:rsid w:val="1DA100CA"/>
    <w:rsid w:val="1DAA1F7E"/>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A255E0"/>
    <w:rsid w:val="1EA87ECC"/>
    <w:rsid w:val="1EA94235"/>
    <w:rsid w:val="1EAF3C67"/>
    <w:rsid w:val="1EC633BA"/>
    <w:rsid w:val="1EE259DB"/>
    <w:rsid w:val="1EE4183B"/>
    <w:rsid w:val="1EE75A1B"/>
    <w:rsid w:val="1EF20D52"/>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BD6756"/>
    <w:rsid w:val="1FC3430B"/>
    <w:rsid w:val="1FC63586"/>
    <w:rsid w:val="1FE864AB"/>
    <w:rsid w:val="1FF354D1"/>
    <w:rsid w:val="1FFA7348"/>
    <w:rsid w:val="1FFC2901"/>
    <w:rsid w:val="1FFF2EF5"/>
    <w:rsid w:val="200529AD"/>
    <w:rsid w:val="20062098"/>
    <w:rsid w:val="200B5B4F"/>
    <w:rsid w:val="2018599A"/>
    <w:rsid w:val="202D110C"/>
    <w:rsid w:val="20325711"/>
    <w:rsid w:val="2033143A"/>
    <w:rsid w:val="203634F7"/>
    <w:rsid w:val="20471356"/>
    <w:rsid w:val="20594D80"/>
    <w:rsid w:val="205E4D68"/>
    <w:rsid w:val="206435D7"/>
    <w:rsid w:val="206D35F1"/>
    <w:rsid w:val="206D466F"/>
    <w:rsid w:val="206E723A"/>
    <w:rsid w:val="20702A7E"/>
    <w:rsid w:val="2071563A"/>
    <w:rsid w:val="20787351"/>
    <w:rsid w:val="2079128E"/>
    <w:rsid w:val="208A5CA8"/>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760F63"/>
    <w:rsid w:val="21832276"/>
    <w:rsid w:val="2188584E"/>
    <w:rsid w:val="21943617"/>
    <w:rsid w:val="219D5CF4"/>
    <w:rsid w:val="21D708FC"/>
    <w:rsid w:val="21E64786"/>
    <w:rsid w:val="21EC5D9B"/>
    <w:rsid w:val="21EC6AEC"/>
    <w:rsid w:val="21EE7310"/>
    <w:rsid w:val="21F962CD"/>
    <w:rsid w:val="22040412"/>
    <w:rsid w:val="22135B75"/>
    <w:rsid w:val="22226E2D"/>
    <w:rsid w:val="222C2F4E"/>
    <w:rsid w:val="222F68A5"/>
    <w:rsid w:val="223A1B30"/>
    <w:rsid w:val="223B0106"/>
    <w:rsid w:val="22460F9B"/>
    <w:rsid w:val="225215FB"/>
    <w:rsid w:val="22682ABA"/>
    <w:rsid w:val="226D1E72"/>
    <w:rsid w:val="227475A2"/>
    <w:rsid w:val="227576FF"/>
    <w:rsid w:val="228618EC"/>
    <w:rsid w:val="228864DE"/>
    <w:rsid w:val="22AB2187"/>
    <w:rsid w:val="22AE5BAD"/>
    <w:rsid w:val="22AF4D88"/>
    <w:rsid w:val="22CD7AC4"/>
    <w:rsid w:val="22E14913"/>
    <w:rsid w:val="22F61DC1"/>
    <w:rsid w:val="22F914EA"/>
    <w:rsid w:val="22FA40FC"/>
    <w:rsid w:val="23067F40"/>
    <w:rsid w:val="231430D2"/>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169E6"/>
    <w:rsid w:val="238925F8"/>
    <w:rsid w:val="23A00778"/>
    <w:rsid w:val="23A55874"/>
    <w:rsid w:val="23B86C1E"/>
    <w:rsid w:val="23C7201E"/>
    <w:rsid w:val="23CE2493"/>
    <w:rsid w:val="23E372C7"/>
    <w:rsid w:val="23F37570"/>
    <w:rsid w:val="23FF389D"/>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1958FB"/>
    <w:rsid w:val="2524326C"/>
    <w:rsid w:val="25395CD6"/>
    <w:rsid w:val="253B090B"/>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F76A2E"/>
    <w:rsid w:val="25FF490E"/>
    <w:rsid w:val="26045BA5"/>
    <w:rsid w:val="2608147E"/>
    <w:rsid w:val="2616589F"/>
    <w:rsid w:val="261B1965"/>
    <w:rsid w:val="261D5681"/>
    <w:rsid w:val="261E1EAF"/>
    <w:rsid w:val="2622515D"/>
    <w:rsid w:val="263006FF"/>
    <w:rsid w:val="2632779F"/>
    <w:rsid w:val="26343C0E"/>
    <w:rsid w:val="263F46CF"/>
    <w:rsid w:val="2648160D"/>
    <w:rsid w:val="264D54A2"/>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1040C1"/>
    <w:rsid w:val="27110DDA"/>
    <w:rsid w:val="27127E66"/>
    <w:rsid w:val="27195161"/>
    <w:rsid w:val="271C2021"/>
    <w:rsid w:val="27385D11"/>
    <w:rsid w:val="274E7CB5"/>
    <w:rsid w:val="274F1F02"/>
    <w:rsid w:val="274F4827"/>
    <w:rsid w:val="27512E91"/>
    <w:rsid w:val="27630444"/>
    <w:rsid w:val="276F21FD"/>
    <w:rsid w:val="27727E31"/>
    <w:rsid w:val="27762FBF"/>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D010C"/>
    <w:rsid w:val="283748DE"/>
    <w:rsid w:val="2842661D"/>
    <w:rsid w:val="28461DD4"/>
    <w:rsid w:val="284A39DF"/>
    <w:rsid w:val="28592B32"/>
    <w:rsid w:val="285D0806"/>
    <w:rsid w:val="28640251"/>
    <w:rsid w:val="286F7AFC"/>
    <w:rsid w:val="28767569"/>
    <w:rsid w:val="287C5A7F"/>
    <w:rsid w:val="28994FB0"/>
    <w:rsid w:val="289F1006"/>
    <w:rsid w:val="28BC3ACC"/>
    <w:rsid w:val="28CD3212"/>
    <w:rsid w:val="28D215E5"/>
    <w:rsid w:val="28D8743F"/>
    <w:rsid w:val="28FA031C"/>
    <w:rsid w:val="28FB5098"/>
    <w:rsid w:val="28FC354A"/>
    <w:rsid w:val="290D6A87"/>
    <w:rsid w:val="290D6A89"/>
    <w:rsid w:val="29171209"/>
    <w:rsid w:val="291A7232"/>
    <w:rsid w:val="29206950"/>
    <w:rsid w:val="2923219A"/>
    <w:rsid w:val="29271D87"/>
    <w:rsid w:val="292C2CE7"/>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2645F"/>
    <w:rsid w:val="29C56187"/>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D05C33"/>
    <w:rsid w:val="2AD267CC"/>
    <w:rsid w:val="2AE2161C"/>
    <w:rsid w:val="2AE9447E"/>
    <w:rsid w:val="2B14781C"/>
    <w:rsid w:val="2B164C68"/>
    <w:rsid w:val="2B1D0329"/>
    <w:rsid w:val="2B1D7991"/>
    <w:rsid w:val="2B365002"/>
    <w:rsid w:val="2B3B6E94"/>
    <w:rsid w:val="2B435E63"/>
    <w:rsid w:val="2B4469C1"/>
    <w:rsid w:val="2B4F5B82"/>
    <w:rsid w:val="2B515A4F"/>
    <w:rsid w:val="2B570107"/>
    <w:rsid w:val="2B621BF5"/>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543547"/>
    <w:rsid w:val="2C6000BC"/>
    <w:rsid w:val="2C633505"/>
    <w:rsid w:val="2C764BB0"/>
    <w:rsid w:val="2C7C732D"/>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8275F"/>
    <w:rsid w:val="2DCA67CB"/>
    <w:rsid w:val="2DDC38A4"/>
    <w:rsid w:val="2DDD39D0"/>
    <w:rsid w:val="2DDD402A"/>
    <w:rsid w:val="2DE8380B"/>
    <w:rsid w:val="2DFE338A"/>
    <w:rsid w:val="2E115812"/>
    <w:rsid w:val="2E1E7826"/>
    <w:rsid w:val="2E2B45F6"/>
    <w:rsid w:val="2E317F3A"/>
    <w:rsid w:val="2E324646"/>
    <w:rsid w:val="2E357B89"/>
    <w:rsid w:val="2E3C6A58"/>
    <w:rsid w:val="2E491A04"/>
    <w:rsid w:val="2E4A062B"/>
    <w:rsid w:val="2E4C2DB0"/>
    <w:rsid w:val="2E503A6F"/>
    <w:rsid w:val="2E65509F"/>
    <w:rsid w:val="2E6B4307"/>
    <w:rsid w:val="2E7569C8"/>
    <w:rsid w:val="2E757257"/>
    <w:rsid w:val="2E887E60"/>
    <w:rsid w:val="2E8A51D9"/>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F5E73"/>
    <w:rsid w:val="2F297A0F"/>
    <w:rsid w:val="2F2D4335"/>
    <w:rsid w:val="2F2F3457"/>
    <w:rsid w:val="2F351401"/>
    <w:rsid w:val="2F36517B"/>
    <w:rsid w:val="2F374462"/>
    <w:rsid w:val="2F3A0746"/>
    <w:rsid w:val="2F4157CA"/>
    <w:rsid w:val="2F4F49C8"/>
    <w:rsid w:val="2F5E236A"/>
    <w:rsid w:val="2F7D6077"/>
    <w:rsid w:val="2F890F26"/>
    <w:rsid w:val="2F892A83"/>
    <w:rsid w:val="2F914A98"/>
    <w:rsid w:val="2FAE0498"/>
    <w:rsid w:val="2FB7592E"/>
    <w:rsid w:val="2FBB3CC4"/>
    <w:rsid w:val="2FBD7037"/>
    <w:rsid w:val="2FBF1818"/>
    <w:rsid w:val="2FBF5DAF"/>
    <w:rsid w:val="2FC76584"/>
    <w:rsid w:val="2FD067F9"/>
    <w:rsid w:val="2FD43C00"/>
    <w:rsid w:val="2FD75F88"/>
    <w:rsid w:val="2FD927E4"/>
    <w:rsid w:val="2FDE7F5F"/>
    <w:rsid w:val="2FE30138"/>
    <w:rsid w:val="2FE93FB2"/>
    <w:rsid w:val="30067394"/>
    <w:rsid w:val="300866EE"/>
    <w:rsid w:val="30097368"/>
    <w:rsid w:val="300E2502"/>
    <w:rsid w:val="302225B6"/>
    <w:rsid w:val="30336BB7"/>
    <w:rsid w:val="303402FA"/>
    <w:rsid w:val="303438A9"/>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993333"/>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54C9B"/>
    <w:rsid w:val="32350D48"/>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67EA8"/>
    <w:rsid w:val="32DD3D03"/>
    <w:rsid w:val="32DF6972"/>
    <w:rsid w:val="32E12C59"/>
    <w:rsid w:val="32F0674A"/>
    <w:rsid w:val="33145FBC"/>
    <w:rsid w:val="33222B35"/>
    <w:rsid w:val="332B40B2"/>
    <w:rsid w:val="332C690B"/>
    <w:rsid w:val="332D2637"/>
    <w:rsid w:val="33394A74"/>
    <w:rsid w:val="335072D3"/>
    <w:rsid w:val="336E12FB"/>
    <w:rsid w:val="338334E0"/>
    <w:rsid w:val="3396429C"/>
    <w:rsid w:val="339A067B"/>
    <w:rsid w:val="339A1840"/>
    <w:rsid w:val="33A56B5C"/>
    <w:rsid w:val="33A6417A"/>
    <w:rsid w:val="33A71FBA"/>
    <w:rsid w:val="33A94F4C"/>
    <w:rsid w:val="33AB6A2B"/>
    <w:rsid w:val="33C70CDA"/>
    <w:rsid w:val="33E633F0"/>
    <w:rsid w:val="33ED7D27"/>
    <w:rsid w:val="33F82A12"/>
    <w:rsid w:val="33FB3647"/>
    <w:rsid w:val="34056D0A"/>
    <w:rsid w:val="34087F11"/>
    <w:rsid w:val="34255290"/>
    <w:rsid w:val="34304091"/>
    <w:rsid w:val="34362C0A"/>
    <w:rsid w:val="34486194"/>
    <w:rsid w:val="344F34FB"/>
    <w:rsid w:val="34550914"/>
    <w:rsid w:val="34555A90"/>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6C3AF7"/>
    <w:rsid w:val="356D2A92"/>
    <w:rsid w:val="356E0822"/>
    <w:rsid w:val="356F70BE"/>
    <w:rsid w:val="35796219"/>
    <w:rsid w:val="357E4924"/>
    <w:rsid w:val="35884BC3"/>
    <w:rsid w:val="359B02ED"/>
    <w:rsid w:val="35A9795A"/>
    <w:rsid w:val="35AC2418"/>
    <w:rsid w:val="35B757CB"/>
    <w:rsid w:val="35C21836"/>
    <w:rsid w:val="35CA2236"/>
    <w:rsid w:val="35D903C5"/>
    <w:rsid w:val="35E30C82"/>
    <w:rsid w:val="35F11141"/>
    <w:rsid w:val="35F14768"/>
    <w:rsid w:val="36042ECA"/>
    <w:rsid w:val="36060737"/>
    <w:rsid w:val="36077B54"/>
    <w:rsid w:val="36207AC5"/>
    <w:rsid w:val="36272C9D"/>
    <w:rsid w:val="362B29F8"/>
    <w:rsid w:val="362E6997"/>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7258C"/>
    <w:rsid w:val="38731364"/>
    <w:rsid w:val="387A4397"/>
    <w:rsid w:val="387D1B06"/>
    <w:rsid w:val="387D3ED4"/>
    <w:rsid w:val="38831870"/>
    <w:rsid w:val="38837174"/>
    <w:rsid w:val="388F5960"/>
    <w:rsid w:val="38A15C6B"/>
    <w:rsid w:val="38AA37B9"/>
    <w:rsid w:val="38BA23E6"/>
    <w:rsid w:val="38C37C42"/>
    <w:rsid w:val="38D12C91"/>
    <w:rsid w:val="38DA5BE2"/>
    <w:rsid w:val="38E349E7"/>
    <w:rsid w:val="38EA7903"/>
    <w:rsid w:val="38F048B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357E1"/>
    <w:rsid w:val="3974291A"/>
    <w:rsid w:val="397B54A2"/>
    <w:rsid w:val="397C3D6C"/>
    <w:rsid w:val="398C51A8"/>
    <w:rsid w:val="398F3288"/>
    <w:rsid w:val="39902E32"/>
    <w:rsid w:val="39CA0C6B"/>
    <w:rsid w:val="39CC721E"/>
    <w:rsid w:val="39CE22D2"/>
    <w:rsid w:val="39D82886"/>
    <w:rsid w:val="39DD0211"/>
    <w:rsid w:val="39DD5C82"/>
    <w:rsid w:val="39E0408B"/>
    <w:rsid w:val="39E201AD"/>
    <w:rsid w:val="39FD052B"/>
    <w:rsid w:val="39FD7296"/>
    <w:rsid w:val="3A050A61"/>
    <w:rsid w:val="3A1717A2"/>
    <w:rsid w:val="3A2C0D88"/>
    <w:rsid w:val="3A3A0F35"/>
    <w:rsid w:val="3A5B03D7"/>
    <w:rsid w:val="3A662076"/>
    <w:rsid w:val="3A7663FB"/>
    <w:rsid w:val="3A7F6F62"/>
    <w:rsid w:val="3A8920E3"/>
    <w:rsid w:val="3A8A6F26"/>
    <w:rsid w:val="3A8B18ED"/>
    <w:rsid w:val="3A9B3770"/>
    <w:rsid w:val="3AB40EBA"/>
    <w:rsid w:val="3AB41012"/>
    <w:rsid w:val="3ABF0340"/>
    <w:rsid w:val="3AC058C7"/>
    <w:rsid w:val="3AC47EC3"/>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514A99"/>
    <w:rsid w:val="3B5261C9"/>
    <w:rsid w:val="3B674CA9"/>
    <w:rsid w:val="3B68169C"/>
    <w:rsid w:val="3B8319A0"/>
    <w:rsid w:val="3B961032"/>
    <w:rsid w:val="3BA17842"/>
    <w:rsid w:val="3BA411C8"/>
    <w:rsid w:val="3BA7014B"/>
    <w:rsid w:val="3BAF2423"/>
    <w:rsid w:val="3BBC230F"/>
    <w:rsid w:val="3BC83523"/>
    <w:rsid w:val="3BC86522"/>
    <w:rsid w:val="3BE32424"/>
    <w:rsid w:val="3BE81096"/>
    <w:rsid w:val="3BEF0F0F"/>
    <w:rsid w:val="3BEF707C"/>
    <w:rsid w:val="3BF3295B"/>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573277"/>
    <w:rsid w:val="3D605F73"/>
    <w:rsid w:val="3D6A1B4C"/>
    <w:rsid w:val="3D6D6539"/>
    <w:rsid w:val="3D7E29F6"/>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D648A"/>
    <w:rsid w:val="3EBB4AEE"/>
    <w:rsid w:val="3EC33289"/>
    <w:rsid w:val="3EC97967"/>
    <w:rsid w:val="3ECA0657"/>
    <w:rsid w:val="3ECC0FDD"/>
    <w:rsid w:val="3ECF6094"/>
    <w:rsid w:val="3EDE6D1E"/>
    <w:rsid w:val="3EE55C57"/>
    <w:rsid w:val="3F036EB6"/>
    <w:rsid w:val="3F0F7AE2"/>
    <w:rsid w:val="3F186F17"/>
    <w:rsid w:val="3F2269B3"/>
    <w:rsid w:val="3F236909"/>
    <w:rsid w:val="3F316D95"/>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821699"/>
    <w:rsid w:val="408E7728"/>
    <w:rsid w:val="40922062"/>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49513D"/>
    <w:rsid w:val="414C289C"/>
    <w:rsid w:val="41556A1E"/>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C53FC1"/>
    <w:rsid w:val="42D163E8"/>
    <w:rsid w:val="42D24020"/>
    <w:rsid w:val="42D74CB5"/>
    <w:rsid w:val="42DC3FE9"/>
    <w:rsid w:val="42F36C4D"/>
    <w:rsid w:val="430742C8"/>
    <w:rsid w:val="431710BE"/>
    <w:rsid w:val="435278F3"/>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B79B8"/>
    <w:rsid w:val="44E70967"/>
    <w:rsid w:val="44E76148"/>
    <w:rsid w:val="44EF65A4"/>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D5031"/>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C30CFF"/>
    <w:rsid w:val="47D538BF"/>
    <w:rsid w:val="47EC3BCC"/>
    <w:rsid w:val="47EF48E2"/>
    <w:rsid w:val="47FE5712"/>
    <w:rsid w:val="48056817"/>
    <w:rsid w:val="48071009"/>
    <w:rsid w:val="48160910"/>
    <w:rsid w:val="481D2E0A"/>
    <w:rsid w:val="482917DE"/>
    <w:rsid w:val="48312257"/>
    <w:rsid w:val="48314497"/>
    <w:rsid w:val="48454B43"/>
    <w:rsid w:val="484E2F53"/>
    <w:rsid w:val="484E459F"/>
    <w:rsid w:val="485174E3"/>
    <w:rsid w:val="486E0331"/>
    <w:rsid w:val="4873740A"/>
    <w:rsid w:val="4877279F"/>
    <w:rsid w:val="48832C3B"/>
    <w:rsid w:val="489176F0"/>
    <w:rsid w:val="48A01DC6"/>
    <w:rsid w:val="48AE7B29"/>
    <w:rsid w:val="48B34240"/>
    <w:rsid w:val="48BD60A8"/>
    <w:rsid w:val="48C85917"/>
    <w:rsid w:val="48D05068"/>
    <w:rsid w:val="48D72399"/>
    <w:rsid w:val="48D926AD"/>
    <w:rsid w:val="48DC03DD"/>
    <w:rsid w:val="48F2474B"/>
    <w:rsid w:val="4900376F"/>
    <w:rsid w:val="49031DE2"/>
    <w:rsid w:val="49046090"/>
    <w:rsid w:val="490578A2"/>
    <w:rsid w:val="490B6702"/>
    <w:rsid w:val="4924152D"/>
    <w:rsid w:val="4924574C"/>
    <w:rsid w:val="492B380B"/>
    <w:rsid w:val="49306605"/>
    <w:rsid w:val="4932429E"/>
    <w:rsid w:val="493317E9"/>
    <w:rsid w:val="4933521B"/>
    <w:rsid w:val="49344B77"/>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C76C1"/>
    <w:rsid w:val="4B700715"/>
    <w:rsid w:val="4B7837FE"/>
    <w:rsid w:val="4B842536"/>
    <w:rsid w:val="4B857330"/>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C2ECA"/>
    <w:rsid w:val="4C5114DD"/>
    <w:rsid w:val="4C5B4E2F"/>
    <w:rsid w:val="4C64188F"/>
    <w:rsid w:val="4C6B203A"/>
    <w:rsid w:val="4C9D5333"/>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A4447"/>
    <w:rsid w:val="4F1E452A"/>
    <w:rsid w:val="4F32541F"/>
    <w:rsid w:val="4F3A6287"/>
    <w:rsid w:val="4F3B2C0D"/>
    <w:rsid w:val="4F3F0431"/>
    <w:rsid w:val="4F404EE0"/>
    <w:rsid w:val="4F503EC3"/>
    <w:rsid w:val="4F65431D"/>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A86A7C"/>
    <w:rsid w:val="54AF16DE"/>
    <w:rsid w:val="54B50CF1"/>
    <w:rsid w:val="54B95EEC"/>
    <w:rsid w:val="54C0394D"/>
    <w:rsid w:val="54CE39BB"/>
    <w:rsid w:val="54D166F6"/>
    <w:rsid w:val="54D71321"/>
    <w:rsid w:val="54D90BDE"/>
    <w:rsid w:val="54DA747E"/>
    <w:rsid w:val="54E131E2"/>
    <w:rsid w:val="54F43303"/>
    <w:rsid w:val="54F457BC"/>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2248F"/>
    <w:rsid w:val="55D226E7"/>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F38FB"/>
    <w:rsid w:val="57317A2D"/>
    <w:rsid w:val="573343D5"/>
    <w:rsid w:val="57480C7E"/>
    <w:rsid w:val="574E044C"/>
    <w:rsid w:val="577919F1"/>
    <w:rsid w:val="57837719"/>
    <w:rsid w:val="578F06BB"/>
    <w:rsid w:val="578F77B5"/>
    <w:rsid w:val="579537F7"/>
    <w:rsid w:val="579C19DA"/>
    <w:rsid w:val="57AD5472"/>
    <w:rsid w:val="57C14AD0"/>
    <w:rsid w:val="57CA10D2"/>
    <w:rsid w:val="57CD6833"/>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9042F7C"/>
    <w:rsid w:val="591050F0"/>
    <w:rsid w:val="592430C6"/>
    <w:rsid w:val="59264D2A"/>
    <w:rsid w:val="59402925"/>
    <w:rsid w:val="5940688D"/>
    <w:rsid w:val="59446117"/>
    <w:rsid w:val="594D0BDB"/>
    <w:rsid w:val="59592ED1"/>
    <w:rsid w:val="59610D60"/>
    <w:rsid w:val="59635C60"/>
    <w:rsid w:val="596541E5"/>
    <w:rsid w:val="596C0F43"/>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FB2A09"/>
    <w:rsid w:val="5BFB638B"/>
    <w:rsid w:val="5C014C14"/>
    <w:rsid w:val="5C0F6CB9"/>
    <w:rsid w:val="5C16288F"/>
    <w:rsid w:val="5C207758"/>
    <w:rsid w:val="5C2969DD"/>
    <w:rsid w:val="5C517365"/>
    <w:rsid w:val="5C5A7340"/>
    <w:rsid w:val="5C617983"/>
    <w:rsid w:val="5C6F147B"/>
    <w:rsid w:val="5C764E25"/>
    <w:rsid w:val="5C7C3DBC"/>
    <w:rsid w:val="5C9763F1"/>
    <w:rsid w:val="5C9E7C2E"/>
    <w:rsid w:val="5CA15D23"/>
    <w:rsid w:val="5CAC4F60"/>
    <w:rsid w:val="5CAC5175"/>
    <w:rsid w:val="5CC334F6"/>
    <w:rsid w:val="5CC61D78"/>
    <w:rsid w:val="5CCC07B0"/>
    <w:rsid w:val="5CD90705"/>
    <w:rsid w:val="5CEB1B81"/>
    <w:rsid w:val="5CEC2D02"/>
    <w:rsid w:val="5CEE257E"/>
    <w:rsid w:val="5CF86D3C"/>
    <w:rsid w:val="5D0015BF"/>
    <w:rsid w:val="5D06031B"/>
    <w:rsid w:val="5D0C3DC7"/>
    <w:rsid w:val="5D193471"/>
    <w:rsid w:val="5D1E77D4"/>
    <w:rsid w:val="5D3025FF"/>
    <w:rsid w:val="5D324075"/>
    <w:rsid w:val="5D3F4041"/>
    <w:rsid w:val="5D4261AF"/>
    <w:rsid w:val="5D4C134D"/>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812EE3"/>
    <w:rsid w:val="5F8E39E6"/>
    <w:rsid w:val="5F922566"/>
    <w:rsid w:val="5F9A7B6B"/>
    <w:rsid w:val="5FAA70C2"/>
    <w:rsid w:val="5FAB1230"/>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75B6D"/>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758F4"/>
    <w:rsid w:val="61D80FC7"/>
    <w:rsid w:val="61E33148"/>
    <w:rsid w:val="61EB1D46"/>
    <w:rsid w:val="61FF1DCD"/>
    <w:rsid w:val="620F5E0E"/>
    <w:rsid w:val="6215352D"/>
    <w:rsid w:val="622324D6"/>
    <w:rsid w:val="62246687"/>
    <w:rsid w:val="62264FF6"/>
    <w:rsid w:val="62355ABE"/>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C3444"/>
    <w:rsid w:val="63777076"/>
    <w:rsid w:val="6379766A"/>
    <w:rsid w:val="637E241F"/>
    <w:rsid w:val="63836FE7"/>
    <w:rsid w:val="63840FA0"/>
    <w:rsid w:val="63907C89"/>
    <w:rsid w:val="6398788F"/>
    <w:rsid w:val="63A07392"/>
    <w:rsid w:val="63A15013"/>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200F58"/>
    <w:rsid w:val="663E460A"/>
    <w:rsid w:val="6657159A"/>
    <w:rsid w:val="665D343F"/>
    <w:rsid w:val="66644753"/>
    <w:rsid w:val="66694836"/>
    <w:rsid w:val="666E4B39"/>
    <w:rsid w:val="66727DB4"/>
    <w:rsid w:val="66760BD7"/>
    <w:rsid w:val="66770C98"/>
    <w:rsid w:val="66782D0F"/>
    <w:rsid w:val="669361A9"/>
    <w:rsid w:val="669E28FB"/>
    <w:rsid w:val="66A3333B"/>
    <w:rsid w:val="66A43DB4"/>
    <w:rsid w:val="66A71C88"/>
    <w:rsid w:val="66EE6FD6"/>
    <w:rsid w:val="6703713B"/>
    <w:rsid w:val="670F2CA0"/>
    <w:rsid w:val="671F4472"/>
    <w:rsid w:val="672F1E85"/>
    <w:rsid w:val="676736B6"/>
    <w:rsid w:val="677364EC"/>
    <w:rsid w:val="67750ABD"/>
    <w:rsid w:val="678122F4"/>
    <w:rsid w:val="678D34E0"/>
    <w:rsid w:val="678D736E"/>
    <w:rsid w:val="678E2725"/>
    <w:rsid w:val="679B08DF"/>
    <w:rsid w:val="67A40605"/>
    <w:rsid w:val="67A7026C"/>
    <w:rsid w:val="67CF0021"/>
    <w:rsid w:val="67D742CB"/>
    <w:rsid w:val="67DE0D83"/>
    <w:rsid w:val="67DF1078"/>
    <w:rsid w:val="67EC7DE2"/>
    <w:rsid w:val="67EF03F0"/>
    <w:rsid w:val="67FD29F7"/>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6C2BC7"/>
    <w:rsid w:val="697164A6"/>
    <w:rsid w:val="69792ADF"/>
    <w:rsid w:val="69997176"/>
    <w:rsid w:val="699A2A0E"/>
    <w:rsid w:val="699C354E"/>
    <w:rsid w:val="69A311FE"/>
    <w:rsid w:val="69B311E0"/>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55282D"/>
    <w:rsid w:val="6A602333"/>
    <w:rsid w:val="6A6447E5"/>
    <w:rsid w:val="6A76433A"/>
    <w:rsid w:val="6A7A4451"/>
    <w:rsid w:val="6A7D22D8"/>
    <w:rsid w:val="6A81547A"/>
    <w:rsid w:val="6A917936"/>
    <w:rsid w:val="6A930F1A"/>
    <w:rsid w:val="6A9339C4"/>
    <w:rsid w:val="6A94212E"/>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40849"/>
    <w:rsid w:val="6B3928B6"/>
    <w:rsid w:val="6B462CE0"/>
    <w:rsid w:val="6B4F273B"/>
    <w:rsid w:val="6B514E1B"/>
    <w:rsid w:val="6B577EAB"/>
    <w:rsid w:val="6B6432ED"/>
    <w:rsid w:val="6B786F8B"/>
    <w:rsid w:val="6B866978"/>
    <w:rsid w:val="6B891E19"/>
    <w:rsid w:val="6B941FCC"/>
    <w:rsid w:val="6B9D3663"/>
    <w:rsid w:val="6B9E2231"/>
    <w:rsid w:val="6BA935C4"/>
    <w:rsid w:val="6BC43F1F"/>
    <w:rsid w:val="6BC6761F"/>
    <w:rsid w:val="6BC91D6E"/>
    <w:rsid w:val="6BD839B0"/>
    <w:rsid w:val="6BDB5C94"/>
    <w:rsid w:val="6BDB6090"/>
    <w:rsid w:val="6BDC1899"/>
    <w:rsid w:val="6BED3CC8"/>
    <w:rsid w:val="6BF07518"/>
    <w:rsid w:val="6BF91AB4"/>
    <w:rsid w:val="6C040C2B"/>
    <w:rsid w:val="6C046802"/>
    <w:rsid w:val="6C122656"/>
    <w:rsid w:val="6C1B696A"/>
    <w:rsid w:val="6C285280"/>
    <w:rsid w:val="6C2B4CD0"/>
    <w:rsid w:val="6C394A87"/>
    <w:rsid w:val="6C396A79"/>
    <w:rsid w:val="6C3B6833"/>
    <w:rsid w:val="6C3E677A"/>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C5EAD"/>
    <w:rsid w:val="6E1A4D22"/>
    <w:rsid w:val="6E2C0D58"/>
    <w:rsid w:val="6E2D02DD"/>
    <w:rsid w:val="6E2E476A"/>
    <w:rsid w:val="6E37612F"/>
    <w:rsid w:val="6E4C5B50"/>
    <w:rsid w:val="6E642863"/>
    <w:rsid w:val="6E6D7CE0"/>
    <w:rsid w:val="6E923D3F"/>
    <w:rsid w:val="6EA16762"/>
    <w:rsid w:val="6EAF0BF3"/>
    <w:rsid w:val="6EB02F99"/>
    <w:rsid w:val="6EBE1A41"/>
    <w:rsid w:val="6EC0731A"/>
    <w:rsid w:val="6EC201A9"/>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F7992"/>
    <w:rsid w:val="72107D9F"/>
    <w:rsid w:val="72122369"/>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53423"/>
    <w:rsid w:val="72BF79CF"/>
    <w:rsid w:val="72C7434F"/>
    <w:rsid w:val="72DE2745"/>
    <w:rsid w:val="72E054B1"/>
    <w:rsid w:val="72E104EE"/>
    <w:rsid w:val="72E607CB"/>
    <w:rsid w:val="72E824FD"/>
    <w:rsid w:val="72EA4FFC"/>
    <w:rsid w:val="72FE7918"/>
    <w:rsid w:val="73047A73"/>
    <w:rsid w:val="73114E7C"/>
    <w:rsid w:val="73156D94"/>
    <w:rsid w:val="7318429A"/>
    <w:rsid w:val="732D5CDB"/>
    <w:rsid w:val="73334648"/>
    <w:rsid w:val="734D4252"/>
    <w:rsid w:val="73555484"/>
    <w:rsid w:val="736562BD"/>
    <w:rsid w:val="737B6E01"/>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940DE"/>
    <w:rsid w:val="74AC43EA"/>
    <w:rsid w:val="74B72E19"/>
    <w:rsid w:val="74BA5741"/>
    <w:rsid w:val="74C462AD"/>
    <w:rsid w:val="74C46333"/>
    <w:rsid w:val="74C9141D"/>
    <w:rsid w:val="74DA056B"/>
    <w:rsid w:val="74EA4752"/>
    <w:rsid w:val="74EA6CC5"/>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67961"/>
    <w:rsid w:val="75632990"/>
    <w:rsid w:val="7567515E"/>
    <w:rsid w:val="75733B41"/>
    <w:rsid w:val="758C63AD"/>
    <w:rsid w:val="7590597C"/>
    <w:rsid w:val="759A1FF9"/>
    <w:rsid w:val="75A05D4D"/>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90759B"/>
    <w:rsid w:val="76914810"/>
    <w:rsid w:val="76A044CE"/>
    <w:rsid w:val="76A06605"/>
    <w:rsid w:val="76AA10FD"/>
    <w:rsid w:val="76BB1322"/>
    <w:rsid w:val="76CE1B1D"/>
    <w:rsid w:val="76D0048F"/>
    <w:rsid w:val="76D222A7"/>
    <w:rsid w:val="76D57902"/>
    <w:rsid w:val="76DB2223"/>
    <w:rsid w:val="76E625D6"/>
    <w:rsid w:val="76EE647F"/>
    <w:rsid w:val="7708163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C3C32"/>
    <w:rsid w:val="77BC6EFE"/>
    <w:rsid w:val="77C849D9"/>
    <w:rsid w:val="77CE5F93"/>
    <w:rsid w:val="77D74233"/>
    <w:rsid w:val="77D873B8"/>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A0C0F31"/>
    <w:rsid w:val="7A0F38B5"/>
    <w:rsid w:val="7A101D0D"/>
    <w:rsid w:val="7A120C0C"/>
    <w:rsid w:val="7A1C44DD"/>
    <w:rsid w:val="7A1C66FB"/>
    <w:rsid w:val="7A2E68F6"/>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F6D91"/>
    <w:rsid w:val="7C0229E6"/>
    <w:rsid w:val="7C04625C"/>
    <w:rsid w:val="7C075762"/>
    <w:rsid w:val="7C095B24"/>
    <w:rsid w:val="7C231B6A"/>
    <w:rsid w:val="7C2D166E"/>
    <w:rsid w:val="7C3004E9"/>
    <w:rsid w:val="7C352C3C"/>
    <w:rsid w:val="7C402DC0"/>
    <w:rsid w:val="7C42146D"/>
    <w:rsid w:val="7C431890"/>
    <w:rsid w:val="7C455A03"/>
    <w:rsid w:val="7C46358F"/>
    <w:rsid w:val="7C5235E8"/>
    <w:rsid w:val="7C560E66"/>
    <w:rsid w:val="7C5A69A9"/>
    <w:rsid w:val="7C76139D"/>
    <w:rsid w:val="7C86627E"/>
    <w:rsid w:val="7C902C69"/>
    <w:rsid w:val="7C943EFA"/>
    <w:rsid w:val="7C9B5E75"/>
    <w:rsid w:val="7C9E1DC2"/>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54BBC"/>
    <w:rsid w:val="7FA67086"/>
    <w:rsid w:val="7FBA461D"/>
    <w:rsid w:val="7FC41AD7"/>
    <w:rsid w:val="7FCD7503"/>
    <w:rsid w:val="7FD51FC5"/>
    <w:rsid w:val="7FE252A4"/>
    <w:rsid w:val="7FE30A57"/>
    <w:rsid w:val="DFFD23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50"/>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1"/>
    <w:qFormat/>
    <w:uiPriority w:val="0"/>
    <w:pPr>
      <w:widowControl/>
      <w:spacing w:line="360" w:lineRule="auto"/>
      <w:outlineLvl w:val="2"/>
    </w:pPr>
    <w:rPr>
      <w:b/>
      <w:bCs/>
      <w:kern w:val="0"/>
      <w:sz w:val="24"/>
    </w:rPr>
  </w:style>
  <w:style w:type="paragraph" w:styleId="5">
    <w:name w:val="heading 4"/>
    <w:basedOn w:val="1"/>
    <w:next w:val="1"/>
    <w:link w:val="52"/>
    <w:qFormat/>
    <w:uiPriority w:val="0"/>
    <w:pPr>
      <w:keepNext/>
      <w:keepLines/>
      <w:spacing w:line="360" w:lineRule="auto"/>
      <w:outlineLvl w:val="3"/>
    </w:pPr>
    <w:rPr>
      <w:rFonts w:ascii="Arial" w:hAnsi="Arial"/>
      <w:b/>
      <w:bCs/>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5"/>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6"/>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57"/>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1">
    <w:name w:val="Default Paragraph Font"/>
    <w:unhideWhenUsed/>
    <w:qFormat/>
    <w:uiPriority w:val="1"/>
  </w:style>
  <w:style w:type="table" w:default="1" w:styleId="3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58"/>
    <w:qFormat/>
    <w:uiPriority w:val="0"/>
    <w:pPr>
      <w:shd w:val="clear" w:color="auto" w:fill="000080"/>
    </w:pPr>
  </w:style>
  <w:style w:type="paragraph" w:styleId="15">
    <w:name w:val="annotation text"/>
    <w:basedOn w:val="1"/>
    <w:link w:val="59"/>
    <w:autoRedefine/>
    <w:qFormat/>
    <w:uiPriority w:val="0"/>
    <w:pPr>
      <w:jc w:val="left"/>
    </w:pPr>
  </w:style>
  <w:style w:type="paragraph" w:styleId="16">
    <w:name w:val="Body Text"/>
    <w:basedOn w:val="1"/>
    <w:next w:val="17"/>
    <w:link w:val="60"/>
    <w:autoRedefine/>
    <w:qFormat/>
    <w:uiPriority w:val="0"/>
    <w:pPr>
      <w:spacing w:after="120"/>
    </w:pPr>
  </w:style>
  <w:style w:type="paragraph" w:styleId="17">
    <w:name w:val="Body Text First Indent"/>
    <w:basedOn w:val="16"/>
    <w:autoRedefine/>
    <w:unhideWhenUsed/>
    <w:qFormat/>
    <w:uiPriority w:val="0"/>
    <w:pPr>
      <w:spacing w:after="120"/>
      <w:ind w:firstLine="420" w:firstLineChars="100"/>
    </w:pPr>
    <w:rPr>
      <w:sz w:val="30"/>
    </w:rPr>
  </w:style>
  <w:style w:type="paragraph" w:styleId="18">
    <w:name w:val="Body Text Indent"/>
    <w:basedOn w:val="1"/>
    <w:link w:val="61"/>
    <w:autoRedefine/>
    <w:qFormat/>
    <w:uiPriority w:val="0"/>
    <w:pPr>
      <w:spacing w:after="120"/>
      <w:ind w:left="420" w:leftChars="200"/>
    </w:p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link w:val="62"/>
    <w:autoRedefine/>
    <w:qFormat/>
    <w:uiPriority w:val="0"/>
    <w:rPr>
      <w:rFonts w:ascii="宋体" w:hAnsi="Courier New" w:eastAsia="仿宋_GB2312"/>
      <w:sz w:val="32"/>
    </w:rPr>
  </w:style>
  <w:style w:type="paragraph" w:styleId="23">
    <w:name w:val="toc 8"/>
    <w:basedOn w:val="1"/>
    <w:next w:val="1"/>
    <w:autoRedefine/>
    <w:qFormat/>
    <w:uiPriority w:val="39"/>
    <w:pPr>
      <w:ind w:left="2940" w:leftChars="1400"/>
    </w:pPr>
    <w:rPr>
      <w:rFonts w:ascii="Calibri" w:hAnsi="Calibri"/>
      <w:szCs w:val="22"/>
    </w:rPr>
  </w:style>
  <w:style w:type="paragraph" w:styleId="24">
    <w:name w:val="Date"/>
    <w:basedOn w:val="1"/>
    <w:next w:val="1"/>
    <w:link w:val="63"/>
    <w:autoRedefine/>
    <w:qFormat/>
    <w:uiPriority w:val="0"/>
    <w:pPr>
      <w:ind w:left="100" w:leftChars="2500"/>
    </w:pPr>
  </w:style>
  <w:style w:type="paragraph" w:styleId="25">
    <w:name w:val="Body Text Indent 2"/>
    <w:basedOn w:val="1"/>
    <w:link w:val="64"/>
    <w:qFormat/>
    <w:uiPriority w:val="0"/>
    <w:pPr>
      <w:autoSpaceDE w:val="0"/>
      <w:autoSpaceDN w:val="0"/>
      <w:adjustRightInd w:val="0"/>
      <w:spacing w:line="410" w:lineRule="atLeast"/>
      <w:ind w:left="480"/>
      <w:jc w:val="left"/>
    </w:pPr>
    <w:rPr>
      <w:rFonts w:ascii="宋体" w:hAnsi="Calibri"/>
      <w:color w:val="000000"/>
    </w:rPr>
  </w:style>
  <w:style w:type="paragraph" w:styleId="26">
    <w:name w:val="Balloon Text"/>
    <w:basedOn w:val="1"/>
    <w:link w:val="65"/>
    <w:autoRedefine/>
    <w:qFormat/>
    <w:uiPriority w:val="0"/>
    <w:rPr>
      <w:sz w:val="18"/>
      <w:szCs w:val="18"/>
    </w:rPr>
  </w:style>
  <w:style w:type="paragraph" w:styleId="27">
    <w:name w:val="footer"/>
    <w:basedOn w:val="1"/>
    <w:link w:val="66"/>
    <w:autoRedefine/>
    <w:qFormat/>
    <w:uiPriority w:val="99"/>
    <w:pPr>
      <w:tabs>
        <w:tab w:val="center" w:pos="4153"/>
        <w:tab w:val="right" w:pos="8306"/>
      </w:tabs>
      <w:snapToGrid w:val="0"/>
      <w:jc w:val="left"/>
    </w:pPr>
    <w:rPr>
      <w:sz w:val="18"/>
      <w:szCs w:val="18"/>
    </w:rPr>
  </w:style>
  <w:style w:type="paragraph" w:styleId="28">
    <w:name w:val="header"/>
    <w:basedOn w:val="1"/>
    <w:link w:val="67"/>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autoRedefine/>
    <w:qFormat/>
    <w:uiPriority w:val="39"/>
    <w:pPr>
      <w:ind w:left="1260" w:leftChars="600"/>
    </w:pPr>
  </w:style>
  <w:style w:type="paragraph" w:styleId="31">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autoRedefine/>
    <w:qFormat/>
    <w:uiPriority w:val="39"/>
    <w:pPr>
      <w:ind w:left="2100" w:leftChars="1000"/>
    </w:pPr>
    <w:rPr>
      <w:rFonts w:ascii="Calibri" w:hAnsi="Calibri"/>
      <w:szCs w:val="22"/>
    </w:rPr>
  </w:style>
  <w:style w:type="paragraph" w:styleId="33">
    <w:name w:val="Body Text Indent 3"/>
    <w:basedOn w:val="1"/>
    <w:link w:val="69"/>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autoRedefine/>
    <w:qFormat/>
    <w:uiPriority w:val="99"/>
    <w:pPr>
      <w:widowControl/>
      <w:spacing w:before="100" w:beforeAutospacing="1" w:after="100" w:afterAutospacing="1"/>
      <w:jc w:val="left"/>
    </w:pPr>
    <w:rPr>
      <w:kern w:val="0"/>
    </w:rPr>
  </w:style>
  <w:style w:type="paragraph" w:styleId="37">
    <w:name w:val="Title"/>
    <w:basedOn w:val="1"/>
    <w:next w:val="1"/>
    <w:link w:val="70"/>
    <w:autoRedefine/>
    <w:qFormat/>
    <w:uiPriority w:val="0"/>
    <w:pPr>
      <w:spacing w:before="240" w:after="60"/>
      <w:jc w:val="center"/>
      <w:outlineLvl w:val="0"/>
    </w:pPr>
    <w:rPr>
      <w:rFonts w:ascii="Cambria" w:hAnsi="Cambria"/>
      <w:b/>
      <w:sz w:val="32"/>
    </w:rPr>
  </w:style>
  <w:style w:type="paragraph" w:styleId="38">
    <w:name w:val="annotation subject"/>
    <w:basedOn w:val="15"/>
    <w:next w:val="15"/>
    <w:link w:val="71"/>
    <w:autoRedefine/>
    <w:qFormat/>
    <w:uiPriority w:val="0"/>
    <w:rPr>
      <w:b/>
      <w:bCs/>
    </w:rPr>
  </w:style>
  <w:style w:type="table" w:styleId="40">
    <w:name w:val="Table Grid"/>
    <w:basedOn w:val="3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rPr>
  </w:style>
  <w:style w:type="character" w:styleId="43">
    <w:name w:val="page number"/>
    <w:autoRedefine/>
    <w:qFormat/>
    <w:uiPriority w:val="0"/>
  </w:style>
  <w:style w:type="character" w:styleId="44">
    <w:name w:val="FollowedHyperlink"/>
    <w:autoRedefine/>
    <w:qFormat/>
    <w:uiPriority w:val="0"/>
    <w:rPr>
      <w:color w:val="800080"/>
      <w:u w:val="single"/>
    </w:rPr>
  </w:style>
  <w:style w:type="character" w:styleId="45">
    <w:name w:val="Emphasis"/>
    <w:autoRedefine/>
    <w:qFormat/>
    <w:uiPriority w:val="0"/>
    <w:rPr>
      <w:i/>
      <w:iCs/>
    </w:rPr>
  </w:style>
  <w:style w:type="character" w:styleId="46">
    <w:name w:val="Hyperlink"/>
    <w:autoRedefine/>
    <w:qFormat/>
    <w:uiPriority w:val="99"/>
    <w:rPr>
      <w:color w:val="0000FF"/>
      <w:u w:val="single"/>
    </w:rPr>
  </w:style>
  <w:style w:type="character" w:styleId="47">
    <w:name w:val="HTML Code"/>
    <w:autoRedefine/>
    <w:qFormat/>
    <w:uiPriority w:val="0"/>
    <w:rPr>
      <w:rFonts w:ascii="Courier New" w:hAnsi="Courier New"/>
      <w:sz w:val="20"/>
    </w:rPr>
  </w:style>
  <w:style w:type="character" w:styleId="48">
    <w:name w:val="annotation reference"/>
    <w:autoRedefine/>
    <w:qFormat/>
    <w:uiPriority w:val="0"/>
    <w:rPr>
      <w:sz w:val="21"/>
      <w:szCs w:val="21"/>
    </w:rPr>
  </w:style>
  <w:style w:type="character" w:customStyle="1" w:styleId="49">
    <w:name w:val="标题 1 字符"/>
    <w:link w:val="2"/>
    <w:autoRedefine/>
    <w:qFormat/>
    <w:uiPriority w:val="0"/>
    <w:rPr>
      <w:rFonts w:ascii="Cambria" w:hAnsi="Cambria"/>
      <w:b/>
      <w:bCs/>
      <w:kern w:val="32"/>
      <w:sz w:val="32"/>
      <w:szCs w:val="32"/>
    </w:rPr>
  </w:style>
  <w:style w:type="character" w:customStyle="1" w:styleId="50">
    <w:name w:val="标题 2 字符"/>
    <w:link w:val="3"/>
    <w:autoRedefine/>
    <w:qFormat/>
    <w:uiPriority w:val="0"/>
    <w:rPr>
      <w:rFonts w:ascii="Cambria" w:hAnsi="Cambria" w:eastAsia="宋体" w:cs="Times New Roman"/>
      <w:b/>
      <w:bCs/>
      <w:kern w:val="2"/>
      <w:sz w:val="32"/>
      <w:szCs w:val="32"/>
    </w:rPr>
  </w:style>
  <w:style w:type="character" w:customStyle="1" w:styleId="51">
    <w:name w:val="标题 3 字符"/>
    <w:link w:val="4"/>
    <w:autoRedefine/>
    <w:qFormat/>
    <w:uiPriority w:val="0"/>
    <w:rPr>
      <w:b/>
      <w:bCs/>
      <w:sz w:val="24"/>
      <w:szCs w:val="24"/>
    </w:rPr>
  </w:style>
  <w:style w:type="character" w:customStyle="1" w:styleId="52">
    <w:name w:val="标题 4 字符"/>
    <w:link w:val="5"/>
    <w:autoRedefine/>
    <w:qFormat/>
    <w:uiPriority w:val="0"/>
    <w:rPr>
      <w:rFonts w:ascii="Arial" w:hAnsi="Arial"/>
      <w:b/>
      <w:bCs/>
      <w:kern w:val="2"/>
      <w:sz w:val="21"/>
      <w:szCs w:val="28"/>
    </w:rPr>
  </w:style>
  <w:style w:type="character" w:customStyle="1" w:styleId="53">
    <w:name w:val="标题 5 字符"/>
    <w:link w:val="6"/>
    <w:autoRedefine/>
    <w:qFormat/>
    <w:uiPriority w:val="0"/>
    <w:rPr>
      <w:b/>
      <w:bCs/>
      <w:kern w:val="2"/>
      <w:sz w:val="28"/>
      <w:szCs w:val="28"/>
    </w:rPr>
  </w:style>
  <w:style w:type="character" w:customStyle="1" w:styleId="54">
    <w:name w:val="标题 6 字符"/>
    <w:link w:val="7"/>
    <w:autoRedefine/>
    <w:qFormat/>
    <w:uiPriority w:val="0"/>
    <w:rPr>
      <w:rFonts w:ascii="Arial" w:hAnsi="Arial" w:eastAsia="黑体"/>
      <w:b/>
      <w:bCs/>
      <w:sz w:val="24"/>
      <w:szCs w:val="24"/>
    </w:rPr>
  </w:style>
  <w:style w:type="character" w:customStyle="1" w:styleId="55">
    <w:name w:val="标题 7 字符"/>
    <w:link w:val="8"/>
    <w:autoRedefine/>
    <w:qFormat/>
    <w:uiPriority w:val="0"/>
    <w:rPr>
      <w:b/>
      <w:bCs/>
      <w:sz w:val="24"/>
      <w:szCs w:val="24"/>
    </w:rPr>
  </w:style>
  <w:style w:type="character" w:customStyle="1" w:styleId="56">
    <w:name w:val="标题 8 字符"/>
    <w:link w:val="9"/>
    <w:autoRedefine/>
    <w:qFormat/>
    <w:uiPriority w:val="0"/>
    <w:rPr>
      <w:rFonts w:ascii="Arial" w:hAnsi="Arial" w:eastAsia="黑体"/>
      <w:sz w:val="24"/>
      <w:szCs w:val="24"/>
    </w:rPr>
  </w:style>
  <w:style w:type="character" w:customStyle="1" w:styleId="57">
    <w:name w:val="标题 9 字符"/>
    <w:link w:val="10"/>
    <w:autoRedefine/>
    <w:qFormat/>
    <w:uiPriority w:val="0"/>
    <w:rPr>
      <w:rFonts w:ascii="Arial" w:hAnsi="Arial" w:eastAsia="黑体"/>
      <w:sz w:val="21"/>
      <w:szCs w:val="21"/>
    </w:rPr>
  </w:style>
  <w:style w:type="character" w:customStyle="1" w:styleId="58">
    <w:name w:val="文档结构图 字符"/>
    <w:link w:val="14"/>
    <w:autoRedefine/>
    <w:qFormat/>
    <w:uiPriority w:val="0"/>
    <w:rPr>
      <w:kern w:val="2"/>
      <w:sz w:val="21"/>
      <w:szCs w:val="24"/>
      <w:shd w:val="clear" w:color="auto" w:fill="000080"/>
    </w:rPr>
  </w:style>
  <w:style w:type="character" w:customStyle="1" w:styleId="59">
    <w:name w:val="批注文字 字符"/>
    <w:link w:val="15"/>
    <w:autoRedefine/>
    <w:qFormat/>
    <w:uiPriority w:val="0"/>
    <w:rPr>
      <w:kern w:val="2"/>
      <w:sz w:val="21"/>
      <w:szCs w:val="24"/>
    </w:rPr>
  </w:style>
  <w:style w:type="character" w:customStyle="1" w:styleId="60">
    <w:name w:val="正文文本 字符"/>
    <w:link w:val="16"/>
    <w:autoRedefine/>
    <w:qFormat/>
    <w:uiPriority w:val="0"/>
    <w:rPr>
      <w:kern w:val="2"/>
      <w:sz w:val="21"/>
      <w:szCs w:val="24"/>
    </w:rPr>
  </w:style>
  <w:style w:type="character" w:customStyle="1" w:styleId="61">
    <w:name w:val="正文文本缩进 字符"/>
    <w:link w:val="18"/>
    <w:autoRedefine/>
    <w:qFormat/>
    <w:uiPriority w:val="0"/>
    <w:rPr>
      <w:kern w:val="2"/>
      <w:sz w:val="21"/>
      <w:szCs w:val="24"/>
    </w:rPr>
  </w:style>
  <w:style w:type="character" w:customStyle="1" w:styleId="62">
    <w:name w:val="纯文本 字符"/>
    <w:link w:val="22"/>
    <w:autoRedefine/>
    <w:qFormat/>
    <w:uiPriority w:val="0"/>
    <w:rPr>
      <w:rFonts w:ascii="宋体" w:hAnsi="Courier New" w:eastAsia="仿宋_GB2312"/>
      <w:kern w:val="2"/>
      <w:sz w:val="32"/>
      <w:szCs w:val="24"/>
    </w:rPr>
  </w:style>
  <w:style w:type="character" w:customStyle="1" w:styleId="63">
    <w:name w:val="日期 字符"/>
    <w:link w:val="24"/>
    <w:autoRedefine/>
    <w:qFormat/>
    <w:uiPriority w:val="0"/>
    <w:rPr>
      <w:kern w:val="2"/>
      <w:sz w:val="21"/>
      <w:szCs w:val="24"/>
    </w:rPr>
  </w:style>
  <w:style w:type="character" w:customStyle="1" w:styleId="64">
    <w:name w:val="正文文本缩进 2 字符"/>
    <w:link w:val="25"/>
    <w:autoRedefine/>
    <w:qFormat/>
    <w:uiPriority w:val="0"/>
    <w:rPr>
      <w:rFonts w:ascii="宋体" w:hAnsi="Calibri"/>
      <w:color w:val="000000"/>
      <w:kern w:val="2"/>
      <w:sz w:val="21"/>
      <w:szCs w:val="24"/>
    </w:rPr>
  </w:style>
  <w:style w:type="character" w:customStyle="1" w:styleId="65">
    <w:name w:val="批注框文本 字符"/>
    <w:link w:val="26"/>
    <w:autoRedefine/>
    <w:qFormat/>
    <w:uiPriority w:val="0"/>
    <w:rPr>
      <w:kern w:val="2"/>
      <w:sz w:val="18"/>
      <w:szCs w:val="18"/>
    </w:rPr>
  </w:style>
  <w:style w:type="character" w:customStyle="1" w:styleId="66">
    <w:name w:val="页脚 字符"/>
    <w:link w:val="27"/>
    <w:autoRedefine/>
    <w:qFormat/>
    <w:uiPriority w:val="99"/>
    <w:rPr>
      <w:kern w:val="2"/>
      <w:sz w:val="18"/>
      <w:szCs w:val="18"/>
    </w:rPr>
  </w:style>
  <w:style w:type="character" w:customStyle="1" w:styleId="67">
    <w:name w:val="页眉 字符"/>
    <w:link w:val="28"/>
    <w:autoRedefine/>
    <w:qFormat/>
    <w:uiPriority w:val="0"/>
    <w:rPr>
      <w:kern w:val="2"/>
      <w:sz w:val="18"/>
      <w:szCs w:val="18"/>
    </w:rPr>
  </w:style>
  <w:style w:type="character" w:customStyle="1" w:styleId="68">
    <w:name w:val="副标题 字符"/>
    <w:link w:val="31"/>
    <w:autoRedefine/>
    <w:qFormat/>
    <w:uiPriority w:val="0"/>
    <w:rPr>
      <w:rFonts w:ascii="Cambria" w:hAnsi="Cambria"/>
      <w:b/>
      <w:bCs/>
      <w:kern w:val="28"/>
      <w:sz w:val="32"/>
      <w:szCs w:val="32"/>
    </w:rPr>
  </w:style>
  <w:style w:type="character" w:customStyle="1" w:styleId="69">
    <w:name w:val="正文文本缩进 3 字符"/>
    <w:link w:val="33"/>
    <w:autoRedefine/>
    <w:qFormat/>
    <w:uiPriority w:val="0"/>
    <w:rPr>
      <w:rFonts w:ascii="宋体" w:hAnsi="MS Sans Serif"/>
      <w:color w:val="000000"/>
      <w:sz w:val="24"/>
    </w:rPr>
  </w:style>
  <w:style w:type="character" w:customStyle="1" w:styleId="70">
    <w:name w:val="标题 字符"/>
    <w:link w:val="37"/>
    <w:autoRedefine/>
    <w:qFormat/>
    <w:uiPriority w:val="0"/>
    <w:rPr>
      <w:rFonts w:ascii="Cambria" w:hAnsi="Cambria"/>
      <w:b/>
      <w:kern w:val="2"/>
      <w:sz w:val="32"/>
      <w:szCs w:val="24"/>
    </w:rPr>
  </w:style>
  <w:style w:type="character" w:customStyle="1" w:styleId="71">
    <w:name w:val="批注主题 字符"/>
    <w:link w:val="38"/>
    <w:autoRedefine/>
    <w:qFormat/>
    <w:uiPriority w:val="0"/>
    <w:rPr>
      <w:b/>
      <w:bCs/>
      <w:kern w:val="2"/>
      <w:sz w:val="21"/>
      <w:szCs w:val="24"/>
    </w:rPr>
  </w:style>
  <w:style w:type="character" w:customStyle="1" w:styleId="72">
    <w:name w:val="页眉 Char1"/>
    <w:autoRedefine/>
    <w:semiHidden/>
    <w:qFormat/>
    <w:uiPriority w:val="99"/>
    <w:rPr>
      <w:rFonts w:ascii="Times New Roman" w:hAnsi="Times New Roman" w:eastAsia="宋体" w:cs="Times New Roman"/>
      <w:sz w:val="18"/>
      <w:szCs w:val="18"/>
    </w:rPr>
  </w:style>
  <w:style w:type="character" w:customStyle="1" w:styleId="73">
    <w:name w:val="p0 Char"/>
    <w:link w:val="74"/>
    <w:autoRedefine/>
    <w:qFormat/>
    <w:uiPriority w:val="0"/>
    <w:rPr>
      <w:rFonts w:eastAsia="宋体"/>
      <w:kern w:val="2"/>
      <w:sz w:val="21"/>
      <w:szCs w:val="21"/>
      <w:lang w:val="en-US" w:eastAsia="zh-CN" w:bidi="ar-SA"/>
    </w:rPr>
  </w:style>
  <w:style w:type="paragraph" w:customStyle="1" w:styleId="74">
    <w:name w:val="p0"/>
    <w:basedOn w:val="1"/>
    <w:link w:val="73"/>
    <w:autoRedefine/>
    <w:qFormat/>
    <w:uiPriority w:val="0"/>
    <w:pPr>
      <w:widowControl/>
    </w:pPr>
    <w:rPr>
      <w:szCs w:val="21"/>
    </w:rPr>
  </w:style>
  <w:style w:type="character" w:customStyle="1" w:styleId="75">
    <w:name w:val="标题 4 Char Char"/>
    <w:autoRedefine/>
    <w:qFormat/>
    <w:uiPriority w:val="0"/>
    <w:rPr>
      <w:rFonts w:ascii="Arial" w:hAnsi="Arial" w:eastAsia="宋体"/>
      <w:b/>
      <w:bCs/>
      <w:kern w:val="2"/>
      <w:sz w:val="21"/>
      <w:szCs w:val="28"/>
      <w:lang w:val="en-US" w:eastAsia="zh-CN" w:bidi="ar-SA"/>
    </w:rPr>
  </w:style>
  <w:style w:type="character" w:customStyle="1" w:styleId="76">
    <w:name w:val="批注框文本 Char1"/>
    <w:autoRedefine/>
    <w:qFormat/>
    <w:uiPriority w:val="0"/>
    <w:rPr>
      <w:rFonts w:ascii="Times New Roman" w:hAnsi="Times New Roman" w:eastAsia="宋体" w:cs="Times New Roman"/>
      <w:sz w:val="18"/>
      <w:szCs w:val="18"/>
    </w:rPr>
  </w:style>
  <w:style w:type="character" w:customStyle="1" w:styleId="77">
    <w:name w:val="纯文本 Char Char"/>
    <w:autoRedefine/>
    <w:qFormat/>
    <w:uiPriority w:val="0"/>
    <w:rPr>
      <w:rFonts w:ascii="宋体" w:hAnsi="Courier New" w:eastAsia="仿宋_GB2312"/>
      <w:kern w:val="2"/>
      <w:sz w:val="32"/>
      <w:szCs w:val="24"/>
      <w:lang w:bidi="ar-SA"/>
    </w:rPr>
  </w:style>
  <w:style w:type="character" w:customStyle="1" w:styleId="78">
    <w:name w:val="标题 3 Char1"/>
    <w:autoRedefine/>
    <w:qFormat/>
    <w:uiPriority w:val="0"/>
    <w:rPr>
      <w:b/>
      <w:bCs/>
      <w:sz w:val="24"/>
      <w:szCs w:val="24"/>
    </w:rPr>
  </w:style>
  <w:style w:type="character" w:customStyle="1" w:styleId="79">
    <w:name w:val="Font Style119"/>
    <w:autoRedefine/>
    <w:unhideWhenUsed/>
    <w:qFormat/>
    <w:uiPriority w:val="99"/>
    <w:rPr>
      <w:rFonts w:hint="eastAsia" w:ascii="宋体" w:hAnsi="宋体" w:eastAsia="宋体"/>
      <w:sz w:val="24"/>
    </w:rPr>
  </w:style>
  <w:style w:type="character" w:customStyle="1" w:styleId="80">
    <w:name w:val="Font Style131"/>
    <w:autoRedefine/>
    <w:unhideWhenUsed/>
    <w:qFormat/>
    <w:uiPriority w:val="99"/>
    <w:rPr>
      <w:rFonts w:hint="eastAsia" w:ascii="Times New Roman" w:hAnsi="Times New Roman" w:eastAsia="Times New Roman"/>
      <w:sz w:val="18"/>
    </w:rPr>
  </w:style>
  <w:style w:type="character" w:customStyle="1" w:styleId="81">
    <w:name w:val="textcontents"/>
    <w:autoRedefine/>
    <w:qFormat/>
    <w:uiPriority w:val="0"/>
    <w:rPr>
      <w:rFonts w:cs="Times New Roman"/>
    </w:rPr>
  </w:style>
  <w:style w:type="character" w:customStyle="1" w:styleId="82">
    <w:name w:val="明显引用 Char1"/>
    <w:autoRedefine/>
    <w:qFormat/>
    <w:uiPriority w:val="99"/>
    <w:rPr>
      <w:b/>
      <w:bCs/>
      <w:i/>
      <w:iCs/>
      <w:color w:val="4F81BD"/>
      <w:kern w:val="2"/>
      <w:sz w:val="21"/>
      <w:szCs w:val="24"/>
    </w:rPr>
  </w:style>
  <w:style w:type="character" w:customStyle="1" w:styleId="83">
    <w:name w:val="Font Style86"/>
    <w:autoRedefine/>
    <w:unhideWhenUsed/>
    <w:qFormat/>
    <w:uiPriority w:val="99"/>
    <w:rPr>
      <w:rFonts w:hint="eastAsia" w:ascii="黑体" w:hAnsi="黑体" w:eastAsia="黑体"/>
      <w:spacing w:val="10"/>
      <w:sz w:val="30"/>
    </w:rPr>
  </w:style>
  <w:style w:type="character" w:customStyle="1" w:styleId="84">
    <w:name w:val="Font Style122"/>
    <w:autoRedefine/>
    <w:unhideWhenUsed/>
    <w:qFormat/>
    <w:uiPriority w:val="99"/>
    <w:rPr>
      <w:rFonts w:hint="eastAsia" w:ascii="宋体" w:hAnsi="宋体" w:eastAsia="宋体"/>
      <w:spacing w:val="20"/>
      <w:sz w:val="24"/>
    </w:rPr>
  </w:style>
  <w:style w:type="character" w:customStyle="1" w:styleId="85">
    <w:name w:val="p0 Char Char"/>
    <w:autoRedefine/>
    <w:qFormat/>
    <w:uiPriority w:val="0"/>
    <w:rPr>
      <w:rFonts w:eastAsia="宋体"/>
      <w:kern w:val="2"/>
      <w:sz w:val="21"/>
      <w:szCs w:val="21"/>
      <w:lang w:val="en-US" w:eastAsia="zh-CN" w:bidi="ar-SA"/>
    </w:rPr>
  </w:style>
  <w:style w:type="character" w:customStyle="1" w:styleId="86">
    <w:name w:val="Char Char141"/>
    <w:autoRedefine/>
    <w:qFormat/>
    <w:uiPriority w:val="0"/>
    <w:rPr>
      <w:rFonts w:ascii="Arial" w:hAnsi="Arial"/>
      <w:b/>
      <w:bCs/>
      <w:kern w:val="2"/>
      <w:sz w:val="21"/>
      <w:szCs w:val="28"/>
    </w:rPr>
  </w:style>
  <w:style w:type="character" w:customStyle="1" w:styleId="87">
    <w:name w:val="明显强调1"/>
    <w:autoRedefine/>
    <w:qFormat/>
    <w:uiPriority w:val="0"/>
    <w:rPr>
      <w:b/>
      <w:bCs/>
      <w:i/>
      <w:iCs/>
      <w:color w:val="4F81BD"/>
    </w:rPr>
  </w:style>
  <w:style w:type="character" w:customStyle="1" w:styleId="88">
    <w:name w:val="Font Style126"/>
    <w:autoRedefine/>
    <w:unhideWhenUsed/>
    <w:qFormat/>
    <w:uiPriority w:val="99"/>
    <w:rPr>
      <w:rFonts w:hint="eastAsia" w:ascii="宋体" w:hAnsi="宋体" w:eastAsia="宋体"/>
      <w:b/>
      <w:spacing w:val="-30"/>
      <w:sz w:val="28"/>
    </w:rPr>
  </w:style>
  <w:style w:type="character" w:customStyle="1" w:styleId="89">
    <w:name w:val="不明显强调1"/>
    <w:autoRedefine/>
    <w:qFormat/>
    <w:uiPriority w:val="0"/>
    <w:rPr>
      <w:i/>
      <w:iCs/>
      <w:color w:val="808080"/>
    </w:rPr>
  </w:style>
  <w:style w:type="character" w:customStyle="1" w:styleId="90">
    <w:name w:val="Char Char14"/>
    <w:autoRedefine/>
    <w:qFormat/>
    <w:uiPriority w:val="0"/>
    <w:rPr>
      <w:rFonts w:ascii="Arial" w:hAnsi="Arial"/>
      <w:b/>
      <w:bCs/>
      <w:kern w:val="2"/>
      <w:sz w:val="21"/>
      <w:szCs w:val="28"/>
    </w:rPr>
  </w:style>
  <w:style w:type="character" w:customStyle="1" w:styleId="91">
    <w:name w:val="标题 Char1"/>
    <w:autoRedefine/>
    <w:qFormat/>
    <w:uiPriority w:val="0"/>
    <w:rPr>
      <w:rFonts w:ascii="Cambria" w:hAnsi="Cambria" w:eastAsia="宋体" w:cs="Times New Roman"/>
      <w:b/>
      <w:bCs/>
      <w:sz w:val="32"/>
      <w:szCs w:val="32"/>
    </w:rPr>
  </w:style>
  <w:style w:type="character" w:customStyle="1" w:styleId="92">
    <w:name w:val="不明显参考1"/>
    <w:autoRedefine/>
    <w:qFormat/>
    <w:uiPriority w:val="0"/>
    <w:rPr>
      <w:smallCaps/>
      <w:color w:val="C0504D"/>
      <w:u w:val="single"/>
    </w:rPr>
  </w:style>
  <w:style w:type="character" w:customStyle="1" w:styleId="93">
    <w:name w:val="Font Style128"/>
    <w:autoRedefine/>
    <w:unhideWhenUsed/>
    <w:qFormat/>
    <w:uiPriority w:val="99"/>
    <w:rPr>
      <w:rFonts w:hint="eastAsia" w:ascii="Times New Roman" w:hAnsi="Times New Roman" w:eastAsia="Times New Roman"/>
      <w:sz w:val="16"/>
    </w:rPr>
  </w:style>
  <w:style w:type="character" w:customStyle="1" w:styleId="94">
    <w:name w:val="标题4 Char Char"/>
    <w:link w:val="95"/>
    <w:autoRedefine/>
    <w:qFormat/>
    <w:uiPriority w:val="0"/>
    <w:rPr>
      <w:rFonts w:ascii="Arial" w:hAnsi="Arial"/>
      <w:b/>
      <w:bCs/>
      <w:sz w:val="24"/>
      <w:szCs w:val="32"/>
    </w:rPr>
  </w:style>
  <w:style w:type="paragraph" w:customStyle="1" w:styleId="95">
    <w:name w:val="标题4"/>
    <w:basedOn w:val="3"/>
    <w:next w:val="19"/>
    <w:link w:val="94"/>
    <w:autoRedefine/>
    <w:qFormat/>
    <w:uiPriority w:val="0"/>
    <w:rPr>
      <w:rFonts w:ascii="Arial" w:hAnsi="Arial"/>
      <w:kern w:val="0"/>
      <w:sz w:val="24"/>
    </w:rPr>
  </w:style>
  <w:style w:type="character" w:customStyle="1" w:styleId="96">
    <w:name w:val="Font Style125"/>
    <w:autoRedefine/>
    <w:unhideWhenUsed/>
    <w:qFormat/>
    <w:uiPriority w:val="99"/>
    <w:rPr>
      <w:rFonts w:hint="eastAsia" w:ascii="宋体" w:hAnsi="宋体" w:eastAsia="宋体"/>
      <w:b/>
      <w:sz w:val="26"/>
    </w:rPr>
  </w:style>
  <w:style w:type="character" w:customStyle="1" w:styleId="97">
    <w:name w:val="正文文本缩进 2 Char1"/>
    <w:autoRedefine/>
    <w:semiHidden/>
    <w:qFormat/>
    <w:uiPriority w:val="0"/>
    <w:rPr>
      <w:kern w:val="2"/>
      <w:sz w:val="21"/>
      <w:szCs w:val="24"/>
    </w:rPr>
  </w:style>
  <w:style w:type="character" w:customStyle="1" w:styleId="98">
    <w:name w:val="批注文字 Char Char"/>
    <w:autoRedefine/>
    <w:qFormat/>
    <w:uiPriority w:val="0"/>
    <w:rPr>
      <w:kern w:val="2"/>
      <w:sz w:val="21"/>
      <w:szCs w:val="24"/>
      <w:lang w:bidi="ar-SA"/>
    </w:rPr>
  </w:style>
  <w:style w:type="character" w:customStyle="1" w:styleId="99">
    <w:name w:val="引用 Char1"/>
    <w:autoRedefine/>
    <w:qFormat/>
    <w:uiPriority w:val="99"/>
    <w:rPr>
      <w:i/>
      <w:iCs/>
      <w:color w:val="000000"/>
      <w:kern w:val="2"/>
      <w:sz w:val="21"/>
      <w:szCs w:val="24"/>
    </w:rPr>
  </w:style>
  <w:style w:type="character" w:customStyle="1" w:styleId="100">
    <w:name w:val="_Style 99"/>
    <w:autoRedefine/>
    <w:unhideWhenUsed/>
    <w:qFormat/>
    <w:uiPriority w:val="99"/>
    <w:rPr>
      <w:color w:val="605E5C"/>
      <w:shd w:val="clear" w:color="auto" w:fill="E1DFDD"/>
    </w:rPr>
  </w:style>
  <w:style w:type="character" w:customStyle="1" w:styleId="101">
    <w:name w:val="日期 Char1"/>
    <w:autoRedefine/>
    <w:qFormat/>
    <w:uiPriority w:val="0"/>
    <w:rPr>
      <w:rFonts w:ascii="Times New Roman" w:hAnsi="Times New Roman" w:eastAsia="宋体" w:cs="Times New Roman"/>
      <w:szCs w:val="24"/>
    </w:rPr>
  </w:style>
  <w:style w:type="character" w:customStyle="1" w:styleId="102">
    <w:name w:val="Font Style124"/>
    <w:autoRedefine/>
    <w:unhideWhenUsed/>
    <w:qFormat/>
    <w:uiPriority w:val="99"/>
    <w:rPr>
      <w:rFonts w:hint="eastAsia" w:ascii="宋体" w:hAnsi="宋体" w:eastAsia="宋体"/>
      <w:spacing w:val="30"/>
      <w:sz w:val="24"/>
    </w:rPr>
  </w:style>
  <w:style w:type="character" w:customStyle="1" w:styleId="103">
    <w:name w:val="明显引用 字符"/>
    <w:link w:val="104"/>
    <w:autoRedefine/>
    <w:qFormat/>
    <w:uiPriority w:val="0"/>
    <w:rPr>
      <w:b/>
      <w:bCs/>
      <w:i/>
      <w:iCs/>
      <w:color w:val="4F81BD"/>
      <w:kern w:val="2"/>
      <w:sz w:val="21"/>
      <w:szCs w:val="22"/>
    </w:rPr>
  </w:style>
  <w:style w:type="paragraph" w:styleId="104">
    <w:name w:val="Intense Quote"/>
    <w:basedOn w:val="1"/>
    <w:next w:val="1"/>
    <w:link w:val="103"/>
    <w:autoRedefine/>
    <w:qFormat/>
    <w:uiPriority w:val="0"/>
    <w:pPr>
      <w:pBdr>
        <w:bottom w:val="single" w:color="4F81BD" w:sz="4" w:space="4"/>
      </w:pBdr>
      <w:spacing w:before="200" w:after="280"/>
      <w:ind w:left="936" w:right="936"/>
    </w:pPr>
    <w:rPr>
      <w:b/>
      <w:bCs/>
      <w:i/>
      <w:iCs/>
      <w:color w:val="4F81BD"/>
      <w:szCs w:val="22"/>
    </w:rPr>
  </w:style>
  <w:style w:type="character" w:customStyle="1" w:styleId="105">
    <w:name w:val="Font Style123"/>
    <w:autoRedefine/>
    <w:unhideWhenUsed/>
    <w:qFormat/>
    <w:uiPriority w:val="99"/>
    <w:rPr>
      <w:rFonts w:hint="eastAsia" w:ascii="宋体" w:hAnsi="宋体" w:eastAsia="宋体"/>
      <w:b/>
      <w:sz w:val="32"/>
    </w:rPr>
  </w:style>
  <w:style w:type="character" w:customStyle="1" w:styleId="106">
    <w:name w:val="Font Style121"/>
    <w:autoRedefine/>
    <w:unhideWhenUsed/>
    <w:qFormat/>
    <w:uiPriority w:val="99"/>
    <w:rPr>
      <w:rFonts w:hint="eastAsia" w:ascii="宋体" w:hAnsi="宋体" w:eastAsia="宋体"/>
      <w:spacing w:val="-10"/>
      <w:sz w:val="30"/>
    </w:rPr>
  </w:style>
  <w:style w:type="character" w:customStyle="1" w:styleId="107">
    <w:name w:val="批注文字 Char1"/>
    <w:autoRedefine/>
    <w:semiHidden/>
    <w:qFormat/>
    <w:uiPriority w:val="99"/>
    <w:rPr>
      <w:rFonts w:ascii="Times New Roman" w:hAnsi="Times New Roman" w:eastAsia="宋体" w:cs="Times New Roman"/>
      <w:szCs w:val="24"/>
    </w:rPr>
  </w:style>
  <w:style w:type="character" w:customStyle="1" w:styleId="108">
    <w:name w:val="书籍标题1"/>
    <w:autoRedefine/>
    <w:qFormat/>
    <w:uiPriority w:val="0"/>
    <w:rPr>
      <w:b/>
      <w:bCs/>
      <w:smallCaps/>
      <w:spacing w:val="5"/>
    </w:rPr>
  </w:style>
  <w:style w:type="character" w:customStyle="1" w:styleId="109">
    <w:name w:val="明显参考1"/>
    <w:autoRedefine/>
    <w:qFormat/>
    <w:uiPriority w:val="0"/>
    <w:rPr>
      <w:b/>
      <w:bCs/>
      <w:smallCaps/>
      <w:color w:val="C0504D"/>
      <w:spacing w:val="5"/>
      <w:u w:val="single"/>
    </w:rPr>
  </w:style>
  <w:style w:type="character" w:customStyle="1" w:styleId="110">
    <w:name w:val="Font Style117"/>
    <w:autoRedefine/>
    <w:unhideWhenUsed/>
    <w:qFormat/>
    <w:uiPriority w:val="99"/>
    <w:rPr>
      <w:rFonts w:hint="eastAsia" w:ascii="宋体" w:hAnsi="宋体" w:eastAsia="宋体"/>
      <w:spacing w:val="20"/>
      <w:sz w:val="24"/>
    </w:rPr>
  </w:style>
  <w:style w:type="character" w:customStyle="1" w:styleId="111">
    <w:name w:val="引用 字符"/>
    <w:link w:val="112"/>
    <w:autoRedefine/>
    <w:qFormat/>
    <w:uiPriority w:val="0"/>
    <w:rPr>
      <w:i/>
      <w:iCs/>
      <w:color w:val="000000"/>
      <w:kern w:val="2"/>
      <w:sz w:val="21"/>
      <w:szCs w:val="22"/>
    </w:rPr>
  </w:style>
  <w:style w:type="paragraph" w:styleId="112">
    <w:name w:val="Quote"/>
    <w:basedOn w:val="1"/>
    <w:next w:val="1"/>
    <w:link w:val="111"/>
    <w:autoRedefine/>
    <w:qFormat/>
    <w:uiPriority w:val="0"/>
    <w:rPr>
      <w:i/>
      <w:iCs/>
      <w:color w:val="000000"/>
      <w:szCs w:val="22"/>
    </w:rPr>
  </w:style>
  <w:style w:type="character" w:customStyle="1" w:styleId="113">
    <w:name w:val="正文文本缩进 Char1"/>
    <w:autoRedefine/>
    <w:semiHidden/>
    <w:qFormat/>
    <w:uiPriority w:val="99"/>
    <w:rPr>
      <w:kern w:val="2"/>
      <w:sz w:val="21"/>
      <w:szCs w:val="24"/>
    </w:rPr>
  </w:style>
  <w:style w:type="character" w:customStyle="1" w:styleId="114">
    <w:name w:val="批注文字 字符1"/>
    <w:autoRedefine/>
    <w:qFormat/>
    <w:uiPriority w:val="0"/>
    <w:rPr>
      <w:kern w:val="2"/>
      <w:sz w:val="21"/>
      <w:szCs w:val="24"/>
    </w:rPr>
  </w:style>
  <w:style w:type="character" w:customStyle="1" w:styleId="115">
    <w:name w:val="文档结构图 Char1"/>
    <w:autoRedefine/>
    <w:qFormat/>
    <w:uiPriority w:val="0"/>
    <w:rPr>
      <w:rFonts w:ascii="宋体" w:hAnsi="Times New Roman" w:eastAsia="宋体" w:cs="Times New Roman"/>
      <w:sz w:val="18"/>
      <w:szCs w:val="18"/>
    </w:rPr>
  </w:style>
  <w:style w:type="character" w:customStyle="1" w:styleId="116">
    <w:name w:val="正文文本缩进 3 Char1"/>
    <w:autoRedefine/>
    <w:qFormat/>
    <w:uiPriority w:val="0"/>
    <w:rPr>
      <w:rFonts w:ascii="Times New Roman" w:hAnsi="Times New Roman" w:eastAsia="宋体" w:cs="Times New Roman"/>
      <w:sz w:val="16"/>
      <w:szCs w:val="16"/>
    </w:rPr>
  </w:style>
  <w:style w:type="character" w:customStyle="1" w:styleId="117">
    <w:name w:val="标题5 Char Char"/>
    <w:link w:val="118"/>
    <w:autoRedefine/>
    <w:qFormat/>
    <w:uiPriority w:val="0"/>
    <w:rPr>
      <w:rFonts w:ascii="Arial" w:hAnsi="Arial"/>
      <w:b/>
      <w:bCs/>
      <w:sz w:val="24"/>
      <w:szCs w:val="32"/>
    </w:rPr>
  </w:style>
  <w:style w:type="paragraph" w:customStyle="1" w:styleId="118">
    <w:name w:val="标题5"/>
    <w:basedOn w:val="4"/>
    <w:link w:val="117"/>
    <w:autoRedefine/>
    <w:qFormat/>
    <w:uiPriority w:val="0"/>
    <w:pPr>
      <w:keepNext/>
      <w:keepLines/>
      <w:widowControl w:val="0"/>
      <w:spacing w:before="260" w:after="260" w:line="413" w:lineRule="auto"/>
    </w:pPr>
    <w:rPr>
      <w:rFonts w:ascii="Arial" w:hAnsi="Arial"/>
      <w:szCs w:val="32"/>
    </w:rPr>
  </w:style>
  <w:style w:type="character" w:customStyle="1" w:styleId="119">
    <w:name w:val="Font Style127"/>
    <w:autoRedefine/>
    <w:unhideWhenUsed/>
    <w:qFormat/>
    <w:uiPriority w:val="99"/>
    <w:rPr>
      <w:rFonts w:hint="eastAsia" w:ascii="Times New Roman" w:hAnsi="Times New Roman" w:eastAsia="Times New Roman"/>
      <w:sz w:val="20"/>
    </w:rPr>
  </w:style>
  <w:style w:type="character" w:customStyle="1" w:styleId="120">
    <w:name w:val="页脚 Char1"/>
    <w:autoRedefine/>
    <w:semiHidden/>
    <w:qFormat/>
    <w:uiPriority w:val="99"/>
    <w:rPr>
      <w:rFonts w:ascii="Times New Roman" w:hAnsi="Times New Roman" w:eastAsia="宋体" w:cs="Times New Roman"/>
      <w:sz w:val="18"/>
      <w:szCs w:val="18"/>
    </w:rPr>
  </w:style>
  <w:style w:type="character" w:customStyle="1" w:styleId="121">
    <w:name w:val="纯文本 Char1"/>
    <w:autoRedefine/>
    <w:qFormat/>
    <w:uiPriority w:val="0"/>
    <w:rPr>
      <w:rFonts w:ascii="宋体" w:hAnsi="Courier New" w:eastAsia="宋体" w:cs="Courier New"/>
      <w:szCs w:val="21"/>
    </w:rPr>
  </w:style>
  <w:style w:type="character" w:customStyle="1" w:styleId="122">
    <w:name w:val="副标题 Char1"/>
    <w:autoRedefine/>
    <w:qFormat/>
    <w:uiPriority w:val="11"/>
    <w:rPr>
      <w:rFonts w:ascii="Cambria" w:hAnsi="Cambria" w:cs="Times New Roman"/>
      <w:b/>
      <w:bCs/>
      <w:kern w:val="28"/>
      <w:sz w:val="32"/>
      <w:szCs w:val="32"/>
    </w:rPr>
  </w:style>
  <w:style w:type="character" w:customStyle="1" w:styleId="123">
    <w:name w:val="批注主题 Char1"/>
    <w:autoRedefine/>
    <w:qFormat/>
    <w:uiPriority w:val="0"/>
    <w:rPr>
      <w:rFonts w:ascii="Times New Roman" w:hAnsi="Times New Roman" w:eastAsia="宋体" w:cs="Times New Roman"/>
      <w:b/>
      <w:bCs/>
      <w:szCs w:val="24"/>
    </w:rPr>
  </w:style>
  <w:style w:type="character" w:customStyle="1" w:styleId="124">
    <w:name w:val="标题 4 Char1"/>
    <w:autoRedefine/>
    <w:qFormat/>
    <w:uiPriority w:val="0"/>
    <w:rPr>
      <w:rFonts w:ascii="Arial" w:hAnsi="Arial" w:eastAsia="宋体" w:cs="Times New Roman"/>
      <w:b/>
      <w:bCs/>
      <w:szCs w:val="28"/>
    </w:rPr>
  </w:style>
  <w:style w:type="character" w:customStyle="1" w:styleId="125">
    <w:name w:val="正文文本 Char1"/>
    <w:autoRedefine/>
    <w:qFormat/>
    <w:uiPriority w:val="0"/>
    <w:rPr>
      <w:kern w:val="2"/>
      <w:sz w:val="21"/>
      <w:szCs w:val="22"/>
    </w:rPr>
  </w:style>
  <w:style w:type="character" w:customStyle="1" w:styleId="126">
    <w:name w:val="Font Style116"/>
    <w:autoRedefine/>
    <w:unhideWhenUsed/>
    <w:qFormat/>
    <w:uiPriority w:val="99"/>
    <w:rPr>
      <w:rFonts w:hint="eastAsia" w:ascii="宋体" w:hAnsi="宋体" w:eastAsia="宋体"/>
      <w:spacing w:val="-20"/>
      <w:sz w:val="24"/>
    </w:rPr>
  </w:style>
  <w:style w:type="character" w:customStyle="1" w:styleId="127">
    <w:name w:val="Font Style94"/>
    <w:autoRedefine/>
    <w:unhideWhenUsed/>
    <w:qFormat/>
    <w:uiPriority w:val="99"/>
    <w:rPr>
      <w:rFonts w:hint="eastAsia" w:ascii="Times New Roman" w:hAnsi="Times New Roman" w:eastAsia="Times New Roman"/>
      <w:sz w:val="28"/>
    </w:rPr>
  </w:style>
  <w:style w:type="character" w:customStyle="1" w:styleId="128">
    <w:name w:val="Font Style115"/>
    <w:autoRedefine/>
    <w:unhideWhenUsed/>
    <w:qFormat/>
    <w:uiPriority w:val="99"/>
    <w:rPr>
      <w:rFonts w:hint="eastAsia" w:ascii="Times New Roman" w:hAnsi="Times New Roman" w:eastAsia="Times New Roman"/>
      <w:sz w:val="16"/>
    </w:rPr>
  </w:style>
  <w:style w:type="paragraph" w:customStyle="1" w:styleId="129">
    <w:name w:val="Style5"/>
    <w:basedOn w:val="1"/>
    <w:autoRedefine/>
    <w:unhideWhenUsed/>
    <w:qFormat/>
    <w:uiPriority w:val="99"/>
    <w:rPr>
      <w:rFonts w:ascii="Calibri" w:hAnsi="Calibri"/>
    </w:rPr>
  </w:style>
  <w:style w:type="paragraph" w:customStyle="1" w:styleId="130">
    <w:name w:val="样式2"/>
    <w:basedOn w:val="2"/>
    <w:autoRedefine/>
    <w:qFormat/>
    <w:uiPriority w:val="0"/>
    <w:pPr>
      <w:jc w:val="left"/>
    </w:pPr>
    <w:rPr>
      <w:rFonts w:ascii="Times New Roman" w:hAnsi="Times New Roman"/>
      <w:b w:val="0"/>
      <w:bCs w:val="0"/>
      <w:kern w:val="2"/>
      <w:sz w:val="28"/>
      <w:szCs w:val="21"/>
    </w:rPr>
  </w:style>
  <w:style w:type="paragraph" w:customStyle="1" w:styleId="131">
    <w:name w:val="Char Char Char Char Char Char Char Char Char"/>
    <w:basedOn w:val="1"/>
    <w:autoRedefine/>
    <w:qFormat/>
    <w:uiPriority w:val="0"/>
    <w:pPr>
      <w:spacing w:line="360" w:lineRule="auto"/>
      <w:ind w:firstLine="200" w:firstLineChars="200"/>
    </w:pPr>
  </w:style>
  <w:style w:type="paragraph" w:customStyle="1" w:styleId="132">
    <w:name w:val="修订2"/>
    <w:autoRedefine/>
    <w:qFormat/>
    <w:uiPriority w:val="99"/>
    <w:rPr>
      <w:rFonts w:ascii="Calibri" w:hAnsi="Calibri" w:eastAsia="宋体" w:cs="Times New Roman"/>
      <w:kern w:val="2"/>
      <w:sz w:val="21"/>
      <w:szCs w:val="24"/>
      <w:lang w:val="en-US" w:eastAsia="zh-CN" w:bidi="ar-SA"/>
    </w:rPr>
  </w:style>
  <w:style w:type="paragraph" w:customStyle="1" w:styleId="133">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styleId="134">
    <w:name w:val="List Paragraph"/>
    <w:basedOn w:val="1"/>
    <w:autoRedefine/>
    <w:qFormat/>
    <w:uiPriority w:val="0"/>
    <w:pPr>
      <w:ind w:firstLine="420" w:firstLineChars="200"/>
    </w:pPr>
    <w:rPr>
      <w:rFonts w:ascii="Calibri" w:hAnsi="Calibri"/>
      <w:szCs w:val="22"/>
    </w:rPr>
  </w:style>
  <w:style w:type="paragraph" w:customStyle="1" w:styleId="135">
    <w:name w:val="列出段落1"/>
    <w:basedOn w:val="1"/>
    <w:autoRedefine/>
    <w:qFormat/>
    <w:uiPriority w:val="99"/>
    <w:pPr>
      <w:ind w:firstLine="420" w:firstLineChars="200"/>
    </w:pPr>
  </w:style>
  <w:style w:type="paragraph" w:customStyle="1" w:styleId="136">
    <w:name w:val="Style61"/>
    <w:basedOn w:val="1"/>
    <w:autoRedefine/>
    <w:unhideWhenUsed/>
    <w:qFormat/>
    <w:uiPriority w:val="99"/>
    <w:rPr>
      <w:rFonts w:ascii="Calibri" w:hAnsi="Calibri"/>
    </w:rPr>
  </w:style>
  <w:style w:type="paragraph" w:customStyle="1" w:styleId="137">
    <w:name w:val="Style34"/>
    <w:basedOn w:val="1"/>
    <w:autoRedefine/>
    <w:unhideWhenUsed/>
    <w:qFormat/>
    <w:uiPriority w:val="99"/>
    <w:pPr>
      <w:spacing w:line="375" w:lineRule="exact"/>
    </w:pPr>
    <w:rPr>
      <w:rFonts w:ascii="Calibri" w:hAnsi="Calibri"/>
    </w:rPr>
  </w:style>
  <w:style w:type="paragraph" w:customStyle="1" w:styleId="138">
    <w:name w:val="列出段落21"/>
    <w:basedOn w:val="1"/>
    <w:autoRedefine/>
    <w:qFormat/>
    <w:uiPriority w:val="0"/>
    <w:pPr>
      <w:ind w:firstLine="200" w:firstLineChars="200"/>
    </w:pPr>
    <w:rPr>
      <w:rFonts w:ascii="Calibri" w:hAnsi="Calibri"/>
      <w:szCs w:val="22"/>
    </w:rPr>
  </w:style>
  <w:style w:type="paragraph" w:customStyle="1" w:styleId="139">
    <w:name w:val="Char Char"/>
    <w:basedOn w:val="1"/>
    <w:autoRedefine/>
    <w:qFormat/>
    <w:uiPriority w:val="0"/>
  </w:style>
  <w:style w:type="paragraph" w:customStyle="1" w:styleId="140">
    <w:name w:val="Style72"/>
    <w:basedOn w:val="1"/>
    <w:autoRedefine/>
    <w:unhideWhenUsed/>
    <w:qFormat/>
    <w:uiPriority w:val="99"/>
    <w:rPr>
      <w:rFonts w:ascii="Calibri" w:hAnsi="Calibri"/>
    </w:rPr>
  </w:style>
  <w:style w:type="paragraph" w:customStyle="1" w:styleId="141">
    <w:name w:val="TOC 标题2"/>
    <w:basedOn w:val="2"/>
    <w:next w:val="1"/>
    <w:autoRedefine/>
    <w:qFormat/>
    <w:uiPriority w:val="0"/>
    <w:pPr>
      <w:keepLines/>
      <w:spacing w:before="340" w:after="330" w:line="576" w:lineRule="auto"/>
      <w:outlineLvl w:val="9"/>
    </w:pPr>
    <w:rPr>
      <w:rFonts w:ascii="Calibri" w:hAnsi="Calibri"/>
      <w:kern w:val="44"/>
      <w:sz w:val="44"/>
      <w:szCs w:val="44"/>
    </w:rPr>
  </w:style>
  <w:style w:type="paragraph" w:customStyle="1" w:styleId="142">
    <w:name w:val="Style53"/>
    <w:basedOn w:val="1"/>
    <w:autoRedefine/>
    <w:unhideWhenUsed/>
    <w:qFormat/>
    <w:uiPriority w:val="99"/>
    <w:pPr>
      <w:spacing w:line="533" w:lineRule="exact"/>
      <w:ind w:firstLine="581"/>
    </w:pPr>
    <w:rPr>
      <w:rFonts w:ascii="Calibri" w:hAnsi="Calibri"/>
    </w:rPr>
  </w:style>
  <w:style w:type="paragraph" w:customStyle="1" w:styleId="143">
    <w:name w:val="Style62"/>
    <w:basedOn w:val="1"/>
    <w:autoRedefine/>
    <w:unhideWhenUsed/>
    <w:qFormat/>
    <w:uiPriority w:val="99"/>
    <w:rPr>
      <w:rFonts w:ascii="Calibri" w:hAnsi="Calibri"/>
    </w:rPr>
  </w:style>
  <w:style w:type="paragraph" w:customStyle="1" w:styleId="144">
    <w:name w:val="Char2"/>
    <w:basedOn w:val="1"/>
    <w:autoRedefine/>
    <w:qFormat/>
    <w:uiPriority w:val="0"/>
    <w:pPr>
      <w:widowControl/>
      <w:spacing w:after="160" w:line="240" w:lineRule="exact"/>
      <w:jc w:val="left"/>
    </w:pPr>
    <w:rPr>
      <w:rFonts w:ascii="Calibri" w:hAnsi="Calibri"/>
    </w:rPr>
  </w:style>
  <w:style w:type="paragraph" w:customStyle="1" w:styleId="145">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Char Char Char Char Char Char Char Char Char Char1"/>
    <w:basedOn w:val="1"/>
    <w:autoRedefine/>
    <w:qFormat/>
    <w:uiPriority w:val="0"/>
    <w:rPr>
      <w:rFonts w:ascii="Calibri" w:hAnsi="Calibri"/>
    </w:rPr>
  </w:style>
  <w:style w:type="paragraph" w:customStyle="1" w:styleId="147">
    <w:name w:val="Style77"/>
    <w:basedOn w:val="1"/>
    <w:autoRedefine/>
    <w:unhideWhenUsed/>
    <w:qFormat/>
    <w:uiPriority w:val="99"/>
    <w:rPr>
      <w:rFonts w:ascii="Calibri" w:hAnsi="Calibri"/>
    </w:rPr>
  </w:style>
  <w:style w:type="paragraph" w:customStyle="1" w:styleId="148">
    <w:name w:val="Style50"/>
    <w:basedOn w:val="1"/>
    <w:autoRedefine/>
    <w:unhideWhenUsed/>
    <w:qFormat/>
    <w:uiPriority w:val="99"/>
    <w:rPr>
      <w:rFonts w:ascii="Calibri" w:hAnsi="Calibri"/>
    </w:rPr>
  </w:style>
  <w:style w:type="paragraph" w:styleId="14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31"/>
    <w:basedOn w:val="1"/>
    <w:autoRedefine/>
    <w:qFormat/>
    <w:uiPriority w:val="0"/>
    <w:rPr>
      <w:rFonts w:ascii="仿宋_GB2312" w:eastAsia="仿宋_GB2312"/>
      <w:kern w:val="0"/>
      <w:szCs w:val="20"/>
    </w:rPr>
  </w:style>
  <w:style w:type="paragraph" w:customStyle="1" w:styleId="151">
    <w:name w:val="Char1 Char Char Char 字元 Char Char 字元 Char 字元 Char1 Char Char Char"/>
    <w:basedOn w:val="1"/>
    <w:autoRedefine/>
    <w:qFormat/>
    <w:uiPriority w:val="0"/>
  </w:style>
  <w:style w:type="paragraph" w:customStyle="1" w:styleId="152">
    <w:name w:val="TOC 标题1"/>
    <w:basedOn w:val="2"/>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153">
    <w:name w:val="Char Char Char Char Char Char Char Char Char Char"/>
    <w:basedOn w:val="1"/>
    <w:autoRedefine/>
    <w:qFormat/>
    <w:uiPriority w:val="0"/>
    <w:rPr>
      <w:rFonts w:ascii="Calibri" w:hAnsi="Calibri"/>
    </w:rPr>
  </w:style>
  <w:style w:type="paragraph" w:customStyle="1" w:styleId="154">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55">
    <w:name w:val="Style73"/>
    <w:basedOn w:val="1"/>
    <w:autoRedefine/>
    <w:unhideWhenUsed/>
    <w:qFormat/>
    <w:uiPriority w:val="99"/>
    <w:pPr>
      <w:spacing w:line="538" w:lineRule="exact"/>
      <w:ind w:firstLine="533"/>
    </w:pPr>
    <w:rPr>
      <w:rFonts w:ascii="Calibri" w:hAnsi="Calibri"/>
    </w:rPr>
  </w:style>
  <w:style w:type="paragraph" w:customStyle="1" w:styleId="156">
    <w:name w:val="Style76"/>
    <w:basedOn w:val="1"/>
    <w:autoRedefine/>
    <w:unhideWhenUsed/>
    <w:qFormat/>
    <w:uiPriority w:val="99"/>
    <w:rPr>
      <w:rFonts w:ascii="Calibri" w:hAnsi="Calibri"/>
    </w:rPr>
  </w:style>
  <w:style w:type="paragraph" w:customStyle="1" w:styleId="157">
    <w:name w:val="修订3"/>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58">
    <w:name w:val="样式1"/>
    <w:basedOn w:val="1"/>
    <w:autoRedefine/>
    <w:qFormat/>
    <w:uiPriority w:val="0"/>
    <w:pPr>
      <w:tabs>
        <w:tab w:val="right" w:leader="dot" w:pos="10142"/>
      </w:tabs>
      <w:autoSpaceDN w:val="0"/>
    </w:pPr>
    <w:rPr>
      <w:rFonts w:ascii="宋体" w:hAnsi="宋体"/>
      <w:sz w:val="28"/>
      <w:szCs w:val="20"/>
    </w:rPr>
  </w:style>
  <w:style w:type="paragraph" w:customStyle="1" w:styleId="159">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样式 标题 3 + (中文) 黑体 小四 非加粗 段前: 7.8 磅 段后: 0 磅 行距: 固定值 20 磅"/>
    <w:basedOn w:val="4"/>
    <w:autoRedefine/>
    <w:qFormat/>
    <w:uiPriority w:val="0"/>
    <w:pPr>
      <w:keepNext/>
      <w:keepLines/>
      <w:widowControl w:val="0"/>
      <w:spacing w:line="400" w:lineRule="exact"/>
    </w:pPr>
    <w:rPr>
      <w:rFonts w:eastAsia="黑体" w:cs="宋体"/>
      <w:b w:val="0"/>
      <w:bCs w:val="0"/>
      <w:kern w:val="2"/>
      <w:szCs w:val="20"/>
      <w:lang w:val="en-US"/>
    </w:rPr>
  </w:style>
  <w:style w:type="paragraph" w:customStyle="1" w:styleId="161">
    <w:name w:val="Style26"/>
    <w:basedOn w:val="1"/>
    <w:autoRedefine/>
    <w:unhideWhenUsed/>
    <w:qFormat/>
    <w:uiPriority w:val="99"/>
    <w:rPr>
      <w:rFonts w:ascii="Calibri" w:hAnsi="Calibri"/>
    </w:rPr>
  </w:style>
  <w:style w:type="paragraph" w:customStyle="1" w:styleId="162">
    <w:name w:val="标题 1 +"/>
    <w:basedOn w:val="2"/>
    <w:next w:val="1"/>
    <w:autoRedefine/>
    <w:qFormat/>
    <w:uiPriority w:val="0"/>
    <w:pPr>
      <w:keepLines/>
      <w:spacing w:before="0" w:after="0" w:line="600" w:lineRule="auto"/>
      <w:jc w:val="center"/>
    </w:pPr>
    <w:rPr>
      <w:rFonts w:ascii="Times New Roman" w:hAnsi="Times New Roman" w:eastAsia="黑体"/>
      <w:kern w:val="0"/>
    </w:rPr>
  </w:style>
  <w:style w:type="paragraph" w:customStyle="1" w:styleId="16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4">
    <w:name w:val="_Style 4"/>
    <w:basedOn w:val="1"/>
    <w:autoRedefine/>
    <w:qFormat/>
    <w:uiPriority w:val="34"/>
    <w:pPr>
      <w:widowControl/>
      <w:spacing w:line="120" w:lineRule="exact"/>
      <w:ind w:firstLine="420" w:firstLineChars="200"/>
      <w:jc w:val="left"/>
    </w:pPr>
    <w:rPr>
      <w:rFonts w:ascii="Calibri" w:hAnsi="Calibri"/>
      <w:sz w:val="18"/>
      <w:szCs w:val="18"/>
    </w:rPr>
  </w:style>
  <w:style w:type="paragraph" w:customStyle="1" w:styleId="165">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166">
    <w:name w:val="Style70"/>
    <w:basedOn w:val="1"/>
    <w:unhideWhenUsed/>
    <w:qFormat/>
    <w:uiPriority w:val="99"/>
    <w:pPr>
      <w:spacing w:line="549" w:lineRule="exact"/>
      <w:ind w:firstLine="686"/>
    </w:pPr>
    <w:rPr>
      <w:rFonts w:ascii="Calibri" w:hAnsi="Calibri"/>
    </w:rPr>
  </w:style>
  <w:style w:type="paragraph" w:customStyle="1" w:styleId="167">
    <w:name w:val="TOC 标题11"/>
    <w:basedOn w:val="2"/>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168">
    <w:name w:val="_Style 167"/>
    <w:basedOn w:val="2"/>
    <w:next w:val="1"/>
    <w:unhideWhenUsed/>
    <w:qFormat/>
    <w:uiPriority w:val="39"/>
    <w:pPr>
      <w:keepLines/>
      <w:widowControl/>
      <w:spacing w:after="0" w:line="259" w:lineRule="auto"/>
      <w:jc w:val="left"/>
      <w:outlineLvl w:val="9"/>
    </w:pPr>
    <w:rPr>
      <w:rFonts w:ascii="等线 Light" w:hAnsi="等线 Light" w:eastAsia="等线 Light" w:cs="Times New Roman"/>
      <w:b w:val="0"/>
      <w:bCs w:val="0"/>
      <w:color w:val="2F5496"/>
      <w:kern w:val="0"/>
    </w:rPr>
  </w:style>
  <w:style w:type="paragraph" w:customStyle="1" w:styleId="169">
    <w:name w:val="Style27"/>
    <w:basedOn w:val="1"/>
    <w:autoRedefine/>
    <w:unhideWhenUsed/>
    <w:qFormat/>
    <w:uiPriority w:val="99"/>
    <w:rPr>
      <w:rFonts w:ascii="Calibri" w:hAnsi="Calibri"/>
    </w:rPr>
  </w:style>
  <w:style w:type="paragraph" w:customStyle="1" w:styleId="170">
    <w:name w:val="Style63"/>
    <w:basedOn w:val="1"/>
    <w:unhideWhenUsed/>
    <w:qFormat/>
    <w:uiPriority w:val="99"/>
    <w:pPr>
      <w:spacing w:line="564" w:lineRule="exact"/>
      <w:ind w:firstLine="682"/>
    </w:pPr>
    <w:rPr>
      <w:rFonts w:ascii="Calibri" w:hAnsi="Calibri"/>
    </w:rPr>
  </w:style>
  <w:style w:type="paragraph" w:customStyle="1" w:styleId="171">
    <w:name w:val="1 Char Char Char Char"/>
    <w:basedOn w:val="159"/>
    <w:autoRedefine/>
    <w:qFormat/>
    <w:uiPriority w:val="0"/>
  </w:style>
  <w:style w:type="paragraph" w:customStyle="1" w:styleId="172">
    <w:name w:val="Char Char Char Char Char Char Char1"/>
    <w:basedOn w:val="1"/>
    <w:autoRedefine/>
    <w:qFormat/>
    <w:uiPriority w:val="0"/>
    <w:pPr>
      <w:snapToGrid w:val="0"/>
      <w:spacing w:line="360" w:lineRule="auto"/>
      <w:ind w:firstLine="200" w:firstLineChars="200"/>
    </w:pPr>
    <w:rPr>
      <w:rFonts w:ascii="Calibri" w:hAnsi="Calibri" w:eastAsia="仿宋_GB2312"/>
      <w:sz w:val="24"/>
    </w:rPr>
  </w:style>
  <w:style w:type="paragraph" w:customStyle="1" w:styleId="173">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4">
    <w:name w:val="Style52"/>
    <w:basedOn w:val="1"/>
    <w:unhideWhenUsed/>
    <w:qFormat/>
    <w:uiPriority w:val="99"/>
    <w:pPr>
      <w:spacing w:line="682" w:lineRule="exact"/>
      <w:ind w:firstLine="557"/>
    </w:pPr>
    <w:rPr>
      <w:rFonts w:ascii="Calibri" w:hAnsi="Calibri"/>
    </w:rPr>
  </w:style>
  <w:style w:type="paragraph" w:customStyle="1" w:styleId="175">
    <w:name w:val="Style36"/>
    <w:basedOn w:val="1"/>
    <w:autoRedefine/>
    <w:unhideWhenUsed/>
    <w:qFormat/>
    <w:uiPriority w:val="99"/>
    <w:rPr>
      <w:rFonts w:ascii="Calibri" w:hAnsi="Calibri"/>
    </w:rPr>
  </w:style>
  <w:style w:type="paragraph" w:customStyle="1" w:styleId="176">
    <w:name w:val="标题3"/>
    <w:basedOn w:val="2"/>
    <w:qFormat/>
    <w:uiPriority w:val="0"/>
    <w:pPr>
      <w:spacing w:beforeLines="50" w:afterLines="50" w:line="400" w:lineRule="exact"/>
    </w:pPr>
    <w:rPr>
      <w:rFonts w:ascii="宋体" w:hAnsi="宋体"/>
      <w:sz w:val="24"/>
    </w:rPr>
  </w:style>
  <w:style w:type="paragraph" w:customStyle="1" w:styleId="177">
    <w:name w:val="Style9"/>
    <w:basedOn w:val="1"/>
    <w:unhideWhenUsed/>
    <w:qFormat/>
    <w:uiPriority w:val="99"/>
    <w:rPr>
      <w:rFonts w:ascii="Calibri" w:hAnsi="Calibri"/>
    </w:rPr>
  </w:style>
  <w:style w:type="paragraph" w:customStyle="1" w:styleId="178">
    <w:name w:val="标题2"/>
    <w:basedOn w:val="37"/>
    <w:qFormat/>
    <w:uiPriority w:val="0"/>
    <w:pPr>
      <w:spacing w:after="240"/>
      <w:jc w:val="left"/>
    </w:pPr>
    <w:rPr>
      <w:sz w:val="30"/>
    </w:rPr>
  </w:style>
  <w:style w:type="paragraph" w:customStyle="1" w:styleId="179">
    <w:name w:val="样式3"/>
    <w:basedOn w:val="4"/>
    <w:qFormat/>
    <w:uiPriority w:val="0"/>
    <w:pPr>
      <w:jc w:val="left"/>
    </w:pPr>
    <w:rPr>
      <w:b w:val="0"/>
      <w:bCs w:val="0"/>
      <w:kern w:val="2"/>
      <w:sz w:val="28"/>
      <w:szCs w:val="28"/>
    </w:rPr>
  </w:style>
  <w:style w:type="paragraph" w:customStyle="1" w:styleId="180">
    <w:name w:val="_Style 179"/>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82">
    <w:name w:val="CM91"/>
    <w:basedOn w:val="1"/>
    <w:next w:val="1"/>
    <w:autoRedefine/>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183">
    <w:name w:val="Style46"/>
    <w:basedOn w:val="1"/>
    <w:autoRedefine/>
    <w:unhideWhenUsed/>
    <w:qFormat/>
    <w:uiPriority w:val="99"/>
    <w:pPr>
      <w:spacing w:line="672" w:lineRule="exact"/>
    </w:pPr>
    <w:rPr>
      <w:rFonts w:ascii="Calibri" w:hAnsi="Calibri"/>
    </w:rPr>
  </w:style>
  <w:style w:type="paragraph" w:customStyle="1" w:styleId="184">
    <w:name w:val="正文文本2"/>
    <w:basedOn w:val="1"/>
    <w:autoRedefine/>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85">
    <w:name w:val="Style28"/>
    <w:basedOn w:val="1"/>
    <w:unhideWhenUsed/>
    <w:qFormat/>
    <w:uiPriority w:val="99"/>
    <w:pPr>
      <w:spacing w:line="552" w:lineRule="exact"/>
      <w:ind w:firstLine="547"/>
    </w:pPr>
    <w:rPr>
      <w:rFonts w:ascii="Calibri" w:hAnsi="Calibri"/>
    </w:rPr>
  </w:style>
  <w:style w:type="paragraph" w:customStyle="1" w:styleId="186">
    <w:name w:val="Char"/>
    <w:basedOn w:val="1"/>
    <w:qFormat/>
    <w:uiPriority w:val="0"/>
    <w:rPr>
      <w:rFonts w:ascii="Tahoma" w:hAnsi="Tahoma" w:eastAsia="仿宋_GB2312"/>
      <w:sz w:val="24"/>
      <w:szCs w:val="20"/>
    </w:rPr>
  </w:style>
  <w:style w:type="paragraph" w:customStyle="1" w:styleId="18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8">
    <w:name w:val="Style12"/>
    <w:basedOn w:val="1"/>
    <w:autoRedefine/>
    <w:unhideWhenUsed/>
    <w:qFormat/>
    <w:uiPriority w:val="99"/>
    <w:pPr>
      <w:spacing w:line="564" w:lineRule="exact"/>
      <w:ind w:hanging="115"/>
    </w:pPr>
    <w:rPr>
      <w:rFonts w:ascii="Calibri" w:hAnsi="Calibri"/>
    </w:rPr>
  </w:style>
  <w:style w:type="paragraph" w:customStyle="1" w:styleId="189">
    <w:name w:val="Style11"/>
    <w:basedOn w:val="1"/>
    <w:autoRedefine/>
    <w:unhideWhenUsed/>
    <w:qFormat/>
    <w:uiPriority w:val="99"/>
    <w:pPr>
      <w:spacing w:line="559" w:lineRule="exact"/>
      <w:ind w:firstLine="590"/>
    </w:pPr>
    <w:rPr>
      <w:rFonts w:ascii="Calibri" w:hAnsi="Calibri"/>
    </w:rPr>
  </w:style>
  <w:style w:type="paragraph" w:customStyle="1" w:styleId="190">
    <w:name w:val="Style42"/>
    <w:basedOn w:val="1"/>
    <w:autoRedefine/>
    <w:unhideWhenUsed/>
    <w:qFormat/>
    <w:uiPriority w:val="99"/>
    <w:pPr>
      <w:spacing w:line="542" w:lineRule="exact"/>
      <w:ind w:firstLine="547"/>
    </w:pPr>
    <w:rPr>
      <w:rFonts w:ascii="Calibri" w:hAnsi="Calibri"/>
    </w:rPr>
  </w:style>
  <w:style w:type="paragraph" w:customStyle="1" w:styleId="191">
    <w:name w:val="Style69"/>
    <w:basedOn w:val="1"/>
    <w:autoRedefine/>
    <w:unhideWhenUsed/>
    <w:qFormat/>
    <w:uiPriority w:val="99"/>
    <w:pPr>
      <w:spacing w:line="557" w:lineRule="exact"/>
      <w:ind w:firstLine="1666"/>
    </w:pPr>
    <w:rPr>
      <w:rFonts w:ascii="Calibri" w:hAnsi="Calibri"/>
    </w:rPr>
  </w:style>
  <w:style w:type="paragraph" w:customStyle="1" w:styleId="192">
    <w:name w:val="Style41"/>
    <w:basedOn w:val="1"/>
    <w:unhideWhenUsed/>
    <w:qFormat/>
    <w:uiPriority w:val="99"/>
    <w:pPr>
      <w:spacing w:line="542" w:lineRule="exact"/>
      <w:ind w:firstLine="125"/>
    </w:pPr>
    <w:rPr>
      <w:rFonts w:ascii="Calibri" w:hAnsi="Calibri"/>
    </w:rPr>
  </w:style>
  <w:style w:type="paragraph" w:customStyle="1" w:styleId="193">
    <w:name w:val="Style48"/>
    <w:basedOn w:val="1"/>
    <w:autoRedefine/>
    <w:unhideWhenUsed/>
    <w:qFormat/>
    <w:uiPriority w:val="99"/>
    <w:pPr>
      <w:spacing w:line="542" w:lineRule="exact"/>
      <w:jc w:val="right"/>
    </w:pPr>
    <w:rPr>
      <w:rFonts w:ascii="Calibri" w:hAnsi="Calibri"/>
    </w:rPr>
  </w:style>
  <w:style w:type="paragraph" w:customStyle="1" w:styleId="194">
    <w:name w:val="Style78"/>
    <w:basedOn w:val="1"/>
    <w:autoRedefine/>
    <w:unhideWhenUsed/>
    <w:qFormat/>
    <w:uiPriority w:val="99"/>
    <w:rPr>
      <w:rFonts w:ascii="Calibri" w:hAnsi="Calibri"/>
    </w:rPr>
  </w:style>
  <w:style w:type="paragraph" w:customStyle="1" w:styleId="195">
    <w:name w:val="Style16"/>
    <w:basedOn w:val="1"/>
    <w:unhideWhenUsed/>
    <w:qFormat/>
    <w:uiPriority w:val="99"/>
    <w:pPr>
      <w:jc w:val="right"/>
    </w:pPr>
    <w:rPr>
      <w:rFonts w:ascii="Calibri" w:hAnsi="Calibri"/>
    </w:rPr>
  </w:style>
  <w:style w:type="paragraph" w:customStyle="1" w:styleId="196">
    <w:name w:val="Style8"/>
    <w:basedOn w:val="1"/>
    <w:autoRedefine/>
    <w:unhideWhenUsed/>
    <w:qFormat/>
    <w:uiPriority w:val="99"/>
    <w:pPr>
      <w:spacing w:line="566" w:lineRule="exact"/>
      <w:jc w:val="center"/>
    </w:pPr>
    <w:rPr>
      <w:rFonts w:ascii="Calibri" w:hAnsi="Calibri"/>
    </w:rPr>
  </w:style>
  <w:style w:type="paragraph" w:customStyle="1" w:styleId="197">
    <w:name w:val="默认段落字体 Para Char Char Char Char Char Char Char Char Char Char Char Char Char Char Char Char Char Char Char"/>
    <w:basedOn w:val="1"/>
    <w:qFormat/>
    <w:uiPriority w:val="0"/>
  </w:style>
  <w:style w:type="paragraph" w:customStyle="1" w:styleId="198">
    <w:name w:val="Aufzaehlung"/>
    <w:basedOn w:val="1"/>
    <w:autoRedefine/>
    <w:qFormat/>
    <w:uiPriority w:val="0"/>
    <w:pPr>
      <w:widowControl/>
      <w:spacing w:line="240" w:lineRule="atLeast"/>
      <w:ind w:left="284" w:hanging="284"/>
      <w:jc w:val="left"/>
    </w:pPr>
    <w:rPr>
      <w:rFonts w:ascii="Arial" w:hAnsi="Arial"/>
      <w:kern w:val="0"/>
      <w:sz w:val="22"/>
      <w:lang w:eastAsia="en-US"/>
    </w:rPr>
  </w:style>
  <w:style w:type="paragraph" w:customStyle="1" w:styleId="199">
    <w:name w:val="普通 (Web)"/>
    <w:basedOn w:val="1"/>
    <w:autoRedefine/>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00">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01">
    <w:name w:val="Style10"/>
    <w:basedOn w:val="1"/>
    <w:unhideWhenUsed/>
    <w:qFormat/>
    <w:uiPriority w:val="99"/>
    <w:pPr>
      <w:spacing w:line="538" w:lineRule="exact"/>
    </w:pPr>
    <w:rPr>
      <w:rFonts w:ascii="Calibri" w:hAnsi="Calibri"/>
    </w:rPr>
  </w:style>
  <w:style w:type="paragraph" w:customStyle="1" w:styleId="202">
    <w:name w:val="样式 图表 + 五号"/>
    <w:basedOn w:val="1"/>
    <w:autoRedefine/>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03">
    <w:name w:val="Style71"/>
    <w:basedOn w:val="1"/>
    <w:unhideWhenUsed/>
    <w:qFormat/>
    <w:uiPriority w:val="99"/>
    <w:pPr>
      <w:spacing w:line="538" w:lineRule="exact"/>
      <w:ind w:firstLine="101"/>
    </w:pPr>
    <w:rPr>
      <w:rFonts w:ascii="Calibri" w:hAnsi="Calibri"/>
    </w:rPr>
  </w:style>
  <w:style w:type="paragraph" w:customStyle="1" w:styleId="204">
    <w:name w:val="_Style 36"/>
    <w:qFormat/>
    <w:uiPriority w:val="0"/>
    <w:rPr>
      <w:rFonts w:ascii="Times New Roman" w:hAnsi="Times New Roman" w:eastAsia="宋体" w:cs="Times New Roman"/>
      <w:kern w:val="2"/>
      <w:sz w:val="21"/>
      <w:szCs w:val="24"/>
      <w:lang w:val="en-US" w:eastAsia="zh-CN" w:bidi="ar-SA"/>
    </w:rPr>
  </w:style>
  <w:style w:type="paragraph" w:customStyle="1" w:styleId="205">
    <w:name w:val="Style64"/>
    <w:basedOn w:val="1"/>
    <w:unhideWhenUsed/>
    <w:qFormat/>
    <w:uiPriority w:val="99"/>
    <w:rPr>
      <w:rFonts w:ascii="Calibri" w:hAnsi="Calibri"/>
    </w:rPr>
  </w:style>
  <w:style w:type="paragraph" w:customStyle="1" w:styleId="206">
    <w:name w:val="Style68"/>
    <w:basedOn w:val="1"/>
    <w:autoRedefine/>
    <w:unhideWhenUsed/>
    <w:qFormat/>
    <w:uiPriority w:val="99"/>
    <w:pPr>
      <w:spacing w:line="547" w:lineRule="exact"/>
    </w:pPr>
    <w:rPr>
      <w:rFonts w:ascii="Calibri" w:hAnsi="Calibri"/>
    </w:rPr>
  </w:style>
  <w:style w:type="paragraph" w:customStyle="1" w:styleId="207">
    <w:name w:val="List Paragraph1"/>
    <w:basedOn w:val="1"/>
    <w:autoRedefine/>
    <w:qFormat/>
    <w:uiPriority w:val="0"/>
    <w:pPr>
      <w:ind w:firstLine="420" w:firstLineChars="200"/>
    </w:pPr>
    <w:rPr>
      <w:rFonts w:ascii="Calibri" w:hAnsi="Calibri"/>
      <w:szCs w:val="22"/>
    </w:rPr>
  </w:style>
  <w:style w:type="paragraph" w:customStyle="1" w:styleId="208">
    <w:name w:val="Style29"/>
    <w:basedOn w:val="1"/>
    <w:autoRedefine/>
    <w:unhideWhenUsed/>
    <w:qFormat/>
    <w:uiPriority w:val="99"/>
    <w:pPr>
      <w:spacing w:line="547" w:lineRule="exact"/>
      <w:ind w:firstLine="547"/>
    </w:pPr>
    <w:rPr>
      <w:rFonts w:ascii="Calibri" w:hAnsi="Calibri"/>
    </w:rPr>
  </w:style>
  <w:style w:type="paragraph" w:customStyle="1" w:styleId="20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10">
    <w:name w:val="正文_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Style21"/>
    <w:basedOn w:val="1"/>
    <w:autoRedefine/>
    <w:unhideWhenUsed/>
    <w:qFormat/>
    <w:uiPriority w:val="99"/>
    <w:pPr>
      <w:spacing w:line="566" w:lineRule="exact"/>
      <w:ind w:firstLine="682"/>
    </w:pPr>
    <w:rPr>
      <w:rFonts w:ascii="Calibri" w:hAnsi="Calibri"/>
    </w:rPr>
  </w:style>
  <w:style w:type="paragraph" w:customStyle="1" w:styleId="212">
    <w:name w:val="Style15"/>
    <w:basedOn w:val="1"/>
    <w:autoRedefine/>
    <w:unhideWhenUsed/>
    <w:qFormat/>
    <w:uiPriority w:val="99"/>
    <w:pPr>
      <w:spacing w:line="557" w:lineRule="exact"/>
      <w:ind w:firstLine="672"/>
    </w:pPr>
    <w:rPr>
      <w:rFonts w:ascii="Calibri" w:hAnsi="Calibri"/>
    </w:rPr>
  </w:style>
  <w:style w:type="paragraph" w:customStyle="1" w:styleId="213">
    <w:name w:val="Style45"/>
    <w:basedOn w:val="1"/>
    <w:autoRedefine/>
    <w:unhideWhenUsed/>
    <w:qFormat/>
    <w:uiPriority w:val="99"/>
    <w:rPr>
      <w:rFonts w:ascii="Calibri" w:hAnsi="Calibri"/>
    </w:rPr>
  </w:style>
  <w:style w:type="paragraph" w:customStyle="1" w:styleId="214">
    <w:name w:val="修订21"/>
    <w:qFormat/>
    <w:uiPriority w:val="0"/>
    <w:rPr>
      <w:rFonts w:ascii="Times New Roman" w:hAnsi="Times New Roman" w:eastAsia="宋体" w:cs="Times New Roman"/>
      <w:kern w:val="2"/>
      <w:sz w:val="21"/>
      <w:szCs w:val="24"/>
      <w:lang w:val="en-US" w:eastAsia="zh-CN" w:bidi="ar-SA"/>
    </w:rPr>
  </w:style>
  <w:style w:type="paragraph" w:customStyle="1" w:styleId="215">
    <w:name w:val="Style24"/>
    <w:basedOn w:val="1"/>
    <w:unhideWhenUsed/>
    <w:qFormat/>
    <w:uiPriority w:val="99"/>
    <w:rPr>
      <w:rFonts w:ascii="Calibri" w:hAnsi="Calibri"/>
    </w:rPr>
  </w:style>
  <w:style w:type="paragraph" w:customStyle="1" w:styleId="216">
    <w:name w:val="Style23"/>
    <w:basedOn w:val="1"/>
    <w:autoRedefine/>
    <w:unhideWhenUsed/>
    <w:qFormat/>
    <w:uiPriority w:val="99"/>
    <w:rPr>
      <w:rFonts w:ascii="Calibri" w:hAnsi="Calibri"/>
    </w:rPr>
  </w:style>
  <w:style w:type="paragraph" w:customStyle="1" w:styleId="217">
    <w:name w:val="列出段落2"/>
    <w:basedOn w:val="1"/>
    <w:autoRedefine/>
    <w:qFormat/>
    <w:uiPriority w:val="0"/>
    <w:pPr>
      <w:ind w:firstLine="200" w:firstLineChars="200"/>
    </w:pPr>
    <w:rPr>
      <w:rFonts w:ascii="Calibri" w:hAnsi="Calibri"/>
      <w:szCs w:val="22"/>
    </w:rPr>
  </w:style>
  <w:style w:type="paragraph" w:customStyle="1" w:styleId="218">
    <w:name w:val="Style13"/>
    <w:basedOn w:val="1"/>
    <w:autoRedefine/>
    <w:unhideWhenUsed/>
    <w:qFormat/>
    <w:uiPriority w:val="99"/>
    <w:rPr>
      <w:rFonts w:ascii="Calibri" w:hAnsi="Calibri"/>
    </w:rPr>
  </w:style>
  <w:style w:type="paragraph" w:customStyle="1" w:styleId="219">
    <w:name w:val="Style44"/>
    <w:basedOn w:val="1"/>
    <w:autoRedefine/>
    <w:unhideWhenUsed/>
    <w:qFormat/>
    <w:uiPriority w:val="99"/>
    <w:rPr>
      <w:rFonts w:ascii="Calibri" w:hAnsi="Calibri"/>
    </w:rPr>
  </w:style>
  <w:style w:type="paragraph" w:customStyle="1" w:styleId="220">
    <w:name w:val="Style4"/>
    <w:basedOn w:val="1"/>
    <w:unhideWhenUsed/>
    <w:qFormat/>
    <w:uiPriority w:val="99"/>
    <w:rPr>
      <w:rFonts w:ascii="Calibri" w:hAnsi="Calibri"/>
    </w:rPr>
  </w:style>
  <w:style w:type="paragraph" w:customStyle="1" w:styleId="221">
    <w:name w:val="_Style 39"/>
    <w:basedOn w:val="159"/>
    <w:autoRedefine/>
    <w:qFormat/>
    <w:uiPriority w:val="0"/>
  </w:style>
  <w:style w:type="paragraph" w:customStyle="1" w:styleId="222">
    <w:name w:val="Default"/>
    <w:autoRedefine/>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header" Target="header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151</Pages>
  <Words>90268</Words>
  <Characters>95059</Characters>
  <Lines>776</Lines>
  <Paragraphs>218</Paragraphs>
  <TotalTime>13</TotalTime>
  <ScaleCrop>false</ScaleCrop>
  <LinksUpToDate>false</LinksUpToDate>
  <CharactersWithSpaces>111951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2021-08-16T10:42:00Z</dcterms:created>
  <dc:creator>User</dc:creator>
  <cp:lastModifiedBy>Administrator</cp:lastModifiedBy>
  <cp:lastPrinted>2024-05-06T19:46:00Z</cp:lastPrinted>
  <dcterms:modified xsi:type="dcterms:W3CDTF">2024-05-13T06:54:28Z</dcterms:modified>
  <dc:title>第二章  投标人须知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81D1ADC5853F41DFB8BF505505E5D766_13</vt:lpwstr>
  </property>
</Properties>
</file>