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Times New Roman" w:eastAsia="黑体"/>
          <w:color w:val="auto"/>
          <w:sz w:val="32"/>
          <w:highlight w:val="none"/>
        </w:rPr>
      </w:pPr>
      <w:bookmarkStart w:id="0" w:name="_GoBack"/>
      <w:bookmarkEnd w:id="0"/>
      <w:r>
        <w:rPr>
          <w:rFonts w:hint="eastAsia" w:ascii="黑体" w:hAnsi="Times New Roman" w:eastAsia="黑体"/>
          <w:color w:val="auto"/>
          <w:sz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经评审的最低投标价法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Times New Roman" w:eastAsia="黑体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Times New Roman" w:eastAsia="黑体"/>
          <w:color w:val="auto"/>
          <w:sz w:val="32"/>
          <w:highlight w:val="none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具有通用技术、性能标准或者招标人对其技术、性能没有特殊要求的工程。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（一）符合下列情形之一的，采用经评审的最低投标价法：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1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 xml:space="preserve">. </w:t>
      </w:r>
      <w:r>
        <w:rPr>
          <w:rFonts w:ascii="仿宋_GB2312" w:hAnsi="仿宋_GB2312" w:eastAsia="仿宋_GB2312"/>
          <w:color w:val="auto"/>
          <w:sz w:val="32"/>
          <w:highlight w:val="none"/>
        </w:rPr>
        <w:t>施工总承包工程单项最高投标限价在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2000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万元以下的；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.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 xml:space="preserve"> </w:t>
      </w:r>
      <w:r>
        <w:rPr>
          <w:rFonts w:ascii="仿宋_GB2312" w:hAnsi="仿宋_GB2312" w:eastAsia="仿宋_GB2312"/>
          <w:color w:val="auto"/>
          <w:sz w:val="32"/>
          <w:highlight w:val="none"/>
        </w:rPr>
        <w:t>专业承包工程单项最高投标限价在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800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（二）符合下列情形之一的，可以采用经评审的最低投标价法：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1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 xml:space="preserve">. </w:t>
      </w:r>
      <w:r>
        <w:rPr>
          <w:rFonts w:ascii="仿宋_GB2312" w:hAnsi="仿宋_GB2312" w:eastAsia="仿宋_GB2312"/>
          <w:color w:val="auto"/>
          <w:sz w:val="32"/>
          <w:highlight w:val="none"/>
        </w:rPr>
        <w:t>施工总承包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工程</w:t>
      </w:r>
      <w:r>
        <w:rPr>
          <w:rFonts w:ascii="仿宋_GB2312" w:hAnsi="仿宋_GB2312" w:eastAsia="仿宋_GB2312"/>
          <w:color w:val="auto"/>
          <w:sz w:val="32"/>
          <w:highlight w:val="none"/>
        </w:rPr>
        <w:t>单项最高投标限价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超过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2000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万元至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5000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万元以下的；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2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 xml:space="preserve">. </w:t>
      </w:r>
      <w:r>
        <w:rPr>
          <w:rFonts w:ascii="仿宋_GB2312" w:hAnsi="仿宋_GB2312" w:eastAsia="仿宋_GB2312"/>
          <w:color w:val="auto"/>
          <w:sz w:val="32"/>
          <w:highlight w:val="none"/>
        </w:rPr>
        <w:t>专业承包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工程</w:t>
      </w:r>
      <w:r>
        <w:rPr>
          <w:rFonts w:ascii="仿宋_GB2312" w:hAnsi="仿宋_GB2312" w:eastAsia="仿宋_GB2312"/>
          <w:color w:val="auto"/>
          <w:sz w:val="32"/>
          <w:highlight w:val="none"/>
        </w:rPr>
        <w:t>单项最高投标限价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超过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800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万元至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1500</w:t>
      </w:r>
      <w:r>
        <w:rPr>
          <w:rFonts w:ascii="仿宋_GB2312" w:hAnsi="仿宋_GB2312" w:eastAsia="仿宋_GB2312"/>
          <w:color w:val="auto"/>
          <w:sz w:val="32"/>
          <w:highlight w:val="none"/>
        </w:rPr>
        <w:t>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黑体" w:hAnsi="Times New Roman" w:eastAsia="黑体"/>
          <w:color w:val="auto"/>
          <w:sz w:val="32"/>
          <w:highlight w:val="none"/>
        </w:rPr>
      </w:pPr>
      <w:r>
        <w:rPr>
          <w:rFonts w:hint="eastAsia" w:ascii="黑体" w:hAnsi="Times New Roman" w:eastAsia="黑体"/>
          <w:color w:val="auto"/>
          <w:sz w:val="32"/>
          <w:highlight w:val="none"/>
        </w:rPr>
        <w:t>二、评审程序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评审程序如下：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1．施工组织设计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评审。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按照本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暂行办法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第十六条以及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相关评审表格和招标文件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进行评审。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2．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按照本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暂行办法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条至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第十四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条以及招标文件规定，对投标文件的形式、投标人资格和实质性响应招标文件情况进行评审。对不符合相关规定和要求的投标文件予以否决。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3．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业绩及信用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评审。按照本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暂行办法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十八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十九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条以及相关评审表格和招标文件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进行评审。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4. 按照本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暂行办法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第十五条确定进入下一步评审的投标人。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5．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报价评审。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5.1按照本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暂行办法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第二十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条至第二十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条的规定进行评审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对报价低于成本的投标人予以否决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5.2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按照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附</w:t>
      </w:r>
      <w:r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CN"/>
        </w:rPr>
        <w:t>表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5</w:t>
      </w:r>
      <w:r>
        <w:rPr>
          <w:rFonts w:hint="eastAsia" w:ascii="Times New Roman" w:hAnsi="Times New Roman" w:eastAsia="仿宋_GB2312"/>
          <w:color w:val="auto"/>
          <w:sz w:val="32"/>
          <w:highlight w:val="none"/>
          <w:lang w:val="en-US" w:eastAsia="zh-CN"/>
        </w:rPr>
        <w:t>计算本次报价评审基准价，计算各投标人投标报价得分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如进入投标报价评审的所有投标人投标报价得分均为0分的，重新招标。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6</w:t>
      </w:r>
      <w:r>
        <w:rPr>
          <w:rFonts w:ascii="仿宋_GB2312" w:hAnsi="仿宋_GB2312" w:eastAsia="仿宋_GB2312"/>
          <w:color w:val="auto"/>
          <w:sz w:val="32"/>
          <w:highlight w:val="none"/>
        </w:rPr>
        <w:t>．汇总评分结果。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C= J</w:t>
      </w:r>
      <w:r>
        <w:rPr>
          <w:rFonts w:ascii="Times New Roman" w:hAnsi="Times New Roman" w:eastAsia="仿宋_GB2312"/>
          <w:color w:val="auto"/>
          <w:sz w:val="32"/>
          <w:highlight w:val="none"/>
          <w:vertAlign w:val="subscript"/>
        </w:rPr>
        <w:t>1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×G+J</w:t>
      </w:r>
      <w:r>
        <w:rPr>
          <w:rFonts w:ascii="Times New Roman" w:hAnsi="Times New Roman" w:eastAsia="仿宋_GB2312"/>
          <w:color w:val="auto"/>
          <w:sz w:val="32"/>
          <w:highlight w:val="none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×H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仿宋_GB2312" w:hAnsi="仿宋_GB2312" w:eastAsia="仿宋_GB2312"/>
          <w:color w:val="auto"/>
          <w:sz w:val="32"/>
          <w:highlight w:val="none"/>
        </w:rPr>
        <w:t>其中：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C——</w:t>
      </w:r>
      <w:r>
        <w:rPr>
          <w:rFonts w:ascii="仿宋_GB2312" w:hAnsi="仿宋_GB2312" w:eastAsia="仿宋_GB2312"/>
          <w:color w:val="auto"/>
          <w:sz w:val="32"/>
          <w:highlight w:val="none"/>
        </w:rPr>
        <w:t>评标总得分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eastAsia="仿宋_GB2312" w:cs="宋体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G——</w:t>
      </w:r>
      <w:r>
        <w:rPr>
          <w:rFonts w:hint="eastAsia" w:ascii="仿宋_GB2312" w:hAnsi="Times New Roman" w:eastAsia="仿宋_GB2312"/>
          <w:color w:val="auto"/>
          <w:sz w:val="32"/>
          <w:highlight w:val="none"/>
        </w:rPr>
        <w:t>业绩及信用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H——</w:t>
      </w:r>
      <w:r>
        <w:rPr>
          <w:rFonts w:hint="eastAsia" w:ascii="Times New Roman" w:hAnsi="Times New Roman" w:eastAsia="仿宋_GB2312"/>
          <w:color w:val="auto"/>
          <w:sz w:val="32"/>
          <w:highlight w:val="none"/>
        </w:rPr>
        <w:t>投标</w:t>
      </w:r>
      <w:r>
        <w:rPr>
          <w:rFonts w:ascii="仿宋_GB2312" w:hAnsi="仿宋_GB2312" w:eastAsia="仿宋_GB2312"/>
          <w:color w:val="auto"/>
          <w:sz w:val="32"/>
          <w:highlight w:val="none"/>
        </w:rPr>
        <w:t>报价评审得分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highlight w:val="none"/>
        </w:rPr>
        <w:t>J</w:t>
      </w:r>
      <w:r>
        <w:rPr>
          <w:rFonts w:ascii="Times New Roman" w:hAnsi="Times New Roman" w:eastAsia="仿宋_GB2312"/>
          <w:color w:val="auto"/>
          <w:sz w:val="32"/>
          <w:highlight w:val="none"/>
          <w:vertAlign w:val="subscript"/>
        </w:rPr>
        <w:t>1</w:t>
      </w:r>
      <w:r>
        <w:rPr>
          <w:rFonts w:ascii="仿宋_GB2312" w:hAnsi="仿宋_GB2312" w:eastAsia="仿宋_GB2312"/>
          <w:color w:val="auto"/>
          <w:sz w:val="32"/>
          <w:highlight w:val="none"/>
        </w:rPr>
        <w:t>、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J</w:t>
      </w:r>
      <w:r>
        <w:rPr>
          <w:rFonts w:ascii="Times New Roman" w:hAnsi="Times New Roman" w:eastAsia="仿宋_GB2312"/>
          <w:color w:val="auto"/>
          <w:sz w:val="32"/>
          <w:highlight w:val="none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——</w:t>
      </w:r>
      <w:r>
        <w:rPr>
          <w:rFonts w:ascii="仿宋_GB2312" w:hAnsi="仿宋_GB2312" w:eastAsia="仿宋_GB2312"/>
          <w:color w:val="auto"/>
          <w:sz w:val="32"/>
          <w:highlight w:val="none"/>
        </w:rPr>
        <w:t>各项评审因素的权重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ascii="黑体" w:hAnsi="Times New Roman" w:eastAsia="黑体"/>
          <w:color w:val="auto"/>
          <w:sz w:val="32"/>
          <w:highlight w:val="none"/>
        </w:rPr>
      </w:pPr>
      <w:r>
        <w:rPr>
          <w:rFonts w:hint="eastAsia" w:ascii="黑体" w:hAnsi="Times New Roman" w:eastAsia="黑体"/>
          <w:color w:val="auto"/>
          <w:sz w:val="32"/>
          <w:highlight w:val="none"/>
          <w:lang w:val="en-US" w:eastAsia="zh-CN"/>
        </w:rPr>
        <w:t>三</w:t>
      </w:r>
      <w:r>
        <w:rPr>
          <w:rFonts w:hint="eastAsia" w:ascii="黑体" w:hAnsi="Times New Roman" w:eastAsia="黑体"/>
          <w:color w:val="auto"/>
          <w:sz w:val="32"/>
          <w:highlight w:val="none"/>
        </w:rPr>
        <w:t>、各项评审因素权重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招标人根据以下评审因素权重表在招标文件中明确评审因素权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780"/>
        <w:gridCol w:w="3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32"/>
                <w:highlight w:val="none"/>
              </w:rPr>
              <w:t>序号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32"/>
                <w:highlight w:val="none"/>
              </w:rPr>
              <w:t>评审因素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32"/>
                <w:highlight w:val="none"/>
              </w:rPr>
              <w:t>权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20" w:lineRule="exact"/>
              <w:jc w:val="center"/>
              <w:rPr>
                <w:rFonts w:asci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业绩及信用</w:t>
            </w:r>
            <w:r>
              <w:rPr>
                <w:rFonts w:ascii="Times New Roman" w:hAnsi="Times New Roman" w:eastAsia="仿宋_GB2312"/>
                <w:color w:val="auto"/>
                <w:sz w:val="32"/>
                <w:highlight w:val="none"/>
              </w:rPr>
              <w:t>J</w:t>
            </w:r>
            <w:r>
              <w:rPr>
                <w:rFonts w:ascii="Times New Roman" w:hAnsi="Times New Roman" w:eastAsia="仿宋_GB2312"/>
                <w:color w:val="auto"/>
                <w:sz w:val="32"/>
                <w:highlight w:val="none"/>
                <w:vertAlign w:val="subscript"/>
              </w:rPr>
              <w:t>1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strike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0.</w:t>
            </w:r>
            <w:r>
              <w:rPr>
                <w:rFonts w:ascii="仿宋_GB2312" w:hAnsi="Times New Roman" w:eastAsia="仿宋_GB2312"/>
                <w:color w:val="auto"/>
                <w:sz w:val="32"/>
                <w:highlight w:val="none"/>
              </w:rPr>
              <w:t>1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5—0.</w:t>
            </w:r>
            <w:r>
              <w:rPr>
                <w:rFonts w:ascii="仿宋_GB2312" w:hAnsi="Times New Roman" w:eastAsia="仿宋_GB2312"/>
                <w:color w:val="auto"/>
                <w:sz w:val="32"/>
                <w:highlight w:val="none"/>
              </w:rPr>
              <w:t>3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2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color w:val="auto"/>
                <w:spacing w:val="-14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投标报价</w:t>
            </w:r>
            <w:r>
              <w:rPr>
                <w:rFonts w:ascii="Times New Roman" w:hAnsi="Times New Roman" w:eastAsia="仿宋_GB2312"/>
                <w:color w:val="auto"/>
                <w:sz w:val="32"/>
                <w:highlight w:val="none"/>
              </w:rPr>
              <w:t>J</w:t>
            </w:r>
            <w:r>
              <w:rPr>
                <w:rFonts w:ascii="Times New Roman" w:hAnsi="Times New Roman" w:eastAsia="仿宋_GB2312"/>
                <w:color w:val="auto"/>
                <w:sz w:val="32"/>
                <w:highlight w:val="none"/>
                <w:vertAlign w:val="subscript"/>
              </w:rPr>
              <w:t>2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strike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0.</w:t>
            </w:r>
            <w:r>
              <w:rPr>
                <w:rFonts w:ascii="仿宋_GB2312" w:hAnsi="Times New Roman" w:eastAsia="仿宋_GB2312"/>
                <w:color w:val="auto"/>
                <w:sz w:val="32"/>
                <w:highlight w:val="none"/>
              </w:rPr>
              <w:t>7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0—0.</w:t>
            </w:r>
            <w:r>
              <w:rPr>
                <w:rFonts w:ascii="仿宋_GB2312" w:hAnsi="Times New Roman" w:eastAsia="仿宋_GB2312"/>
                <w:color w:val="auto"/>
                <w:sz w:val="32"/>
                <w:highlight w:val="none"/>
              </w:rPr>
              <w:t>8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91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合  计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宋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highlight w:val="none"/>
              </w:rPr>
              <w:t>1</w:t>
            </w:r>
          </w:p>
        </w:tc>
      </w:tr>
    </w:tbl>
    <w:p>
      <w:pPr>
        <w:spacing w:line="520" w:lineRule="exact"/>
        <w:ind w:firstLine="640" w:firstLineChars="200"/>
        <w:rPr>
          <w:rFonts w:ascii="黑体" w:hAnsi="Times New Roman" w:eastAsia="黑体"/>
          <w:color w:val="auto"/>
          <w:sz w:val="32"/>
          <w:highlight w:val="none"/>
        </w:rPr>
      </w:pPr>
      <w:r>
        <w:rPr>
          <w:rFonts w:hint="eastAsia" w:ascii="黑体" w:hAnsi="Times New Roman" w:eastAsia="黑体"/>
          <w:color w:val="auto"/>
          <w:sz w:val="32"/>
          <w:highlight w:val="none"/>
          <w:lang w:val="en-US" w:eastAsia="zh-CN"/>
        </w:rPr>
        <w:t>四</w:t>
      </w:r>
      <w:r>
        <w:rPr>
          <w:rFonts w:hint="eastAsia" w:ascii="黑体" w:hAnsi="Times New Roman" w:eastAsia="黑体"/>
          <w:color w:val="auto"/>
          <w:sz w:val="32"/>
          <w:highlight w:val="none"/>
        </w:rPr>
        <w:t>、中标候选人的确定</w:t>
      </w:r>
    </w:p>
    <w:p>
      <w:pPr>
        <w:spacing w:line="520" w:lineRule="exact"/>
        <w:ind w:firstLine="640" w:firstLineChars="200"/>
      </w:pPr>
      <w:r>
        <w:rPr>
          <w:rFonts w:ascii="仿宋_GB2312" w:hAnsi="仿宋_GB2312" w:eastAsia="仿宋_GB2312"/>
          <w:color w:val="auto"/>
          <w:sz w:val="32"/>
          <w:highlight w:val="none"/>
        </w:rPr>
        <w:t>按照评标总得分从高至低确定投标人排序。根据招标文件的要求，推荐不超过</w:t>
      </w:r>
      <w:r>
        <w:rPr>
          <w:rFonts w:ascii="Times New Roman" w:hAnsi="Times New Roman" w:eastAsia="仿宋_GB2312"/>
          <w:color w:val="auto"/>
          <w:sz w:val="32"/>
          <w:highlight w:val="none"/>
        </w:rPr>
        <w:t>3</w:t>
      </w:r>
      <w:r>
        <w:rPr>
          <w:rFonts w:ascii="仿宋_GB2312" w:hAnsi="仿宋_GB2312" w:eastAsia="仿宋_GB2312"/>
          <w:color w:val="auto"/>
          <w:sz w:val="32"/>
          <w:highlight w:val="none"/>
        </w:rPr>
        <w:t>个有排序的中标候选人，招标人按照中标候选人的排序确定中标人。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210" w:rightChars="100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NmYxNzRmZmJmZWZlZGE5Mzk4NDEwYjI1MWY2NTEifQ=="/>
  </w:docVars>
  <w:rsids>
    <w:rsidRoot w:val="00000000"/>
    <w:rsid w:val="040E27E3"/>
    <w:rsid w:val="04AB6B0D"/>
    <w:rsid w:val="05F468AC"/>
    <w:rsid w:val="08D30A24"/>
    <w:rsid w:val="0B4B2F6E"/>
    <w:rsid w:val="0B7B6D62"/>
    <w:rsid w:val="1D956CDD"/>
    <w:rsid w:val="1F8E58C7"/>
    <w:rsid w:val="3AB60E33"/>
    <w:rsid w:val="4B8D1332"/>
    <w:rsid w:val="4FDD0657"/>
    <w:rsid w:val="5CB0575F"/>
    <w:rsid w:val="60B24C81"/>
    <w:rsid w:val="72514A93"/>
    <w:rsid w:val="782D1AFA"/>
    <w:rsid w:val="7A201C3D"/>
    <w:rsid w:val="7B8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2024-03-01T03:59:00Z</dcterms:created>
  <dc:creator>ttlan</dc:creator>
  <cp:lastModifiedBy>Administrator</cp:lastModifiedBy>
  <cp:lastPrinted>2024-03-20T08:01:00Z</cp:lastPrinted>
  <dcterms:modified xsi:type="dcterms:W3CDTF">2024-05-13T06:46:24Z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05FA819DD57A4BAF8646F088F77B3A8A_13</vt:lpwstr>
  </property>
</Properties>
</file>