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sz w:val="56"/>
          <w:szCs w:val="56"/>
        </w:rPr>
      </w:pPr>
    </w:p>
    <w:p>
      <w:pPr>
        <w:pStyle w:val="11"/>
        <w:jc w:val="center"/>
        <w:rPr>
          <w:sz w:val="56"/>
          <w:szCs w:val="56"/>
        </w:rPr>
      </w:pPr>
    </w:p>
    <w:p>
      <w:pPr>
        <w:pStyle w:val="11"/>
        <w:jc w:val="center"/>
        <w:rPr>
          <w:sz w:val="84"/>
          <w:szCs w:val="84"/>
        </w:rPr>
      </w:pPr>
    </w:p>
    <w:p>
      <w:pPr>
        <w:pStyle w:val="11"/>
        <w:jc w:val="center"/>
        <w:rPr>
          <w:sz w:val="84"/>
          <w:szCs w:val="84"/>
        </w:rPr>
      </w:pPr>
    </w:p>
    <w:p>
      <w:pPr>
        <w:pStyle w:val="11"/>
        <w:jc w:val="center"/>
        <w:rPr>
          <w:sz w:val="84"/>
          <w:szCs w:val="84"/>
        </w:rPr>
      </w:pPr>
      <w:r>
        <w:rPr>
          <w:rFonts w:hint="eastAsia"/>
          <w:sz w:val="84"/>
          <w:szCs w:val="84"/>
        </w:rPr>
        <w:t>2020年度</w:t>
      </w:r>
    </w:p>
    <w:p>
      <w:pPr>
        <w:pStyle w:val="11"/>
        <w:jc w:val="center"/>
        <w:rPr>
          <w:sz w:val="84"/>
          <w:szCs w:val="84"/>
        </w:rPr>
      </w:pPr>
      <w:r>
        <w:rPr>
          <w:rFonts w:hint="eastAsia"/>
          <w:sz w:val="84"/>
          <w:szCs w:val="84"/>
        </w:rPr>
        <w:t>绿色建筑产业发展服务中心部门决算</w:t>
      </w: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32"/>
          <w:szCs w:val="32"/>
        </w:rPr>
      </w:pPr>
    </w:p>
    <w:p>
      <w:pPr>
        <w:pStyle w:val="11"/>
        <w:jc w:val="center"/>
        <w:rPr>
          <w:sz w:val="32"/>
          <w:szCs w:val="32"/>
        </w:rPr>
      </w:pPr>
    </w:p>
    <w:p>
      <w:pPr>
        <w:pStyle w:val="11"/>
        <w:jc w:val="center"/>
        <w:rPr>
          <w:sz w:val="32"/>
          <w:szCs w:val="32"/>
        </w:rPr>
      </w:pPr>
    </w:p>
    <w:p>
      <w:pPr>
        <w:pStyle w:val="11"/>
        <w:spacing w:line="540" w:lineRule="exact"/>
        <w:jc w:val="center"/>
        <w:rPr>
          <w:sz w:val="56"/>
          <w:szCs w:val="56"/>
        </w:rPr>
      </w:pPr>
    </w:p>
    <w:p>
      <w:pPr>
        <w:pStyle w:val="11"/>
        <w:spacing w:line="500" w:lineRule="exact"/>
        <w:jc w:val="center"/>
        <w:rPr>
          <w:b/>
          <w:sz w:val="36"/>
          <w:szCs w:val="28"/>
        </w:rPr>
      </w:pPr>
    </w:p>
    <w:p>
      <w:pPr>
        <w:pStyle w:val="11"/>
        <w:spacing w:line="500" w:lineRule="exact"/>
        <w:jc w:val="center"/>
        <w:rPr>
          <w:b/>
          <w:sz w:val="36"/>
          <w:szCs w:val="28"/>
        </w:rPr>
      </w:pPr>
    </w:p>
    <w:p>
      <w:pPr>
        <w:pStyle w:val="11"/>
        <w:spacing w:line="500" w:lineRule="exact"/>
        <w:jc w:val="center"/>
        <w:rPr>
          <w:b/>
          <w:sz w:val="36"/>
          <w:szCs w:val="28"/>
        </w:rPr>
      </w:pPr>
      <w:r>
        <w:rPr>
          <w:rFonts w:hint="eastAsia"/>
          <w:b/>
          <w:sz w:val="36"/>
          <w:szCs w:val="28"/>
        </w:rPr>
        <w:t>目录</w:t>
      </w:r>
    </w:p>
    <w:p>
      <w:pPr>
        <w:pStyle w:val="11"/>
        <w:spacing w:line="500" w:lineRule="exact"/>
        <w:rPr>
          <w:rFonts w:ascii="仿宋_GB2312" w:hAnsi="仿宋_GB2312" w:cs="仿宋_GB2312"/>
          <w:b/>
          <w:sz w:val="28"/>
          <w:szCs w:val="28"/>
        </w:rPr>
      </w:pPr>
      <w:r>
        <w:rPr>
          <w:rFonts w:hint="eastAsia"/>
          <w:b/>
          <w:sz w:val="28"/>
          <w:szCs w:val="28"/>
        </w:rPr>
        <w:t>第一部分绿建中心单位概况</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11"/>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1"/>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1"/>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 xml:space="preserve">     九、国有资本经营预算财政拨款支出决算情况</w:t>
      </w:r>
    </w:p>
    <w:p>
      <w:pPr>
        <w:autoSpaceDE w:val="0"/>
        <w:autoSpaceDN w:val="0"/>
        <w:adjustRightInd w:val="0"/>
        <w:spacing w:line="500" w:lineRule="exact"/>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 xml:space="preserve">     十、关于机关运行经费支出说明</w:t>
      </w:r>
    </w:p>
    <w:p>
      <w:pPr>
        <w:autoSpaceDE w:val="0"/>
        <w:autoSpaceDN w:val="0"/>
        <w:adjustRightInd w:val="0"/>
        <w:spacing w:line="500" w:lineRule="exact"/>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 xml:space="preserve">     十一、一般性支出情况</w:t>
      </w:r>
    </w:p>
    <w:p>
      <w:pPr>
        <w:autoSpaceDE w:val="0"/>
        <w:autoSpaceDN w:val="0"/>
        <w:adjustRightInd w:val="0"/>
        <w:spacing w:line="500" w:lineRule="exact"/>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 xml:space="preserve">     十二、关于政府采购支出说明</w:t>
      </w:r>
    </w:p>
    <w:p>
      <w:pPr>
        <w:autoSpaceDE w:val="0"/>
        <w:autoSpaceDN w:val="0"/>
        <w:adjustRightInd w:val="0"/>
        <w:spacing w:line="500" w:lineRule="exact"/>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 xml:space="preserve">     十三、关于国有资产占用情况说明</w:t>
      </w:r>
    </w:p>
    <w:p>
      <w:pPr>
        <w:autoSpaceDE w:val="0"/>
        <w:autoSpaceDN w:val="0"/>
        <w:adjustRightInd w:val="0"/>
        <w:spacing w:line="500" w:lineRule="exact"/>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 xml:space="preserve">     十四、关于2020年度预算绩效情况的说明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1"/>
        <w:jc w:val="center"/>
        <w:rPr>
          <w:sz w:val="84"/>
          <w:szCs w:val="84"/>
        </w:rPr>
      </w:pPr>
      <w:r>
        <w:rPr>
          <w:rFonts w:hint="eastAsia"/>
          <w:sz w:val="84"/>
          <w:szCs w:val="84"/>
        </w:rPr>
        <w:t>第一部分</w:t>
      </w:r>
    </w:p>
    <w:p>
      <w:pPr>
        <w:pStyle w:val="11"/>
        <w:jc w:val="center"/>
        <w:rPr>
          <w:sz w:val="84"/>
          <w:szCs w:val="84"/>
        </w:rPr>
      </w:pPr>
    </w:p>
    <w:p>
      <w:pPr>
        <w:pStyle w:val="11"/>
        <w:jc w:val="center"/>
        <w:rPr>
          <w:sz w:val="84"/>
          <w:szCs w:val="84"/>
        </w:rPr>
      </w:pPr>
      <w:r>
        <w:rPr>
          <w:rFonts w:hint="eastAsia"/>
          <w:sz w:val="84"/>
          <w:szCs w:val="84"/>
        </w:rPr>
        <w:t>绿建中心单位概况</w:t>
      </w:r>
    </w:p>
    <w:p>
      <w:pPr>
        <w:jc w:val="center"/>
        <w:rPr>
          <w:sz w:val="72"/>
          <w:szCs w:val="72"/>
        </w:rPr>
      </w:pPr>
    </w:p>
    <w:p>
      <w:pPr>
        <w:jc w:val="center"/>
        <w:rPr>
          <w:sz w:val="72"/>
          <w:szCs w:val="72"/>
        </w:rPr>
      </w:pPr>
    </w:p>
    <w:p>
      <w:pPr>
        <w:rPr>
          <w:sz w:val="72"/>
          <w:szCs w:val="72"/>
        </w:rPr>
      </w:pPr>
    </w:p>
    <w:p>
      <w:pPr>
        <w:pStyle w:val="12"/>
        <w:ind w:left="720" w:firstLine="0" w:firstLineChars="0"/>
        <w:jc w:val="left"/>
        <w:rPr>
          <w:rFonts w:hint="eastAsia" w:ascii="黑体" w:hAnsi="黑体" w:eastAsia="黑体"/>
          <w:sz w:val="32"/>
          <w:szCs w:val="32"/>
        </w:rPr>
      </w:pPr>
    </w:p>
    <w:p>
      <w:pPr>
        <w:pStyle w:val="12"/>
        <w:ind w:left="720" w:firstLine="0" w:firstLineChars="0"/>
        <w:jc w:val="left"/>
        <w:rPr>
          <w:rFonts w:hint="eastAsia" w:ascii="黑体" w:hAnsi="黑体" w:eastAsia="黑体"/>
          <w:sz w:val="32"/>
          <w:szCs w:val="32"/>
        </w:rPr>
      </w:pPr>
    </w:p>
    <w:p>
      <w:pPr>
        <w:pStyle w:val="12"/>
        <w:ind w:left="720" w:firstLine="0" w:firstLineChars="0"/>
        <w:jc w:val="left"/>
        <w:rPr>
          <w:rFonts w:hint="eastAsia" w:ascii="黑体" w:hAnsi="黑体" w:eastAsia="黑体"/>
          <w:sz w:val="32"/>
          <w:szCs w:val="32"/>
        </w:rPr>
      </w:pPr>
    </w:p>
    <w:p>
      <w:pPr>
        <w:pStyle w:val="12"/>
        <w:ind w:left="720" w:firstLine="0" w:firstLineChars="0"/>
        <w:jc w:val="left"/>
        <w:rPr>
          <w:rFonts w:hint="eastAsia" w:ascii="黑体" w:hAnsi="黑体" w:eastAsia="黑体"/>
          <w:sz w:val="32"/>
          <w:szCs w:val="32"/>
        </w:rPr>
      </w:pPr>
    </w:p>
    <w:p>
      <w:pPr>
        <w:pStyle w:val="12"/>
        <w:ind w:left="720" w:firstLine="0" w:firstLineChars="0"/>
        <w:jc w:val="left"/>
        <w:rPr>
          <w:rFonts w:ascii="黑体" w:hAnsi="黑体" w:eastAsia="黑体"/>
          <w:sz w:val="32"/>
          <w:szCs w:val="32"/>
        </w:rPr>
      </w:pPr>
    </w:p>
    <w:p>
      <w:pPr>
        <w:pStyle w:val="12"/>
        <w:ind w:firstLine="0" w:firstLineChars="0"/>
        <w:jc w:val="left"/>
        <w:rPr>
          <w:rFonts w:ascii="黑体" w:hAnsi="黑体" w:eastAsia="黑体"/>
          <w:sz w:val="32"/>
          <w:szCs w:val="32"/>
        </w:rPr>
      </w:pPr>
    </w:p>
    <w:p>
      <w:pPr>
        <w:pStyle w:val="12"/>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rPr>
          <w:rFonts w:ascii="仿宋_GB2312" w:eastAsia="仿宋_GB2312"/>
          <w:sz w:val="32"/>
          <w:szCs w:val="32"/>
        </w:rPr>
      </w:pPr>
      <w:r>
        <w:rPr>
          <w:rFonts w:hint="eastAsia" w:ascii="仿宋_GB2312" w:eastAsia="仿宋_GB2312"/>
          <w:sz w:val="32"/>
          <w:szCs w:val="32"/>
        </w:rPr>
        <w:t>（一）为局机关提供支持保障的职能：</w:t>
      </w:r>
    </w:p>
    <w:p>
      <w:pPr>
        <w:rPr>
          <w:rFonts w:ascii="仿宋_GB2312" w:eastAsia="仿宋_GB2312"/>
          <w:sz w:val="32"/>
          <w:szCs w:val="32"/>
        </w:rPr>
      </w:pPr>
      <w:r>
        <w:rPr>
          <w:rFonts w:hint="eastAsia" w:ascii="仿宋_GB2312" w:eastAsia="仿宋_GB2312"/>
          <w:sz w:val="32"/>
          <w:szCs w:val="32"/>
        </w:rPr>
        <w:t>1、负责贯彻执行发展新型墙体材料、散装水泥的法律法规和政策规定；</w:t>
      </w:r>
    </w:p>
    <w:p>
      <w:pPr>
        <w:rPr>
          <w:rFonts w:ascii="仿宋_GB2312" w:eastAsia="仿宋_GB2312"/>
          <w:sz w:val="32"/>
          <w:szCs w:val="32"/>
        </w:rPr>
      </w:pPr>
      <w:r>
        <w:rPr>
          <w:rFonts w:hint="eastAsia" w:ascii="仿宋_GB2312" w:eastAsia="仿宋_GB2312"/>
          <w:sz w:val="32"/>
          <w:szCs w:val="32"/>
        </w:rPr>
        <w:t>2、负责草拟和执行全市墙体材料革新、建筑节能推广以及散装水泥、预拌混凝土、预拌砂浆发展的总体规划和年度计划；</w:t>
      </w:r>
    </w:p>
    <w:p>
      <w:pPr>
        <w:rPr>
          <w:rFonts w:ascii="仿宋_GB2312" w:eastAsia="仿宋_GB2312"/>
          <w:sz w:val="32"/>
          <w:szCs w:val="32"/>
        </w:rPr>
      </w:pPr>
      <w:r>
        <w:rPr>
          <w:rFonts w:hint="eastAsia" w:ascii="仿宋_GB2312" w:eastAsia="仿宋_GB2312"/>
          <w:sz w:val="32"/>
          <w:szCs w:val="32"/>
        </w:rPr>
        <w:t>3、负责推广新型墙体材料和发展绿色墙体材料，制订实施全市城市“限粘”和县城“禁实”工作方案，组织编制利用废渣生产新型墙体材料计划，参与使用新型墙体材料的建筑工程竣工验收。</w:t>
      </w:r>
    </w:p>
    <w:p>
      <w:pPr>
        <w:rPr>
          <w:rFonts w:ascii="仿宋_GB2312" w:eastAsia="仿宋_GB2312"/>
          <w:sz w:val="32"/>
          <w:szCs w:val="32"/>
        </w:rPr>
      </w:pPr>
      <w:r>
        <w:rPr>
          <w:rFonts w:hint="eastAsia" w:ascii="仿宋_GB2312" w:eastAsia="仿宋_GB2312"/>
          <w:sz w:val="32"/>
          <w:szCs w:val="32"/>
        </w:rPr>
        <w:t>（二）面向社会提供公益服务的职能：</w:t>
      </w:r>
    </w:p>
    <w:p>
      <w:pPr>
        <w:rPr>
          <w:rFonts w:ascii="仿宋_GB2312" w:eastAsia="仿宋_GB2312"/>
          <w:sz w:val="32"/>
          <w:szCs w:val="32"/>
        </w:rPr>
      </w:pPr>
      <w:r>
        <w:rPr>
          <w:rFonts w:hint="eastAsia" w:ascii="仿宋_GB2312" w:eastAsia="仿宋_GB2312"/>
          <w:sz w:val="32"/>
          <w:szCs w:val="32"/>
        </w:rPr>
        <w:t>1、负责新型墙体材料产品升级认定工作，监督检查新型墙体材料的产品质量和使用；指导全市新建、改建、扩建新型墙体材料项目产品研发、生产技术和工艺；指导企业利用废渣生产新型墙体材料和本行业淘汰落后产能工作；</w:t>
      </w:r>
    </w:p>
    <w:p>
      <w:pPr>
        <w:rPr>
          <w:rFonts w:ascii="仿宋_GB2312" w:eastAsia="仿宋_GB2312"/>
          <w:sz w:val="32"/>
          <w:szCs w:val="32"/>
        </w:rPr>
      </w:pPr>
      <w:r>
        <w:rPr>
          <w:rFonts w:hint="eastAsia" w:ascii="仿宋_GB2312" w:eastAsia="仿宋_GB2312"/>
          <w:sz w:val="32"/>
          <w:szCs w:val="32"/>
        </w:rPr>
        <w:t>2、负责指导协调全市散装水泥、预拌混凝土、预拌砂浆的生产、运输、使用以及新建、扩建预拌混凝土和预拌砂浆项目工作，监督检查散装水泥、预拌混凝土和预拌砂浆生产质量，组织实施禁止市区现场搅拌混凝土和现场搅拌砂浆具体工作；</w:t>
      </w:r>
    </w:p>
    <w:p>
      <w:pPr>
        <w:rPr>
          <w:rFonts w:ascii="仿宋_GB2312" w:eastAsia="仿宋_GB2312" w:hAnsiTheme="minorEastAsia"/>
          <w:sz w:val="28"/>
          <w:szCs w:val="32"/>
        </w:rPr>
      </w:pPr>
      <w:r>
        <w:rPr>
          <w:rFonts w:hint="eastAsia" w:ascii="仿宋_GB2312" w:eastAsia="仿宋_GB2312"/>
          <w:sz w:val="32"/>
          <w:szCs w:val="32"/>
        </w:rPr>
        <w:t>3、指导各县市区墙体材料改革与散装水泥服务工作。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（一）内设机构设置。绿建中心单位内设机构包括：</w:t>
      </w:r>
    </w:p>
    <w:p>
      <w:pPr>
        <w:widowControl/>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sz w:val="32"/>
          <w:szCs w:val="32"/>
        </w:rPr>
        <w:t>1.综合部。负责单位日常工作的协调和督办，负责党建、人事、财务、信息、宣传、文电、会务、信访、安全、考核、档案、工会、教育培训、资产管理、离退休人员管理等工作；负责综合性材料的起草工作。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2.绿色建材推广应用部。负责全市新型墙体材料改革和发展的事务性工作；协调做好全市城市“限粘”和县城“禁实”的事务性工作；负责新型墙体材料、建筑节能材料、装配式建筑的推广应用及产品升级认定等事务性工作；负责指导做好全市新建、改建、扩建新型墙体材料新技术、新工艺、新设备研制开发服务的事务性工作；负责新型墙体材料产品质量、生产使用情况进行监督检查的事务性工作；负责生产、销售、使用粘土砖违法违规行为查处的行政辅助工作；负责全市新型墙体材料的统计工作；参与建筑工程使用新型墙体材料的信息核查和竣工验收备案的事务性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3.散装水泥推广应用部。负责实施禁止施工现场搅拌混凝土和现场搅拌砂浆的事务性工作；参与全市新建、扩建预拌混凝土和预拌砂浆项目前期调研、现场勘察、竣工报备等事务性工作；参与打击非法生产企业专项整治以及违法违规行为查处的行政辅助工作；负责预拌混凝土、预拌砂浆、机制砂石生产质量进行监督检查的事务性工作以及负责现场搅拌混凝土、砂浆、散装水泥进行包装后销售等违法违规行为查处的行政辅助工作；负责全市散装水泥、预拌混凝土、预拌砂浆、机制砂石的统计工作；参与建筑工程使用预拌混凝土、预拌砂浆的信息核查和竣工验收备案的事务性工作。</w:t>
      </w:r>
    </w:p>
    <w:p>
      <w:pPr>
        <w:widowControl/>
        <w:spacing w:line="600" w:lineRule="exact"/>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（二）决算单位构成。绿建中心单位2020年部门决算汇总公开单位构成包括：岳阳市绿色建筑产业发展服务中心单位</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7"/>
        <w:tblW w:w="28162" w:type="dxa"/>
        <w:tblInd w:w="93" w:type="dxa"/>
        <w:tblLayout w:type="fixed"/>
        <w:tblCellMar>
          <w:top w:w="0" w:type="dxa"/>
          <w:left w:w="108" w:type="dxa"/>
          <w:bottom w:w="0" w:type="dxa"/>
          <w:right w:w="108" w:type="dxa"/>
        </w:tblCellMar>
      </w:tblPr>
      <w:tblGrid>
        <w:gridCol w:w="4125"/>
        <w:gridCol w:w="449"/>
        <w:gridCol w:w="631"/>
        <w:gridCol w:w="697"/>
        <w:gridCol w:w="236"/>
        <w:gridCol w:w="3467"/>
        <w:gridCol w:w="845"/>
        <w:gridCol w:w="1460"/>
        <w:gridCol w:w="657"/>
        <w:gridCol w:w="1516"/>
        <w:gridCol w:w="14079"/>
      </w:tblGrid>
      <w:tr>
        <w:tblPrEx>
          <w:tblCellMar>
            <w:top w:w="0" w:type="dxa"/>
            <w:left w:w="108" w:type="dxa"/>
            <w:bottom w:w="0" w:type="dxa"/>
            <w:right w:w="108" w:type="dxa"/>
          </w:tblCellMar>
        </w:tblPrEx>
        <w:trPr>
          <w:trHeight w:val="360" w:hRule="atLeast"/>
        </w:trPr>
        <w:tc>
          <w:tcPr>
            <w:tcW w:w="14083" w:type="dxa"/>
            <w:gridSpan w:val="10"/>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c>
          <w:tcPr>
            <w:tcW w:w="14079" w:type="dxa"/>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p>
        </w:tc>
      </w:tr>
      <w:tr>
        <w:tblPrEx>
          <w:tblCellMar>
            <w:top w:w="0" w:type="dxa"/>
            <w:left w:w="108" w:type="dxa"/>
            <w:bottom w:w="0" w:type="dxa"/>
            <w:right w:w="108" w:type="dxa"/>
          </w:tblCellMar>
        </w:tblPrEx>
        <w:trPr>
          <w:trHeight w:val="199" w:hRule="atLeast"/>
        </w:trPr>
        <w:tc>
          <w:tcPr>
            <w:tcW w:w="5205"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9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2"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c>
          <w:tcPr>
            <w:tcW w:w="14079"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300" w:hRule="atLeast"/>
        </w:trPr>
        <w:tc>
          <w:tcPr>
            <w:tcW w:w="5205" w:type="dxa"/>
            <w:gridSpan w:val="3"/>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69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2"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c>
          <w:tcPr>
            <w:tcW w:w="14079"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340" w:hRule="atLeast"/>
        </w:trPr>
        <w:tc>
          <w:tcPr>
            <w:tcW w:w="5902"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8181" w:type="dxa"/>
            <w:gridSpan w:val="6"/>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c>
          <w:tcPr>
            <w:tcW w:w="14079"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340" w:hRule="atLeast"/>
        </w:trPr>
        <w:tc>
          <w:tcPr>
            <w:tcW w:w="412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328"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c>
          <w:tcPr>
            <w:tcW w:w="370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c>
          <w:tcPr>
            <w:tcW w:w="1407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340" w:hRule="atLeast"/>
        </w:trPr>
        <w:tc>
          <w:tcPr>
            <w:tcW w:w="412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328"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70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407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340" w:hRule="atLeast"/>
        </w:trPr>
        <w:tc>
          <w:tcPr>
            <w:tcW w:w="412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126.60　</w:t>
            </w:r>
          </w:p>
        </w:tc>
        <w:tc>
          <w:tcPr>
            <w:tcW w:w="3703" w:type="dxa"/>
            <w:gridSpan w:val="2"/>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ind w:firstLine="220" w:firstLineChars="100"/>
              <w:rPr>
                <w:rFonts w:ascii="宋体" w:hAnsi="宋体" w:eastAsia="宋体" w:cs="宋体"/>
                <w:kern w:val="0"/>
                <w:sz w:val="22"/>
              </w:rPr>
            </w:pPr>
            <w:r>
              <w:rPr>
                <w:rFonts w:hint="eastAsia" w:ascii="宋体" w:hAnsi="宋体" w:eastAsia="宋体" w:cs="宋体"/>
                <w:kern w:val="0"/>
                <w:sz w:val="22"/>
              </w:rPr>
              <w:t>36.70　</w:t>
            </w:r>
          </w:p>
        </w:tc>
        <w:tc>
          <w:tcPr>
            <w:tcW w:w="1407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5"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03" w:type="dxa"/>
            <w:gridSpan w:val="2"/>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407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03" w:type="dxa"/>
            <w:gridSpan w:val="2"/>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407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5"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四、上级补助收入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03" w:type="dxa"/>
            <w:gridSpan w:val="2"/>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407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5"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五、事业收入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03" w:type="dxa"/>
            <w:gridSpan w:val="2"/>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407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5"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六、经营收入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03" w:type="dxa"/>
            <w:gridSpan w:val="2"/>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407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5"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七、附属单位上缴收入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0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八、社会保障和就业支出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ind w:firstLine="220" w:firstLineChars="100"/>
              <w:rPr>
                <w:rFonts w:ascii="宋体" w:hAnsi="宋体" w:eastAsia="宋体" w:cs="宋体"/>
                <w:kern w:val="0"/>
                <w:sz w:val="22"/>
              </w:rPr>
            </w:pPr>
            <w:r>
              <w:rPr>
                <w:rFonts w:hint="eastAsia" w:ascii="宋体" w:hAnsi="宋体" w:eastAsia="宋体" w:cs="宋体"/>
                <w:kern w:val="0"/>
                <w:sz w:val="22"/>
              </w:rPr>
              <w:t>4.89　</w:t>
            </w:r>
          </w:p>
        </w:tc>
        <w:tc>
          <w:tcPr>
            <w:tcW w:w="1407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5"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八、其他收入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20.95</w:t>
            </w:r>
          </w:p>
        </w:tc>
        <w:tc>
          <w:tcPr>
            <w:tcW w:w="370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九、卫生健康支出　</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ind w:firstLine="220" w:firstLineChars="100"/>
              <w:rPr>
                <w:rFonts w:ascii="宋体" w:hAnsi="宋体" w:eastAsia="宋体" w:cs="宋体"/>
                <w:kern w:val="0"/>
                <w:sz w:val="22"/>
              </w:rPr>
            </w:pPr>
            <w:r>
              <w:rPr>
                <w:rFonts w:hint="eastAsia" w:ascii="宋体" w:hAnsi="宋体" w:eastAsia="宋体" w:cs="宋体"/>
                <w:kern w:val="0"/>
                <w:sz w:val="22"/>
              </w:rPr>
              <w:t>2.11</w:t>
            </w:r>
          </w:p>
        </w:tc>
        <w:tc>
          <w:tcPr>
            <w:tcW w:w="1407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5"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p>
        </w:tc>
        <w:tc>
          <w:tcPr>
            <w:tcW w:w="370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十一、城乡社区支出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ind w:firstLine="220" w:firstLineChars="100"/>
              <w:rPr>
                <w:rFonts w:ascii="宋体" w:hAnsi="宋体" w:eastAsia="宋体" w:cs="宋体"/>
                <w:kern w:val="0"/>
                <w:sz w:val="22"/>
              </w:rPr>
            </w:pPr>
            <w:r>
              <w:rPr>
                <w:rFonts w:hint="eastAsia" w:ascii="宋体" w:hAnsi="宋体" w:eastAsia="宋体" w:cs="宋体"/>
                <w:kern w:val="0"/>
                <w:sz w:val="22"/>
              </w:rPr>
              <w:t>18.98</w:t>
            </w:r>
          </w:p>
        </w:tc>
        <w:tc>
          <w:tcPr>
            <w:tcW w:w="1407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5"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p>
        </w:tc>
        <w:tc>
          <w:tcPr>
            <w:tcW w:w="370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十四、资源勘探工业信息等支出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ind w:firstLine="220" w:firstLineChars="100"/>
              <w:rPr>
                <w:rFonts w:ascii="宋体" w:hAnsi="宋体" w:eastAsia="宋体" w:cs="宋体"/>
                <w:kern w:val="0"/>
                <w:sz w:val="22"/>
              </w:rPr>
            </w:pPr>
            <w:r>
              <w:rPr>
                <w:rFonts w:hint="eastAsia" w:ascii="宋体" w:hAnsi="宋体" w:eastAsia="宋体" w:cs="宋体"/>
                <w:kern w:val="0"/>
                <w:sz w:val="22"/>
              </w:rPr>
              <w:t>68.94</w:t>
            </w:r>
          </w:p>
        </w:tc>
        <w:tc>
          <w:tcPr>
            <w:tcW w:w="1407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5"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03" w:type="dxa"/>
            <w:gridSpan w:val="2"/>
            <w:tcBorders>
              <w:top w:val="nil"/>
              <w:left w:val="nil"/>
              <w:bottom w:val="single" w:color="auto" w:sz="4" w:space="0"/>
              <w:right w:val="single" w:color="auto" w:sz="4" w:space="0"/>
            </w:tcBorders>
            <w:shd w:val="clear" w:color="auto" w:fill="auto"/>
            <w:noWrap/>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二十三、其他支出　</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17.76</w:t>
            </w:r>
          </w:p>
        </w:tc>
        <w:tc>
          <w:tcPr>
            <w:tcW w:w="140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p>
        </w:tc>
      </w:tr>
      <w:tr>
        <w:tblPrEx>
          <w:tblCellMar>
            <w:top w:w="0" w:type="dxa"/>
            <w:left w:w="108" w:type="dxa"/>
            <w:bottom w:w="0" w:type="dxa"/>
            <w:right w:w="108" w:type="dxa"/>
          </w:tblCellMar>
        </w:tblPrEx>
        <w:trPr>
          <w:trHeight w:val="340" w:hRule="atLeast"/>
        </w:trPr>
        <w:tc>
          <w:tcPr>
            <w:tcW w:w="412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147.56　</w:t>
            </w:r>
          </w:p>
        </w:tc>
        <w:tc>
          <w:tcPr>
            <w:tcW w:w="370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149.38</w:t>
            </w:r>
          </w:p>
        </w:tc>
        <w:tc>
          <w:tcPr>
            <w:tcW w:w="140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使用非财政拨款结余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0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结余分配</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40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年初结转和结余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17.76　</w:t>
            </w:r>
          </w:p>
        </w:tc>
        <w:tc>
          <w:tcPr>
            <w:tcW w:w="370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年末结转和结余</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15.93</w:t>
            </w:r>
          </w:p>
        </w:tc>
        <w:tc>
          <w:tcPr>
            <w:tcW w:w="140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165.31　</w:t>
            </w:r>
          </w:p>
        </w:tc>
        <w:tc>
          <w:tcPr>
            <w:tcW w:w="370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165.31</w:t>
            </w:r>
          </w:p>
        </w:tc>
        <w:tc>
          <w:tcPr>
            <w:tcW w:w="140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p>
        </w:tc>
      </w:tr>
      <w:tr>
        <w:tblPrEx>
          <w:tblCellMar>
            <w:top w:w="0" w:type="dxa"/>
            <w:left w:w="108" w:type="dxa"/>
            <w:bottom w:w="0" w:type="dxa"/>
            <w:right w:w="108" w:type="dxa"/>
          </w:tblCellMar>
        </w:tblPrEx>
        <w:trPr>
          <w:trHeight w:val="1020" w:hRule="atLeast"/>
        </w:trPr>
        <w:tc>
          <w:tcPr>
            <w:tcW w:w="14083" w:type="dxa"/>
            <w:gridSpan w:val="10"/>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注：1.本表反映部门本年度的总收支和年末结转结余情况。</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xml:space="preserve"> 2.本套报表金额单位转换时可能存在尾数误差。</w:t>
            </w:r>
          </w:p>
        </w:tc>
        <w:tc>
          <w:tcPr>
            <w:tcW w:w="14079" w:type="dxa"/>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1020" w:hRule="atLeast"/>
        </w:trPr>
        <w:tc>
          <w:tcPr>
            <w:tcW w:w="14083" w:type="dxa"/>
            <w:gridSpan w:val="10"/>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p>
        </w:tc>
        <w:tc>
          <w:tcPr>
            <w:tcW w:w="14079" w:type="dxa"/>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p>
        </w:tc>
      </w:tr>
    </w:tbl>
    <w:p>
      <w:pPr>
        <w:jc w:val="center"/>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p>
    <w:tbl>
      <w:tblPr>
        <w:tblStyle w:val="7"/>
        <w:tblW w:w="14815" w:type="dxa"/>
        <w:tblInd w:w="0" w:type="dxa"/>
        <w:tblLayout w:type="fixed"/>
        <w:tblCellMar>
          <w:top w:w="0" w:type="dxa"/>
          <w:left w:w="0" w:type="dxa"/>
          <w:bottom w:w="0" w:type="dxa"/>
          <w:right w:w="0" w:type="dxa"/>
        </w:tblCellMar>
      </w:tblPr>
      <w:tblGrid>
        <w:gridCol w:w="539"/>
        <w:gridCol w:w="447"/>
        <w:gridCol w:w="3390"/>
        <w:gridCol w:w="1640"/>
        <w:gridCol w:w="2002"/>
        <w:gridCol w:w="1216"/>
        <w:gridCol w:w="1095"/>
        <w:gridCol w:w="996"/>
        <w:gridCol w:w="917"/>
        <w:gridCol w:w="2573"/>
      </w:tblGrid>
      <w:tr>
        <w:trPr>
          <w:trHeight w:val="435" w:hRule="atLeast"/>
        </w:trPr>
        <w:tc>
          <w:tcPr>
            <w:tcW w:w="14815" w:type="dxa"/>
            <w:gridSpan w:val="10"/>
            <w:tcBorders>
              <w:top w:val="nil"/>
              <w:left w:val="nil"/>
              <w:bottom w:val="nil"/>
              <w:right w:val="nil"/>
            </w:tcBorders>
            <w:shd w:val="clear" w:color="auto" w:fill="auto"/>
            <w:noWrap/>
            <w:tcMar>
              <w:top w:w="15" w:type="dxa"/>
              <w:left w:w="15" w:type="dxa"/>
              <w:bottom w:w="0" w:type="dxa"/>
              <w:right w:w="15" w:type="dxa"/>
            </w:tcMar>
            <w:vAlign w:val="center"/>
          </w:tcPr>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CellMar>
            <w:top w:w="0" w:type="dxa"/>
            <w:left w:w="0" w:type="dxa"/>
            <w:bottom w:w="0" w:type="dxa"/>
            <w:right w:w="0" w:type="dxa"/>
          </w:tblCellMar>
        </w:tblPrEx>
        <w:trPr>
          <w:trHeight w:val="285" w:hRule="atLeast"/>
        </w:trPr>
        <w:tc>
          <w:tcPr>
            <w:tcW w:w="539"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44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339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4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00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16"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9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96"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1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57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CellMar>
            <w:top w:w="0" w:type="dxa"/>
            <w:left w:w="0" w:type="dxa"/>
            <w:bottom w:w="0" w:type="dxa"/>
            <w:right w:w="0" w:type="dxa"/>
          </w:tblCellMar>
        </w:tblPrEx>
        <w:trPr>
          <w:trHeight w:val="285" w:hRule="atLeast"/>
        </w:trPr>
        <w:tc>
          <w:tcPr>
            <w:tcW w:w="986"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w:t>
            </w:r>
          </w:p>
        </w:tc>
        <w:tc>
          <w:tcPr>
            <w:tcW w:w="339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4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00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16"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09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96"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1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57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CellMar>
            <w:top w:w="0" w:type="dxa"/>
            <w:left w:w="0" w:type="dxa"/>
            <w:bottom w:w="0" w:type="dxa"/>
            <w:right w:w="0" w:type="dxa"/>
          </w:tblCellMar>
        </w:tblPrEx>
        <w:trPr>
          <w:trHeight w:val="450" w:hRule="atLeast"/>
        </w:trPr>
        <w:tc>
          <w:tcPr>
            <w:tcW w:w="4376"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200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216"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09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996"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91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257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CellMar>
            <w:top w:w="0" w:type="dxa"/>
            <w:left w:w="0" w:type="dxa"/>
            <w:bottom w:w="0" w:type="dxa"/>
            <w:right w:w="0" w:type="dxa"/>
          </w:tblCellMar>
        </w:tblPrEx>
        <w:trPr>
          <w:trHeight w:val="450" w:hRule="atLeast"/>
        </w:trPr>
        <w:tc>
          <w:tcPr>
            <w:tcW w:w="986"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3390"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00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16"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1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57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450" w:hRule="atLeast"/>
        </w:trPr>
        <w:tc>
          <w:tcPr>
            <w:tcW w:w="986"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339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00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16"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96"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1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57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450" w:hRule="atLeast"/>
        </w:trPr>
        <w:tc>
          <w:tcPr>
            <w:tcW w:w="4376"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200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121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09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99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91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257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CellMar>
            <w:top w:w="0" w:type="dxa"/>
            <w:left w:w="0" w:type="dxa"/>
            <w:bottom w:w="0" w:type="dxa"/>
            <w:right w:w="0" w:type="dxa"/>
          </w:tblCellMar>
        </w:tblPrEx>
        <w:trPr>
          <w:trHeight w:val="450" w:hRule="atLeast"/>
        </w:trPr>
        <w:tc>
          <w:tcPr>
            <w:tcW w:w="4376"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147.56　</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820"/>
                <w:tab w:val="right" w:pos="1971"/>
              </w:tabs>
              <w:jc w:val="left"/>
              <w:rPr>
                <w:rFonts w:ascii="宋体" w:hAnsi="宋体" w:eastAsia="宋体" w:cs="宋体"/>
                <w:sz w:val="24"/>
                <w:szCs w:val="24"/>
              </w:rPr>
            </w:pPr>
            <w:r>
              <w:rPr>
                <w:rFonts w:hint="eastAsia"/>
              </w:rPr>
              <w:tab/>
            </w:r>
            <w:r>
              <w:rPr>
                <w:rFonts w:hint="eastAsia"/>
              </w:rPr>
              <w:t>126.6</w:t>
            </w:r>
            <w:r>
              <w:rPr>
                <w:rFonts w:hint="eastAsia"/>
              </w:rPr>
              <w:tab/>
            </w:r>
            <w:r>
              <w:rPr>
                <w:rFonts w:hint="eastAsia"/>
              </w:rPr>
              <w:t>　</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1106"/>
                <w:tab w:val="right" w:pos="2542"/>
              </w:tabs>
              <w:jc w:val="left"/>
              <w:rPr>
                <w:rFonts w:ascii="宋体" w:hAnsi="宋体" w:eastAsia="宋体" w:cs="宋体"/>
                <w:sz w:val="24"/>
                <w:szCs w:val="24"/>
              </w:rPr>
            </w:pPr>
            <w:r>
              <w:rPr>
                <w:rFonts w:hint="eastAsia"/>
              </w:rPr>
              <w:tab/>
            </w:r>
            <w:r>
              <w:rPr>
                <w:rFonts w:hint="eastAsia"/>
              </w:rPr>
              <w:t>20.95</w:t>
            </w:r>
            <w:r>
              <w:rPr>
                <w:rFonts w:hint="eastAsia"/>
              </w:rPr>
              <w:tab/>
            </w:r>
            <w:r>
              <w:rPr>
                <w:rFonts w:hint="eastAsia"/>
              </w:rPr>
              <w:t>　</w:t>
            </w: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cs="宋体"/>
                <w:sz w:val="24"/>
                <w:szCs w:val="24"/>
              </w:rPr>
            </w:pPr>
            <w:r>
              <w:rPr>
                <w:rFonts w:hint="eastAsia"/>
              </w:rPr>
              <w:t>　201</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cs="宋体"/>
                <w:sz w:val="24"/>
                <w:szCs w:val="24"/>
              </w:rPr>
            </w:pPr>
            <w:r>
              <w:rPr>
                <w:rFonts w:hint="eastAsia"/>
              </w:rPr>
              <w:t>　一般公共服务支出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36.70　</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36.70　</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cs="宋体"/>
                <w:sz w:val="24"/>
                <w:szCs w:val="24"/>
              </w:rPr>
            </w:pPr>
            <w:r>
              <w:rPr>
                <w:rFonts w:hint="eastAsia"/>
              </w:rPr>
              <w:t>　20103</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cs="宋体"/>
                <w:sz w:val="24"/>
                <w:szCs w:val="24"/>
              </w:rPr>
            </w:pPr>
            <w:r>
              <w:rPr>
                <w:rFonts w:hint="eastAsia"/>
              </w:rPr>
              <w:t>　政府办公厅（室）及相关机构事务</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华文中宋" w:hAnsi="华文中宋" w:eastAsia="华文中宋" w:cs="宋体"/>
                <w:sz w:val="24"/>
                <w:szCs w:val="24"/>
              </w:rPr>
            </w:pPr>
            <w:r>
              <w:rPr>
                <w:rFonts w:hint="eastAsia" w:ascii="华文中宋" w:hAnsi="华文中宋" w:eastAsia="华文中宋"/>
              </w:rPr>
              <w:t>28.49　</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28.49　</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cs="宋体"/>
                <w:sz w:val="24"/>
                <w:szCs w:val="24"/>
              </w:rPr>
            </w:pPr>
            <w:r>
              <w:rPr>
                <w:rFonts w:hint="eastAsia"/>
              </w:rPr>
              <w:t>　2010305</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专项业务活动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28.49　</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28.49　</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cs="宋体"/>
                <w:sz w:val="24"/>
                <w:szCs w:val="24"/>
              </w:rPr>
            </w:pPr>
            <w:r>
              <w:rPr>
                <w:rFonts w:hint="eastAsia"/>
              </w:rPr>
              <w:t>　20199</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cs="宋体"/>
                <w:sz w:val="24"/>
                <w:szCs w:val="24"/>
              </w:rPr>
            </w:pPr>
            <w:r>
              <w:rPr>
                <w:rFonts w:hint="eastAsia"/>
              </w:rPr>
              <w:t>　其他一般公共服务支出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8.21　</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8.21　</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cs="宋体"/>
                <w:sz w:val="24"/>
                <w:szCs w:val="24"/>
              </w:rPr>
            </w:pPr>
            <w:r>
              <w:rPr>
                <w:rFonts w:hint="eastAsia"/>
              </w:rPr>
              <w:t>　2019999</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其他一般公共服务支出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8.21　</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8.21　</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cs="宋体"/>
                <w:sz w:val="24"/>
                <w:szCs w:val="24"/>
              </w:rPr>
            </w:pPr>
            <w:r>
              <w:rPr>
                <w:rFonts w:hint="eastAsia"/>
              </w:rPr>
              <w:t>　208</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cs="宋体"/>
                <w:sz w:val="24"/>
                <w:szCs w:val="24"/>
              </w:rPr>
            </w:pPr>
            <w:r>
              <w:rPr>
                <w:rFonts w:hint="eastAsia"/>
              </w:rPr>
              <w:t>　社会保障和就业支出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4.89　</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4.89　</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20805</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行政事业单位养老支出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4.56</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4.56</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2080505</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行政事业单位基本养老保险缴费支出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4.56</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4.56</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20811</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残疾人事业</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0.33</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0.33</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2081199</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其他残疾人事业支出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0.33</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0.33</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210</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卫生健康支出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2.11</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2.11</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21011</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行政事业单位医疗</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2.11</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2.11</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2101101</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行政单位医疗</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2.11</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2.11</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212</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城乡社区支出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21.64</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0.69</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20.95</w:t>
            </w: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21299</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其他城乡社区支出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21.64</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0.69</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20.95</w:t>
            </w: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2129901</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其他城乡社区支出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21.64</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0.69</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20.95</w:t>
            </w: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215</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资源勘探工业信息等支出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82.21</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82.21</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21502</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制造业</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82.21</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82.21</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r>
      <w:tr>
        <w:tblPrEx>
          <w:tblCellMar>
            <w:top w:w="0" w:type="dxa"/>
            <w:left w:w="0" w:type="dxa"/>
            <w:bottom w:w="0" w:type="dxa"/>
            <w:right w:w="0" w:type="dxa"/>
          </w:tblCellMar>
        </w:tblPrEx>
        <w:trPr>
          <w:trHeight w:val="450" w:hRule="atLeast"/>
        </w:trPr>
        <w:tc>
          <w:tcPr>
            <w:tcW w:w="9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2150299</w:t>
            </w:r>
          </w:p>
        </w:tc>
        <w:tc>
          <w:tcPr>
            <w:tcW w:w="33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r>
              <w:rPr>
                <w:rFonts w:hint="eastAsia"/>
              </w:rPr>
              <w:t>其他制造业支出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82.21</w:t>
            </w:r>
          </w:p>
        </w:tc>
        <w:tc>
          <w:tcPr>
            <w:tcW w:w="200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r>
              <w:rPr>
                <w:rFonts w:hint="eastAsia"/>
              </w:rPr>
              <w:t>82.21</w:t>
            </w:r>
          </w:p>
        </w:tc>
        <w:tc>
          <w:tcPr>
            <w:tcW w:w="121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10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9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91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c>
          <w:tcPr>
            <w:tcW w:w="25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pPr>
          </w:p>
        </w:tc>
      </w:tr>
      <w:tr>
        <w:tblPrEx>
          <w:tblCellMar>
            <w:top w:w="0" w:type="dxa"/>
            <w:left w:w="0" w:type="dxa"/>
            <w:bottom w:w="0" w:type="dxa"/>
            <w:right w:w="0" w:type="dxa"/>
          </w:tblCellMar>
        </w:tblPrEx>
        <w:trPr>
          <w:trHeight w:val="615" w:hRule="atLeast"/>
        </w:trPr>
        <w:tc>
          <w:tcPr>
            <w:tcW w:w="14815"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r>
        <w:tblPrEx>
          <w:tblCellMar>
            <w:top w:w="0" w:type="dxa"/>
            <w:left w:w="0" w:type="dxa"/>
            <w:bottom w:w="0" w:type="dxa"/>
            <w:right w:w="0" w:type="dxa"/>
          </w:tblCellMar>
        </w:tblPrEx>
        <w:trPr>
          <w:trHeight w:val="615" w:hRule="atLeast"/>
        </w:trPr>
        <w:tc>
          <w:tcPr>
            <w:tcW w:w="14815" w:type="dxa"/>
            <w:gridSpan w:val="10"/>
            <w:tcBorders>
              <w:top w:val="nil"/>
              <w:left w:val="nil"/>
              <w:bottom w:val="nil"/>
              <w:right w:val="nil"/>
            </w:tcBorders>
            <w:shd w:val="clear" w:color="auto" w:fill="auto"/>
            <w:tcMar>
              <w:top w:w="15" w:type="dxa"/>
              <w:left w:w="15" w:type="dxa"/>
              <w:bottom w:w="0" w:type="dxa"/>
              <w:right w:w="15" w:type="dxa"/>
            </w:tcMar>
            <w:vAlign w:val="center"/>
          </w:tcP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br w:type="page"/>
      </w:r>
    </w:p>
    <w:p>
      <w:pPr>
        <w:widowControl/>
        <w:rPr>
          <w:rFonts w:ascii="Times New Roman" w:hAnsi="Times New Roman" w:eastAsia="方正小标宋_GBK" w:cs="Times New Roman"/>
          <w:color w:val="000000"/>
          <w:kern w:val="0"/>
          <w:sz w:val="36"/>
          <w:szCs w:val="36"/>
        </w:rPr>
      </w:pPr>
    </w:p>
    <w:tbl>
      <w:tblPr>
        <w:tblStyle w:val="7"/>
        <w:tblW w:w="26366" w:type="dxa"/>
        <w:tblInd w:w="93" w:type="dxa"/>
        <w:tblLayout w:type="fixed"/>
        <w:tblCellMar>
          <w:top w:w="0" w:type="dxa"/>
          <w:left w:w="108" w:type="dxa"/>
          <w:bottom w:w="0" w:type="dxa"/>
          <w:right w:w="108" w:type="dxa"/>
        </w:tblCellMar>
      </w:tblPr>
      <w:tblGrid>
        <w:gridCol w:w="1042"/>
        <w:gridCol w:w="236"/>
        <w:gridCol w:w="1950"/>
        <w:gridCol w:w="944"/>
        <w:gridCol w:w="1678"/>
        <w:gridCol w:w="1678"/>
        <w:gridCol w:w="1678"/>
        <w:gridCol w:w="1678"/>
        <w:gridCol w:w="2307"/>
        <w:gridCol w:w="13175"/>
      </w:tblGrid>
      <w:tr>
        <w:tblPrEx>
          <w:tblCellMar>
            <w:top w:w="0" w:type="dxa"/>
            <w:left w:w="108" w:type="dxa"/>
            <w:bottom w:w="0" w:type="dxa"/>
            <w:right w:w="108" w:type="dxa"/>
          </w:tblCellMar>
        </w:tblPrEx>
        <w:trPr>
          <w:trHeight w:val="435" w:hRule="atLeast"/>
        </w:trPr>
        <w:tc>
          <w:tcPr>
            <w:tcW w:w="13191"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c>
          <w:tcPr>
            <w:tcW w:w="13175" w:type="dxa"/>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p>
        </w:tc>
      </w:tr>
      <w:tr>
        <w:tblPrEx>
          <w:tblCellMar>
            <w:top w:w="0" w:type="dxa"/>
            <w:left w:w="108" w:type="dxa"/>
            <w:bottom w:w="0" w:type="dxa"/>
            <w:right w:w="108" w:type="dxa"/>
          </w:tblCellMar>
        </w:tblPrEx>
        <w:trPr>
          <w:trHeight w:val="285" w:hRule="atLeast"/>
        </w:trPr>
        <w:tc>
          <w:tcPr>
            <w:tcW w:w="104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5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94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07"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c>
          <w:tcPr>
            <w:tcW w:w="13175"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285" w:hRule="atLeast"/>
        </w:trPr>
        <w:tc>
          <w:tcPr>
            <w:tcW w:w="1042"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2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5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94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6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07"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c>
          <w:tcPr>
            <w:tcW w:w="13175"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3228"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94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67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67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67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67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230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c>
          <w:tcPr>
            <w:tcW w:w="1317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195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3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317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3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317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3228"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94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67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67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67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67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2307"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1317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3228"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149.38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149.38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cs="宋体"/>
                <w:sz w:val="24"/>
                <w:szCs w:val="24"/>
              </w:rPr>
            </w:pPr>
            <w:r>
              <w:rPr>
                <w:rFonts w:hint="eastAsia"/>
              </w:rPr>
              <w:t>　201</w:t>
            </w:r>
          </w:p>
        </w:tc>
        <w:tc>
          <w:tcPr>
            <w:tcW w:w="1950" w:type="dxa"/>
            <w:tcBorders>
              <w:top w:val="nil"/>
              <w:left w:val="nil"/>
              <w:bottom w:val="single" w:color="auto" w:sz="4" w:space="0"/>
              <w:right w:val="single" w:color="auto" w:sz="4" w:space="0"/>
            </w:tcBorders>
            <w:shd w:val="clear" w:color="000000" w:fill="FFFFFF"/>
            <w:noWrap/>
            <w:vAlign w:val="center"/>
          </w:tcPr>
          <w:p>
            <w:pPr>
              <w:rPr>
                <w:rFonts w:ascii="宋体" w:hAnsi="宋体" w:cs="宋体"/>
                <w:sz w:val="24"/>
                <w:szCs w:val="24"/>
              </w:rPr>
            </w:pPr>
            <w:r>
              <w:rPr>
                <w:rFonts w:hint="eastAsia"/>
              </w:rPr>
              <w:t>　一般公共服务支出</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36.7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36.7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cs="宋体"/>
                <w:sz w:val="24"/>
                <w:szCs w:val="24"/>
              </w:rPr>
            </w:pPr>
            <w:r>
              <w:rPr>
                <w:rFonts w:hint="eastAsia"/>
              </w:rPr>
              <w:t>　20103</w:t>
            </w:r>
          </w:p>
        </w:tc>
        <w:tc>
          <w:tcPr>
            <w:tcW w:w="1950" w:type="dxa"/>
            <w:tcBorders>
              <w:top w:val="nil"/>
              <w:left w:val="nil"/>
              <w:bottom w:val="single" w:color="auto" w:sz="4" w:space="0"/>
              <w:right w:val="single" w:color="auto" w:sz="4" w:space="0"/>
            </w:tcBorders>
            <w:shd w:val="clear" w:color="000000" w:fill="FFFFFF"/>
            <w:noWrap/>
            <w:vAlign w:val="center"/>
          </w:tcPr>
          <w:p>
            <w:pPr>
              <w:rPr>
                <w:rFonts w:ascii="宋体" w:hAnsi="宋体" w:cs="宋体"/>
                <w:sz w:val="24"/>
                <w:szCs w:val="24"/>
              </w:rPr>
            </w:pPr>
            <w:r>
              <w:rPr>
                <w:rFonts w:hint="eastAsia"/>
              </w:rPr>
              <w:t>　政府办公厅（室）及相关机构事务</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28.49</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28.49</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cs="宋体"/>
                <w:sz w:val="24"/>
                <w:szCs w:val="24"/>
              </w:rPr>
            </w:pPr>
            <w:r>
              <w:rPr>
                <w:rFonts w:hint="eastAsia"/>
              </w:rPr>
              <w:t>　2010305</w:t>
            </w:r>
          </w:p>
        </w:tc>
        <w:tc>
          <w:tcPr>
            <w:tcW w:w="1950"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4"/>
                <w:szCs w:val="24"/>
              </w:rPr>
            </w:pPr>
            <w:r>
              <w:rPr>
                <w:rFonts w:hint="eastAsia"/>
              </w:rPr>
              <w:t>专项业务活动　</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28.49</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28.49</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cs="宋体"/>
                <w:sz w:val="24"/>
                <w:szCs w:val="24"/>
              </w:rPr>
            </w:pPr>
            <w:r>
              <w:rPr>
                <w:rFonts w:hint="eastAsia"/>
              </w:rPr>
              <w:t>　20199</w:t>
            </w:r>
          </w:p>
        </w:tc>
        <w:tc>
          <w:tcPr>
            <w:tcW w:w="1950" w:type="dxa"/>
            <w:tcBorders>
              <w:top w:val="nil"/>
              <w:left w:val="nil"/>
              <w:bottom w:val="single" w:color="auto" w:sz="4" w:space="0"/>
              <w:right w:val="single" w:color="auto" w:sz="4" w:space="0"/>
            </w:tcBorders>
            <w:shd w:val="clear" w:color="000000" w:fill="FFFFFF"/>
            <w:noWrap/>
            <w:vAlign w:val="center"/>
          </w:tcPr>
          <w:p>
            <w:pPr>
              <w:rPr>
                <w:rFonts w:ascii="宋体" w:hAnsi="宋体" w:cs="宋体"/>
                <w:sz w:val="24"/>
                <w:szCs w:val="24"/>
              </w:rPr>
            </w:pPr>
            <w:r>
              <w:rPr>
                <w:rFonts w:hint="eastAsia"/>
              </w:rPr>
              <w:t>　其他一般公共服务支出</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8.21</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8.21</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cs="宋体"/>
                <w:sz w:val="24"/>
                <w:szCs w:val="24"/>
              </w:rPr>
            </w:pPr>
            <w:r>
              <w:rPr>
                <w:rFonts w:hint="eastAsia"/>
              </w:rPr>
              <w:t>　2019999</w:t>
            </w:r>
          </w:p>
        </w:tc>
        <w:tc>
          <w:tcPr>
            <w:tcW w:w="1950"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4"/>
                <w:szCs w:val="24"/>
              </w:rPr>
            </w:pPr>
            <w:r>
              <w:rPr>
                <w:rFonts w:hint="eastAsia"/>
              </w:rPr>
              <w:t>　其他一般公共服务支出</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8.21</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8.21</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宋体" w:hAnsi="宋体" w:cs="宋体"/>
                <w:sz w:val="24"/>
                <w:szCs w:val="24"/>
              </w:rPr>
            </w:pPr>
            <w:r>
              <w:rPr>
                <w:rFonts w:hint="eastAsia"/>
              </w:rPr>
              <w:t>　208</w:t>
            </w:r>
          </w:p>
        </w:tc>
        <w:tc>
          <w:tcPr>
            <w:tcW w:w="1950" w:type="dxa"/>
            <w:tcBorders>
              <w:top w:val="nil"/>
              <w:left w:val="nil"/>
              <w:bottom w:val="single" w:color="auto" w:sz="4" w:space="0"/>
              <w:right w:val="single" w:color="auto" w:sz="4" w:space="0"/>
            </w:tcBorders>
            <w:shd w:val="clear" w:color="000000" w:fill="FFFFFF"/>
            <w:noWrap/>
            <w:vAlign w:val="center"/>
          </w:tcPr>
          <w:p>
            <w:pPr>
              <w:rPr>
                <w:rFonts w:ascii="宋体" w:hAnsi="宋体" w:cs="宋体"/>
                <w:sz w:val="24"/>
                <w:szCs w:val="24"/>
              </w:rPr>
            </w:pPr>
            <w:r>
              <w:rPr>
                <w:rFonts w:hint="eastAsia"/>
              </w:rPr>
              <w:t>　社会保障和就业支出</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4.89</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4.89</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r>
              <w:rPr>
                <w:rFonts w:hint="eastAsia"/>
              </w:rPr>
              <w:t>20805</w:t>
            </w:r>
          </w:p>
        </w:tc>
        <w:tc>
          <w:tcPr>
            <w:tcW w:w="1950" w:type="dxa"/>
            <w:tcBorders>
              <w:top w:val="nil"/>
              <w:left w:val="nil"/>
              <w:bottom w:val="single" w:color="auto" w:sz="4" w:space="0"/>
              <w:right w:val="single" w:color="auto" w:sz="4" w:space="0"/>
            </w:tcBorders>
            <w:shd w:val="clear" w:color="000000" w:fill="FFFFFF"/>
            <w:noWrap/>
            <w:vAlign w:val="center"/>
          </w:tcPr>
          <w:p>
            <w:r>
              <w:rPr>
                <w:rFonts w:hint="eastAsia"/>
              </w:rPr>
              <w:t>行政事业单位养老支出</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4.56</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4.56</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r>
              <w:rPr>
                <w:rFonts w:hint="eastAsia"/>
              </w:rPr>
              <w:t>2080505</w:t>
            </w:r>
          </w:p>
        </w:tc>
        <w:tc>
          <w:tcPr>
            <w:tcW w:w="1950" w:type="dxa"/>
            <w:tcBorders>
              <w:top w:val="nil"/>
              <w:left w:val="nil"/>
              <w:bottom w:val="single" w:color="auto" w:sz="4" w:space="0"/>
              <w:right w:val="single" w:color="auto" w:sz="4" w:space="0"/>
            </w:tcBorders>
            <w:shd w:val="clear" w:color="000000" w:fill="FFFFFF"/>
            <w:noWrap/>
            <w:vAlign w:val="center"/>
          </w:tcPr>
          <w:p>
            <w:r>
              <w:rPr>
                <w:rFonts w:hint="eastAsia"/>
              </w:rPr>
              <w:t>行政事业单位基本养老保险缴费支出</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4.56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4.56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r>
              <w:rPr>
                <w:rFonts w:hint="eastAsia"/>
              </w:rPr>
              <w:t>20811</w:t>
            </w:r>
          </w:p>
        </w:tc>
        <w:tc>
          <w:tcPr>
            <w:tcW w:w="1950" w:type="dxa"/>
            <w:tcBorders>
              <w:top w:val="nil"/>
              <w:left w:val="nil"/>
              <w:bottom w:val="single" w:color="auto" w:sz="4" w:space="0"/>
              <w:right w:val="single" w:color="auto" w:sz="4" w:space="0"/>
            </w:tcBorders>
            <w:shd w:val="clear" w:color="000000" w:fill="FFFFFF"/>
            <w:noWrap/>
            <w:vAlign w:val="center"/>
          </w:tcPr>
          <w:p>
            <w:r>
              <w:rPr>
                <w:rFonts w:hint="eastAsia"/>
              </w:rPr>
              <w:t>残疾人事业</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0.33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0.33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r>
              <w:rPr>
                <w:rFonts w:hint="eastAsia"/>
              </w:rPr>
              <w:t>2081199</w:t>
            </w:r>
          </w:p>
        </w:tc>
        <w:tc>
          <w:tcPr>
            <w:tcW w:w="1950" w:type="dxa"/>
            <w:tcBorders>
              <w:top w:val="nil"/>
              <w:left w:val="nil"/>
              <w:bottom w:val="single" w:color="auto" w:sz="4" w:space="0"/>
              <w:right w:val="single" w:color="auto" w:sz="4" w:space="0"/>
            </w:tcBorders>
            <w:shd w:val="clear" w:color="000000" w:fill="FFFFFF"/>
            <w:noWrap/>
            <w:vAlign w:val="center"/>
          </w:tcPr>
          <w:p>
            <w:r>
              <w:rPr>
                <w:rFonts w:hint="eastAsia"/>
              </w:rPr>
              <w:t>其他残疾人事业支出</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0.33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0.33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r>
              <w:rPr>
                <w:rFonts w:hint="eastAsia"/>
              </w:rPr>
              <w:t>210</w:t>
            </w:r>
          </w:p>
        </w:tc>
        <w:tc>
          <w:tcPr>
            <w:tcW w:w="1950" w:type="dxa"/>
            <w:tcBorders>
              <w:top w:val="nil"/>
              <w:left w:val="nil"/>
              <w:bottom w:val="single" w:color="auto" w:sz="4" w:space="0"/>
              <w:right w:val="single" w:color="auto" w:sz="4" w:space="0"/>
            </w:tcBorders>
            <w:shd w:val="clear" w:color="000000" w:fill="FFFFFF"/>
            <w:noWrap/>
            <w:vAlign w:val="center"/>
          </w:tcPr>
          <w:p>
            <w:r>
              <w:rPr>
                <w:rFonts w:hint="eastAsia"/>
              </w:rPr>
              <w:t>卫生健康支出</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2.11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2.11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r>
              <w:rPr>
                <w:rFonts w:hint="eastAsia"/>
              </w:rPr>
              <w:t>21011</w:t>
            </w:r>
          </w:p>
        </w:tc>
        <w:tc>
          <w:tcPr>
            <w:tcW w:w="1950" w:type="dxa"/>
            <w:tcBorders>
              <w:top w:val="nil"/>
              <w:left w:val="nil"/>
              <w:bottom w:val="single" w:color="auto" w:sz="4" w:space="0"/>
              <w:right w:val="single" w:color="auto" w:sz="4" w:space="0"/>
            </w:tcBorders>
            <w:shd w:val="clear" w:color="000000" w:fill="FFFFFF"/>
            <w:noWrap/>
            <w:vAlign w:val="center"/>
          </w:tcPr>
          <w:p>
            <w:r>
              <w:rPr>
                <w:rFonts w:hint="eastAsia"/>
              </w:rPr>
              <w:t>行政事业单位医疗</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2.11</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2.11</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r>
              <w:rPr>
                <w:rFonts w:hint="eastAsia"/>
              </w:rPr>
              <w:t>2101101</w:t>
            </w:r>
          </w:p>
        </w:tc>
        <w:tc>
          <w:tcPr>
            <w:tcW w:w="1950" w:type="dxa"/>
            <w:tcBorders>
              <w:top w:val="nil"/>
              <w:left w:val="nil"/>
              <w:bottom w:val="single" w:color="auto" w:sz="4" w:space="0"/>
              <w:right w:val="single" w:color="auto" w:sz="4" w:space="0"/>
            </w:tcBorders>
            <w:shd w:val="clear" w:color="000000" w:fill="FFFFFF"/>
            <w:noWrap/>
            <w:vAlign w:val="center"/>
          </w:tcPr>
          <w:p>
            <w:r>
              <w:rPr>
                <w:rFonts w:hint="eastAsia"/>
              </w:rPr>
              <w:t>行政单位医疗</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2.11</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2.11</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r>
              <w:rPr>
                <w:rFonts w:hint="eastAsia"/>
              </w:rPr>
              <w:t>212</w:t>
            </w:r>
          </w:p>
        </w:tc>
        <w:tc>
          <w:tcPr>
            <w:tcW w:w="1950" w:type="dxa"/>
            <w:tcBorders>
              <w:top w:val="nil"/>
              <w:left w:val="nil"/>
              <w:bottom w:val="single" w:color="auto" w:sz="4" w:space="0"/>
              <w:right w:val="single" w:color="auto" w:sz="4" w:space="0"/>
            </w:tcBorders>
            <w:shd w:val="clear" w:color="000000" w:fill="FFFFFF"/>
            <w:noWrap/>
            <w:vAlign w:val="center"/>
          </w:tcPr>
          <w:p>
            <w:r>
              <w:rPr>
                <w:rFonts w:hint="eastAsia"/>
              </w:rPr>
              <w:t>城乡社区支出</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18.98</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18.98</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r>
              <w:rPr>
                <w:rFonts w:hint="eastAsia"/>
              </w:rPr>
              <w:t>21299</w:t>
            </w:r>
          </w:p>
        </w:tc>
        <w:tc>
          <w:tcPr>
            <w:tcW w:w="1950" w:type="dxa"/>
            <w:tcBorders>
              <w:top w:val="nil"/>
              <w:left w:val="nil"/>
              <w:bottom w:val="single" w:color="auto" w:sz="4" w:space="0"/>
              <w:right w:val="single" w:color="auto" w:sz="4" w:space="0"/>
            </w:tcBorders>
            <w:shd w:val="clear" w:color="000000" w:fill="FFFFFF"/>
            <w:noWrap/>
            <w:vAlign w:val="center"/>
          </w:tcPr>
          <w:p>
            <w:r>
              <w:rPr>
                <w:rFonts w:hint="eastAsia"/>
              </w:rPr>
              <w:t>其他城乡社区支出</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18.98</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18.98</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r>
              <w:rPr>
                <w:rFonts w:hint="eastAsia"/>
              </w:rPr>
              <w:t>2129901</w:t>
            </w:r>
          </w:p>
        </w:tc>
        <w:tc>
          <w:tcPr>
            <w:tcW w:w="1950" w:type="dxa"/>
            <w:tcBorders>
              <w:top w:val="nil"/>
              <w:left w:val="nil"/>
              <w:bottom w:val="single" w:color="auto" w:sz="4" w:space="0"/>
              <w:right w:val="single" w:color="auto" w:sz="4" w:space="0"/>
            </w:tcBorders>
            <w:shd w:val="clear" w:color="000000" w:fill="FFFFFF"/>
            <w:noWrap/>
            <w:vAlign w:val="center"/>
          </w:tcPr>
          <w:p>
            <w:r>
              <w:rPr>
                <w:rFonts w:hint="eastAsia"/>
              </w:rPr>
              <w:t>其他城乡社区支出</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18.98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18.98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r>
              <w:rPr>
                <w:rFonts w:hint="eastAsia"/>
              </w:rPr>
              <w:t>215</w:t>
            </w:r>
          </w:p>
        </w:tc>
        <w:tc>
          <w:tcPr>
            <w:tcW w:w="1950" w:type="dxa"/>
            <w:tcBorders>
              <w:top w:val="nil"/>
              <w:left w:val="nil"/>
              <w:bottom w:val="single" w:color="auto" w:sz="4" w:space="0"/>
              <w:right w:val="single" w:color="auto" w:sz="4" w:space="0"/>
            </w:tcBorders>
            <w:shd w:val="clear" w:color="000000" w:fill="FFFFFF"/>
            <w:noWrap/>
            <w:vAlign w:val="center"/>
          </w:tcPr>
          <w:p>
            <w:r>
              <w:rPr>
                <w:rFonts w:hint="eastAsia"/>
              </w:rPr>
              <w:t>资源勘探工业信息等支出</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68.94</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68.94</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r>
              <w:rPr>
                <w:rFonts w:hint="eastAsia"/>
              </w:rPr>
              <w:t>21502</w:t>
            </w:r>
          </w:p>
        </w:tc>
        <w:tc>
          <w:tcPr>
            <w:tcW w:w="1950" w:type="dxa"/>
            <w:tcBorders>
              <w:top w:val="nil"/>
              <w:left w:val="nil"/>
              <w:bottom w:val="single" w:color="auto" w:sz="4" w:space="0"/>
              <w:right w:val="single" w:color="auto" w:sz="4" w:space="0"/>
            </w:tcBorders>
            <w:shd w:val="clear" w:color="000000" w:fill="FFFFFF"/>
            <w:noWrap/>
            <w:vAlign w:val="center"/>
          </w:tcPr>
          <w:p>
            <w:r>
              <w:rPr>
                <w:rFonts w:hint="eastAsia"/>
              </w:rPr>
              <w:t>制造业</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68.94</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68.94</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r>
              <w:rPr>
                <w:rFonts w:hint="eastAsia"/>
              </w:rPr>
              <w:t>2150299</w:t>
            </w:r>
          </w:p>
        </w:tc>
        <w:tc>
          <w:tcPr>
            <w:tcW w:w="1950" w:type="dxa"/>
            <w:tcBorders>
              <w:top w:val="nil"/>
              <w:left w:val="nil"/>
              <w:bottom w:val="single" w:color="auto" w:sz="4" w:space="0"/>
              <w:right w:val="single" w:color="auto" w:sz="4" w:space="0"/>
            </w:tcBorders>
            <w:shd w:val="clear" w:color="000000" w:fill="FFFFFF"/>
            <w:noWrap/>
            <w:vAlign w:val="center"/>
          </w:tcPr>
          <w:p>
            <w:r>
              <w:rPr>
                <w:rFonts w:hint="eastAsia"/>
              </w:rPr>
              <w:t>其他制造业支出</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68.94</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68.94</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r>
              <w:rPr>
                <w:rFonts w:hint="eastAsia"/>
              </w:rPr>
              <w:t>229</w:t>
            </w:r>
          </w:p>
        </w:tc>
        <w:tc>
          <w:tcPr>
            <w:tcW w:w="1950" w:type="dxa"/>
            <w:tcBorders>
              <w:top w:val="nil"/>
              <w:left w:val="nil"/>
              <w:bottom w:val="single" w:color="auto" w:sz="4" w:space="0"/>
              <w:right w:val="single" w:color="auto" w:sz="4" w:space="0"/>
            </w:tcBorders>
            <w:shd w:val="clear" w:color="000000" w:fill="FFFFFF"/>
            <w:noWrap/>
            <w:vAlign w:val="center"/>
          </w:tcPr>
          <w:p>
            <w:r>
              <w:rPr>
                <w:rFonts w:hint="eastAsia"/>
              </w:rPr>
              <w:t>其他支出</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17.76</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17.76</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r>
              <w:rPr>
                <w:rFonts w:hint="eastAsia"/>
              </w:rPr>
              <w:t>22999</w:t>
            </w:r>
          </w:p>
        </w:tc>
        <w:tc>
          <w:tcPr>
            <w:tcW w:w="1950" w:type="dxa"/>
            <w:tcBorders>
              <w:top w:val="nil"/>
              <w:left w:val="nil"/>
              <w:bottom w:val="single" w:color="auto" w:sz="4" w:space="0"/>
              <w:right w:val="single" w:color="auto" w:sz="4" w:space="0"/>
            </w:tcBorders>
            <w:shd w:val="clear" w:color="000000" w:fill="FFFFFF"/>
            <w:noWrap/>
            <w:vAlign w:val="center"/>
          </w:tcPr>
          <w:p>
            <w:r>
              <w:rPr>
                <w:rFonts w:hint="eastAsia"/>
              </w:rPr>
              <w:t>其他支出</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17.76</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17.76</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r>
              <w:rPr>
                <w:rFonts w:hint="eastAsia"/>
              </w:rPr>
              <w:t>2299901</w:t>
            </w:r>
          </w:p>
        </w:tc>
        <w:tc>
          <w:tcPr>
            <w:tcW w:w="1950" w:type="dxa"/>
            <w:tcBorders>
              <w:top w:val="nil"/>
              <w:left w:val="nil"/>
              <w:bottom w:val="single" w:color="auto" w:sz="4" w:space="0"/>
              <w:right w:val="single" w:color="auto" w:sz="4" w:space="0"/>
            </w:tcBorders>
            <w:shd w:val="clear" w:color="000000" w:fill="FFFFFF"/>
            <w:noWrap/>
            <w:vAlign w:val="center"/>
          </w:tcPr>
          <w:p>
            <w:r>
              <w:rPr>
                <w:rFonts w:hint="eastAsia"/>
              </w:rPr>
              <w:t>其他支出</w:t>
            </w:r>
          </w:p>
        </w:tc>
        <w:tc>
          <w:tcPr>
            <w:tcW w:w="9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17.76</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17.76</w:t>
            </w: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6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23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c>
          <w:tcPr>
            <w:tcW w:w="131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630" w:hRule="atLeast"/>
        </w:trPr>
        <w:tc>
          <w:tcPr>
            <w:tcW w:w="13191" w:type="dxa"/>
            <w:gridSpan w:val="9"/>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c>
          <w:tcPr>
            <w:tcW w:w="13175" w:type="dxa"/>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p>
        </w:tc>
      </w:tr>
    </w:tbl>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tbl>
      <w:tblPr>
        <w:tblStyle w:val="7"/>
        <w:tblW w:w="15521" w:type="dxa"/>
        <w:tblInd w:w="93" w:type="dxa"/>
        <w:tblLayout w:type="fixed"/>
        <w:tblCellMar>
          <w:top w:w="0" w:type="dxa"/>
          <w:left w:w="108" w:type="dxa"/>
          <w:bottom w:w="0" w:type="dxa"/>
          <w:right w:w="108" w:type="dxa"/>
        </w:tblCellMar>
      </w:tblPr>
      <w:tblGrid>
        <w:gridCol w:w="3595"/>
        <w:gridCol w:w="436"/>
        <w:gridCol w:w="1078"/>
        <w:gridCol w:w="496"/>
        <w:gridCol w:w="2915"/>
        <w:gridCol w:w="632"/>
        <w:gridCol w:w="435"/>
        <w:gridCol w:w="1573"/>
        <w:gridCol w:w="1394"/>
        <w:gridCol w:w="1394"/>
        <w:gridCol w:w="1573"/>
      </w:tblGrid>
      <w:tr>
        <w:tblPrEx>
          <w:tblCellMar>
            <w:top w:w="0" w:type="dxa"/>
            <w:left w:w="108" w:type="dxa"/>
            <w:bottom w:w="0" w:type="dxa"/>
            <w:right w:w="108" w:type="dxa"/>
          </w:tblCellMar>
        </w:tblPrEx>
        <w:trPr>
          <w:trHeight w:val="285" w:hRule="atLeast"/>
        </w:trPr>
        <w:tc>
          <w:tcPr>
            <w:tcW w:w="3595"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436"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47"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35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CellMar>
            <w:top w:w="0" w:type="dxa"/>
            <w:left w:w="108" w:type="dxa"/>
            <w:bottom w:w="0" w:type="dxa"/>
            <w:right w:w="108" w:type="dxa"/>
          </w:tblCellMar>
        </w:tblPrEx>
        <w:trPr>
          <w:trHeight w:val="300" w:hRule="atLeast"/>
        </w:trPr>
        <w:tc>
          <w:tcPr>
            <w:tcW w:w="3595"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510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63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126.60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36.70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36.70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八、社会保障和就业支出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4.89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4.89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九、卫生健康支出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2.11</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2.11</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十一、城乡社区支出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0.69</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0.69</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十四、资源勘探工业信息等支出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68.94</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68.94</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二十三、其他支出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17.76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17.76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126.60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131.09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131.09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17.76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年末财政拨款结转和结余</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13.27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13.27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17.76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144.36　</w:t>
            </w:r>
          </w:p>
        </w:tc>
        <w:tc>
          <w:tcPr>
            <w:tcW w:w="3411"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67"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28</w:t>
            </w:r>
          </w:p>
        </w:tc>
        <w:tc>
          <w:tcPr>
            <w:tcW w:w="157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144.36　</w:t>
            </w:r>
          </w:p>
        </w:tc>
        <w:tc>
          <w:tcPr>
            <w:tcW w:w="139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144.36　</w:t>
            </w:r>
          </w:p>
        </w:tc>
        <w:tc>
          <w:tcPr>
            <w:tcW w:w="139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585" w:hRule="atLeast"/>
        </w:trPr>
        <w:tc>
          <w:tcPr>
            <w:tcW w:w="1552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单位：万元</w:t>
      </w:r>
    </w:p>
    <w:tbl>
      <w:tblPr>
        <w:tblStyle w:val="7"/>
        <w:tblW w:w="14219" w:type="dxa"/>
        <w:jc w:val="center"/>
        <w:tblLayout w:type="fixed"/>
        <w:tblCellMar>
          <w:top w:w="0" w:type="dxa"/>
          <w:left w:w="108" w:type="dxa"/>
          <w:bottom w:w="0" w:type="dxa"/>
          <w:right w:w="108" w:type="dxa"/>
        </w:tblCellMar>
      </w:tblPr>
      <w:tblGrid>
        <w:gridCol w:w="1200"/>
        <w:gridCol w:w="3527"/>
        <w:gridCol w:w="3000"/>
        <w:gridCol w:w="3492"/>
        <w:gridCol w:w="3000"/>
      </w:tblGrid>
      <w:tr>
        <w:tblPrEx>
          <w:tblCellMar>
            <w:top w:w="0" w:type="dxa"/>
            <w:left w:w="108" w:type="dxa"/>
            <w:bottom w:w="0" w:type="dxa"/>
            <w:right w:w="108" w:type="dxa"/>
          </w:tblCellMar>
        </w:tblPrEx>
        <w:trPr>
          <w:trHeight w:val="40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 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131.09</w:t>
            </w:r>
            <w:r>
              <w:rPr>
                <w:rFonts w:ascii="Times New Roman" w:hAnsi="Times New Roman" w:eastAsia="仿宋_GB2312" w:cs="Times New Roman"/>
                <w:kern w:val="0"/>
                <w:szCs w:val="21"/>
              </w:rPr>
              <w:t>　</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131.09</w:t>
            </w: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cs="宋体"/>
                <w:sz w:val="24"/>
                <w:szCs w:val="24"/>
              </w:rPr>
            </w:pPr>
            <w:r>
              <w:rPr>
                <w:rFonts w:hint="eastAsia"/>
              </w:rPr>
              <w:t>　201</w:t>
            </w:r>
          </w:p>
        </w:tc>
        <w:tc>
          <w:tcPr>
            <w:tcW w:w="3527" w:type="dxa"/>
            <w:tcBorders>
              <w:top w:val="nil"/>
              <w:left w:val="nil"/>
              <w:bottom w:val="single" w:color="auto" w:sz="4" w:space="0"/>
              <w:right w:val="single" w:color="auto" w:sz="4" w:space="0"/>
            </w:tcBorders>
            <w:shd w:val="clear" w:color="auto" w:fill="auto"/>
            <w:vAlign w:val="center"/>
          </w:tcPr>
          <w:p>
            <w:pPr>
              <w:rPr>
                <w:rFonts w:ascii="宋体" w:hAnsi="宋体" w:cs="宋体"/>
                <w:sz w:val="24"/>
                <w:szCs w:val="24"/>
              </w:rPr>
            </w:pPr>
            <w:r>
              <w:rPr>
                <w:rFonts w:hint="eastAsia"/>
              </w:rPr>
              <w:t>　一般公共服务支出</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36.70</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36.70</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cs="宋体"/>
                <w:sz w:val="24"/>
                <w:szCs w:val="24"/>
              </w:rPr>
            </w:pPr>
            <w:r>
              <w:rPr>
                <w:rFonts w:hint="eastAsia"/>
              </w:rPr>
              <w:t>　20103</w:t>
            </w:r>
          </w:p>
        </w:tc>
        <w:tc>
          <w:tcPr>
            <w:tcW w:w="3527" w:type="dxa"/>
            <w:tcBorders>
              <w:top w:val="nil"/>
              <w:left w:val="nil"/>
              <w:bottom w:val="single" w:color="auto" w:sz="4" w:space="0"/>
              <w:right w:val="single" w:color="auto" w:sz="4" w:space="0"/>
            </w:tcBorders>
            <w:shd w:val="clear" w:color="auto" w:fill="auto"/>
            <w:vAlign w:val="center"/>
          </w:tcPr>
          <w:p>
            <w:pPr>
              <w:rPr>
                <w:rFonts w:ascii="宋体" w:hAnsi="宋体" w:cs="宋体"/>
                <w:sz w:val="24"/>
                <w:szCs w:val="24"/>
              </w:rPr>
            </w:pPr>
            <w:r>
              <w:rPr>
                <w:rFonts w:hint="eastAsia"/>
              </w:rPr>
              <w:t>　政府办公厅（室）及相关机构事务</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28.49</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28.49</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r>
              <w:rPr>
                <w:rFonts w:hint="eastAsia"/>
              </w:rPr>
              <w:t>2010305</w:t>
            </w:r>
          </w:p>
        </w:tc>
        <w:tc>
          <w:tcPr>
            <w:tcW w:w="3527" w:type="dxa"/>
            <w:tcBorders>
              <w:top w:val="nil"/>
              <w:left w:val="nil"/>
              <w:bottom w:val="single" w:color="auto" w:sz="4" w:space="0"/>
              <w:right w:val="single" w:color="auto" w:sz="4" w:space="0"/>
            </w:tcBorders>
            <w:shd w:val="clear" w:color="auto" w:fill="auto"/>
            <w:vAlign w:val="center"/>
          </w:tcPr>
          <w:p>
            <w:r>
              <w:rPr>
                <w:rFonts w:hint="eastAsia"/>
              </w:rPr>
              <w:t>专项业务活动</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28.49</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28.49</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cs="宋体"/>
                <w:sz w:val="24"/>
                <w:szCs w:val="24"/>
              </w:rPr>
            </w:pPr>
            <w:r>
              <w:rPr>
                <w:rFonts w:hint="eastAsia"/>
              </w:rPr>
              <w:t>　20199</w:t>
            </w:r>
          </w:p>
        </w:tc>
        <w:tc>
          <w:tcPr>
            <w:tcW w:w="3527" w:type="dxa"/>
            <w:tcBorders>
              <w:top w:val="nil"/>
              <w:left w:val="nil"/>
              <w:bottom w:val="single" w:color="auto" w:sz="4" w:space="0"/>
              <w:right w:val="single" w:color="auto" w:sz="4" w:space="0"/>
            </w:tcBorders>
            <w:shd w:val="clear" w:color="auto" w:fill="auto"/>
            <w:vAlign w:val="center"/>
          </w:tcPr>
          <w:p>
            <w:pPr>
              <w:rPr>
                <w:rFonts w:ascii="宋体" w:hAnsi="宋体" w:cs="宋体"/>
                <w:sz w:val="24"/>
                <w:szCs w:val="24"/>
              </w:rPr>
            </w:pPr>
            <w:r>
              <w:rPr>
                <w:rFonts w:hint="eastAsia"/>
              </w:rPr>
              <w:t>　其他一般公共服务支出</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8.21</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8.21</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cs="宋体"/>
                <w:sz w:val="24"/>
                <w:szCs w:val="24"/>
              </w:rPr>
            </w:pPr>
            <w:r>
              <w:rPr>
                <w:rFonts w:hint="eastAsia"/>
              </w:rPr>
              <w:t>　2019999</w:t>
            </w:r>
          </w:p>
        </w:tc>
        <w:tc>
          <w:tcPr>
            <w:tcW w:w="3527" w:type="dxa"/>
            <w:tcBorders>
              <w:top w:val="nil"/>
              <w:left w:val="nil"/>
              <w:bottom w:val="single" w:color="auto" w:sz="4" w:space="0"/>
              <w:right w:val="single" w:color="auto" w:sz="4" w:space="0"/>
            </w:tcBorders>
            <w:shd w:val="clear" w:color="auto" w:fill="auto"/>
            <w:vAlign w:val="center"/>
          </w:tcPr>
          <w:p>
            <w:pPr>
              <w:rPr>
                <w:rFonts w:ascii="宋体" w:hAnsi="宋体" w:eastAsia="宋体" w:cs="宋体"/>
                <w:sz w:val="24"/>
                <w:szCs w:val="24"/>
              </w:rPr>
            </w:pPr>
            <w:r>
              <w:rPr>
                <w:rFonts w:hint="eastAsia"/>
              </w:rPr>
              <w:t>　其他一般公共服务支出</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8.21</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8.21</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cs="宋体"/>
                <w:sz w:val="24"/>
                <w:szCs w:val="24"/>
              </w:rPr>
            </w:pPr>
            <w:r>
              <w:rPr>
                <w:rFonts w:hint="eastAsia"/>
              </w:rPr>
              <w:t>　208</w:t>
            </w:r>
          </w:p>
        </w:tc>
        <w:tc>
          <w:tcPr>
            <w:tcW w:w="3527" w:type="dxa"/>
            <w:tcBorders>
              <w:top w:val="nil"/>
              <w:left w:val="nil"/>
              <w:bottom w:val="single" w:color="auto" w:sz="4" w:space="0"/>
              <w:right w:val="single" w:color="auto" w:sz="4" w:space="0"/>
            </w:tcBorders>
            <w:shd w:val="clear" w:color="auto" w:fill="auto"/>
            <w:vAlign w:val="center"/>
          </w:tcPr>
          <w:p>
            <w:pPr>
              <w:rPr>
                <w:rFonts w:ascii="宋体" w:hAnsi="宋体" w:cs="宋体"/>
                <w:sz w:val="24"/>
                <w:szCs w:val="24"/>
              </w:rPr>
            </w:pPr>
            <w:r>
              <w:rPr>
                <w:rFonts w:hint="eastAsia"/>
              </w:rPr>
              <w:t>　社会保障和就业支出</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4.89</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4.89</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r>
              <w:rPr>
                <w:rFonts w:hint="eastAsia"/>
              </w:rPr>
              <w:t>20805</w:t>
            </w:r>
          </w:p>
        </w:tc>
        <w:tc>
          <w:tcPr>
            <w:tcW w:w="3527" w:type="dxa"/>
            <w:tcBorders>
              <w:top w:val="nil"/>
              <w:left w:val="nil"/>
              <w:bottom w:val="single" w:color="auto" w:sz="4" w:space="0"/>
              <w:right w:val="single" w:color="auto" w:sz="4" w:space="0"/>
            </w:tcBorders>
            <w:shd w:val="clear" w:color="auto" w:fill="auto"/>
            <w:vAlign w:val="center"/>
          </w:tcPr>
          <w:p>
            <w:r>
              <w:rPr>
                <w:rFonts w:hint="eastAsia"/>
              </w:rPr>
              <w:t>行政事业单位养老支出</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4.56</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4.56</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r>
              <w:rPr>
                <w:rFonts w:hint="eastAsia"/>
              </w:rPr>
              <w:t>2080505</w:t>
            </w:r>
          </w:p>
        </w:tc>
        <w:tc>
          <w:tcPr>
            <w:tcW w:w="3527" w:type="dxa"/>
            <w:tcBorders>
              <w:top w:val="nil"/>
              <w:left w:val="nil"/>
              <w:bottom w:val="single" w:color="auto" w:sz="4" w:space="0"/>
              <w:right w:val="single" w:color="auto" w:sz="4" w:space="0"/>
            </w:tcBorders>
            <w:shd w:val="clear" w:color="auto" w:fill="auto"/>
            <w:vAlign w:val="center"/>
          </w:tcPr>
          <w:p>
            <w:r>
              <w:rPr>
                <w:rFonts w:hint="eastAsia"/>
              </w:rPr>
              <w:t>行政事业单位基本养老保险缴费支出</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4.56</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4.56</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r>
              <w:rPr>
                <w:rFonts w:hint="eastAsia"/>
              </w:rPr>
              <w:t>20811</w:t>
            </w:r>
          </w:p>
        </w:tc>
        <w:tc>
          <w:tcPr>
            <w:tcW w:w="3527" w:type="dxa"/>
            <w:tcBorders>
              <w:top w:val="nil"/>
              <w:left w:val="nil"/>
              <w:bottom w:val="single" w:color="auto" w:sz="4" w:space="0"/>
              <w:right w:val="single" w:color="auto" w:sz="4" w:space="0"/>
            </w:tcBorders>
            <w:shd w:val="clear" w:color="auto" w:fill="auto"/>
            <w:vAlign w:val="center"/>
          </w:tcPr>
          <w:p>
            <w:r>
              <w:rPr>
                <w:rFonts w:hint="eastAsia"/>
              </w:rPr>
              <w:t>残疾人事业</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0.33</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0.33</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r>
              <w:rPr>
                <w:rFonts w:hint="eastAsia"/>
              </w:rPr>
              <w:t>2081199</w:t>
            </w:r>
          </w:p>
        </w:tc>
        <w:tc>
          <w:tcPr>
            <w:tcW w:w="3527" w:type="dxa"/>
            <w:tcBorders>
              <w:top w:val="nil"/>
              <w:left w:val="nil"/>
              <w:bottom w:val="single" w:color="auto" w:sz="4" w:space="0"/>
              <w:right w:val="single" w:color="auto" w:sz="4" w:space="0"/>
            </w:tcBorders>
            <w:shd w:val="clear" w:color="auto" w:fill="auto"/>
            <w:vAlign w:val="center"/>
          </w:tcPr>
          <w:p>
            <w:r>
              <w:rPr>
                <w:rFonts w:hint="eastAsia"/>
              </w:rPr>
              <w:t>其他残疾人事业支出</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0.33</w:t>
            </w:r>
            <w:r>
              <w:rPr>
                <w:rFonts w:ascii="Times New Roman" w:hAnsi="Times New Roman" w:eastAsia="仿宋_GB2312" w:cs="Times New Roman"/>
                <w:kern w:val="0"/>
                <w:szCs w:val="21"/>
              </w:rPr>
              <w:t>　</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0.33</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r>
              <w:rPr>
                <w:rFonts w:hint="eastAsia"/>
              </w:rPr>
              <w:t>210</w:t>
            </w:r>
          </w:p>
        </w:tc>
        <w:tc>
          <w:tcPr>
            <w:tcW w:w="3527" w:type="dxa"/>
            <w:tcBorders>
              <w:top w:val="nil"/>
              <w:left w:val="nil"/>
              <w:bottom w:val="single" w:color="auto" w:sz="4" w:space="0"/>
              <w:right w:val="single" w:color="auto" w:sz="4" w:space="0"/>
            </w:tcBorders>
            <w:shd w:val="clear" w:color="auto" w:fill="auto"/>
            <w:vAlign w:val="center"/>
          </w:tcPr>
          <w:p>
            <w:r>
              <w:rPr>
                <w:rFonts w:hint="eastAsia"/>
              </w:rPr>
              <w:t>卫生健康支出</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2.11</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2.11</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r>
              <w:rPr>
                <w:rFonts w:hint="eastAsia"/>
              </w:rPr>
              <w:t>21011</w:t>
            </w:r>
          </w:p>
        </w:tc>
        <w:tc>
          <w:tcPr>
            <w:tcW w:w="3527" w:type="dxa"/>
            <w:tcBorders>
              <w:top w:val="nil"/>
              <w:left w:val="nil"/>
              <w:bottom w:val="single" w:color="auto" w:sz="4" w:space="0"/>
              <w:right w:val="single" w:color="auto" w:sz="4" w:space="0"/>
            </w:tcBorders>
            <w:shd w:val="clear" w:color="auto" w:fill="auto"/>
            <w:vAlign w:val="center"/>
          </w:tcPr>
          <w:p>
            <w:r>
              <w:rPr>
                <w:rFonts w:hint="eastAsia"/>
              </w:rPr>
              <w:t>行政事业单位医疗</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2.11</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2.11</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r>
              <w:rPr>
                <w:rFonts w:hint="eastAsia"/>
              </w:rPr>
              <w:t>2101101</w:t>
            </w:r>
          </w:p>
        </w:tc>
        <w:tc>
          <w:tcPr>
            <w:tcW w:w="3527" w:type="dxa"/>
            <w:tcBorders>
              <w:top w:val="nil"/>
              <w:left w:val="nil"/>
              <w:bottom w:val="single" w:color="auto" w:sz="4" w:space="0"/>
              <w:right w:val="single" w:color="auto" w:sz="4" w:space="0"/>
            </w:tcBorders>
            <w:shd w:val="clear" w:color="auto" w:fill="auto"/>
            <w:vAlign w:val="center"/>
          </w:tcPr>
          <w:p>
            <w:r>
              <w:rPr>
                <w:rFonts w:hint="eastAsia"/>
              </w:rPr>
              <w:t>行政单位医疗</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2.11</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2.11</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r>
              <w:rPr>
                <w:rFonts w:hint="eastAsia"/>
              </w:rPr>
              <w:t>212</w:t>
            </w:r>
          </w:p>
        </w:tc>
        <w:tc>
          <w:tcPr>
            <w:tcW w:w="3527" w:type="dxa"/>
            <w:tcBorders>
              <w:top w:val="nil"/>
              <w:left w:val="nil"/>
              <w:bottom w:val="single" w:color="auto" w:sz="4" w:space="0"/>
              <w:right w:val="single" w:color="auto" w:sz="4" w:space="0"/>
            </w:tcBorders>
            <w:shd w:val="clear" w:color="auto" w:fill="auto"/>
            <w:vAlign w:val="center"/>
          </w:tcPr>
          <w:p>
            <w:r>
              <w:rPr>
                <w:rFonts w:hint="eastAsia"/>
              </w:rPr>
              <w:t>城乡社区支出</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0.69</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0.69</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r>
              <w:rPr>
                <w:rFonts w:hint="eastAsia"/>
              </w:rPr>
              <w:t>21299</w:t>
            </w:r>
          </w:p>
        </w:tc>
        <w:tc>
          <w:tcPr>
            <w:tcW w:w="3527" w:type="dxa"/>
            <w:tcBorders>
              <w:top w:val="nil"/>
              <w:left w:val="nil"/>
              <w:bottom w:val="single" w:color="auto" w:sz="4" w:space="0"/>
              <w:right w:val="single" w:color="auto" w:sz="4" w:space="0"/>
            </w:tcBorders>
            <w:shd w:val="clear" w:color="auto" w:fill="auto"/>
            <w:vAlign w:val="center"/>
          </w:tcPr>
          <w:p>
            <w:r>
              <w:rPr>
                <w:rFonts w:hint="eastAsia"/>
              </w:rPr>
              <w:t>其他城乡社区支出</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0.69</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0.69</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r>
              <w:rPr>
                <w:rFonts w:hint="eastAsia"/>
              </w:rPr>
              <w:t>2129901</w:t>
            </w:r>
          </w:p>
        </w:tc>
        <w:tc>
          <w:tcPr>
            <w:tcW w:w="3527" w:type="dxa"/>
            <w:tcBorders>
              <w:top w:val="nil"/>
              <w:left w:val="nil"/>
              <w:bottom w:val="single" w:color="auto" w:sz="4" w:space="0"/>
              <w:right w:val="single" w:color="auto" w:sz="4" w:space="0"/>
            </w:tcBorders>
            <w:shd w:val="clear" w:color="auto" w:fill="auto"/>
            <w:vAlign w:val="center"/>
          </w:tcPr>
          <w:p>
            <w:r>
              <w:rPr>
                <w:rFonts w:hint="eastAsia"/>
              </w:rPr>
              <w:t>其他城乡社区支出</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0.69</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0.69</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r>
              <w:rPr>
                <w:rFonts w:hint="eastAsia"/>
              </w:rPr>
              <w:t>215</w:t>
            </w:r>
          </w:p>
        </w:tc>
        <w:tc>
          <w:tcPr>
            <w:tcW w:w="3527" w:type="dxa"/>
            <w:tcBorders>
              <w:top w:val="nil"/>
              <w:left w:val="nil"/>
              <w:bottom w:val="single" w:color="auto" w:sz="4" w:space="0"/>
              <w:right w:val="single" w:color="auto" w:sz="4" w:space="0"/>
            </w:tcBorders>
            <w:shd w:val="clear" w:color="auto" w:fill="auto"/>
            <w:vAlign w:val="center"/>
          </w:tcPr>
          <w:p>
            <w:r>
              <w:rPr>
                <w:rFonts w:hint="eastAsia"/>
              </w:rPr>
              <w:t>资源勘探工业信息等支出</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68.94</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68.94</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r>
              <w:rPr>
                <w:rFonts w:hint="eastAsia"/>
              </w:rPr>
              <w:t>21502</w:t>
            </w:r>
          </w:p>
        </w:tc>
        <w:tc>
          <w:tcPr>
            <w:tcW w:w="3527" w:type="dxa"/>
            <w:tcBorders>
              <w:top w:val="nil"/>
              <w:left w:val="nil"/>
              <w:bottom w:val="single" w:color="auto" w:sz="4" w:space="0"/>
              <w:right w:val="single" w:color="auto" w:sz="4" w:space="0"/>
            </w:tcBorders>
            <w:shd w:val="clear" w:color="auto" w:fill="auto"/>
            <w:vAlign w:val="center"/>
          </w:tcPr>
          <w:p>
            <w:r>
              <w:rPr>
                <w:rFonts w:hint="eastAsia"/>
              </w:rPr>
              <w:t>制造业</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68.94</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68.94</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r>
              <w:rPr>
                <w:rFonts w:hint="eastAsia"/>
              </w:rPr>
              <w:t>2150299</w:t>
            </w:r>
          </w:p>
        </w:tc>
        <w:tc>
          <w:tcPr>
            <w:tcW w:w="3527" w:type="dxa"/>
            <w:tcBorders>
              <w:top w:val="nil"/>
              <w:left w:val="nil"/>
              <w:bottom w:val="single" w:color="auto" w:sz="4" w:space="0"/>
              <w:right w:val="single" w:color="auto" w:sz="4" w:space="0"/>
            </w:tcBorders>
            <w:shd w:val="clear" w:color="auto" w:fill="auto"/>
            <w:vAlign w:val="center"/>
          </w:tcPr>
          <w:p>
            <w:r>
              <w:rPr>
                <w:rFonts w:hint="eastAsia"/>
              </w:rPr>
              <w:t>其他制造业支出</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68.94</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68.94</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r>
              <w:rPr>
                <w:rFonts w:hint="eastAsia"/>
              </w:rPr>
              <w:t>229</w:t>
            </w:r>
          </w:p>
        </w:tc>
        <w:tc>
          <w:tcPr>
            <w:tcW w:w="3527" w:type="dxa"/>
            <w:tcBorders>
              <w:top w:val="nil"/>
              <w:left w:val="nil"/>
              <w:bottom w:val="single" w:color="auto" w:sz="4" w:space="0"/>
              <w:right w:val="single" w:color="auto" w:sz="4" w:space="0"/>
            </w:tcBorders>
            <w:shd w:val="clear" w:color="auto" w:fill="auto"/>
            <w:vAlign w:val="center"/>
          </w:tcPr>
          <w:p>
            <w:r>
              <w:rPr>
                <w:rFonts w:hint="eastAsia"/>
              </w:rPr>
              <w:t>其他支出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17.76</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17.76</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r>
              <w:rPr>
                <w:rFonts w:hint="eastAsia"/>
              </w:rPr>
              <w:t>22999</w:t>
            </w:r>
          </w:p>
        </w:tc>
        <w:tc>
          <w:tcPr>
            <w:tcW w:w="3527" w:type="dxa"/>
            <w:tcBorders>
              <w:top w:val="nil"/>
              <w:left w:val="nil"/>
              <w:bottom w:val="single" w:color="auto" w:sz="4" w:space="0"/>
              <w:right w:val="single" w:color="auto" w:sz="4" w:space="0"/>
            </w:tcBorders>
            <w:shd w:val="clear" w:color="auto" w:fill="auto"/>
            <w:vAlign w:val="center"/>
          </w:tcPr>
          <w:p>
            <w:r>
              <w:rPr>
                <w:rFonts w:hint="eastAsia"/>
              </w:rPr>
              <w:t>其他支出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17.76</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17.76</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r>
              <w:rPr>
                <w:rFonts w:hint="eastAsia"/>
              </w:rPr>
              <w:t>2299901</w:t>
            </w:r>
          </w:p>
        </w:tc>
        <w:tc>
          <w:tcPr>
            <w:tcW w:w="3527" w:type="dxa"/>
            <w:tcBorders>
              <w:top w:val="nil"/>
              <w:left w:val="nil"/>
              <w:bottom w:val="single" w:color="auto" w:sz="8" w:space="0"/>
              <w:right w:val="single" w:color="auto" w:sz="4" w:space="0"/>
            </w:tcBorders>
            <w:shd w:val="clear" w:color="auto" w:fill="auto"/>
            <w:vAlign w:val="center"/>
          </w:tcPr>
          <w:p>
            <w:r>
              <w:rPr>
                <w:rFonts w:hint="eastAsia"/>
              </w:rPr>
              <w:t>其他支出</w:t>
            </w:r>
          </w:p>
        </w:tc>
        <w:tc>
          <w:tcPr>
            <w:tcW w:w="3000" w:type="dxa"/>
            <w:tcBorders>
              <w:top w:val="nil"/>
              <w:left w:val="nil"/>
              <w:bottom w:val="single" w:color="auto" w:sz="8" w:space="0"/>
              <w:right w:val="single" w:color="auto" w:sz="4" w:space="0"/>
            </w:tcBorders>
            <w:shd w:val="clear" w:color="auto" w:fill="auto"/>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17.76</w:t>
            </w:r>
          </w:p>
        </w:tc>
        <w:tc>
          <w:tcPr>
            <w:tcW w:w="3492" w:type="dxa"/>
            <w:tcBorders>
              <w:top w:val="nil"/>
              <w:left w:val="nil"/>
              <w:bottom w:val="single" w:color="auto" w:sz="8" w:space="0"/>
              <w:right w:val="single" w:color="auto" w:sz="4" w:space="0"/>
            </w:tcBorders>
            <w:shd w:val="clear" w:color="auto" w:fill="auto"/>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17.76</w:t>
            </w:r>
          </w:p>
        </w:tc>
        <w:tc>
          <w:tcPr>
            <w:tcW w:w="3000" w:type="dxa"/>
            <w:tcBorders>
              <w:top w:val="nil"/>
              <w:left w:val="nil"/>
              <w:bottom w:val="single" w:color="auto" w:sz="8"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7"/>
        <w:tblW w:w="15614" w:type="dxa"/>
        <w:tblInd w:w="0" w:type="dxa"/>
        <w:tblLayout w:type="fixed"/>
        <w:tblCellMar>
          <w:top w:w="0" w:type="dxa"/>
          <w:left w:w="108" w:type="dxa"/>
          <w:bottom w:w="0" w:type="dxa"/>
          <w:right w:w="108" w:type="dxa"/>
        </w:tblCellMar>
      </w:tblPr>
      <w:tblGrid>
        <w:gridCol w:w="1338"/>
        <w:gridCol w:w="3366"/>
        <w:gridCol w:w="951"/>
        <w:gridCol w:w="1126"/>
        <w:gridCol w:w="2316"/>
        <w:gridCol w:w="1156"/>
        <w:gridCol w:w="735"/>
        <w:gridCol w:w="3165"/>
        <w:gridCol w:w="1461"/>
      </w:tblGrid>
      <w:tr>
        <w:trPr>
          <w:trHeight w:val="113" w:hRule="atLeast"/>
        </w:trPr>
        <w:tc>
          <w:tcPr>
            <w:tcW w:w="15614"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一般公共预算财政拨款基本支出决算表</w:t>
            </w:r>
            <w:bookmarkEnd w:id="2"/>
          </w:p>
          <w:p>
            <w:pPr>
              <w:widowControl/>
              <w:wordWrap w:val="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CellMar>
            <w:top w:w="0" w:type="dxa"/>
            <w:left w:w="108" w:type="dxa"/>
            <w:bottom w:w="0" w:type="dxa"/>
            <w:right w:w="108" w:type="dxa"/>
          </w:tblCellMar>
        </w:tblPrEx>
        <w:trPr>
          <w:trHeight w:val="113" w:hRule="atLeast"/>
        </w:trPr>
        <w:tc>
          <w:tcPr>
            <w:tcW w:w="13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36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3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15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7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31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46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74.49　</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36.37　</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23.47</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手续费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8.27</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0.69</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15.77</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7.09</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办公费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8.44</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3.74</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7.03</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0.16</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3.22</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0.69</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4.15</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5.23</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1.53</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20.23</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0.56</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20.23</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9.11</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1.00</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4.25</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3.00</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0.33</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36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3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115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3.15</w:t>
            </w:r>
          </w:p>
        </w:tc>
        <w:tc>
          <w:tcPr>
            <w:tcW w:w="7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470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9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94.72</w:t>
            </w:r>
          </w:p>
        </w:tc>
        <w:tc>
          <w:tcPr>
            <w:tcW w:w="8498"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14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36.37　</w:t>
            </w:r>
          </w:p>
        </w:tc>
      </w:tr>
      <w:tr>
        <w:tblPrEx>
          <w:tblCellMar>
            <w:top w:w="0" w:type="dxa"/>
            <w:left w:w="108" w:type="dxa"/>
            <w:bottom w:w="0" w:type="dxa"/>
            <w:right w:w="108" w:type="dxa"/>
          </w:tblCellMar>
        </w:tblPrEx>
        <w:trPr>
          <w:trHeight w:val="284" w:hRule="exact"/>
        </w:trPr>
        <w:tc>
          <w:tcPr>
            <w:tcW w:w="15614"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pPr>
        <w:widowControl/>
        <w:jc w:val="center"/>
        <w:rPr>
          <w:rFonts w:ascii="Times New Roman" w:hAnsi="Times New Roman" w:eastAsia="方正小标宋_GBK" w:cs="Times New Roman"/>
          <w:color w:val="000000"/>
          <w:kern w:val="0"/>
          <w:sz w:val="36"/>
          <w:szCs w:val="36"/>
        </w:rPr>
      </w:pPr>
      <w:r>
        <w:rPr>
          <w:rFonts w:hint="eastAsia" w:ascii="Times New Roman" w:hAnsi="Times New Roman" w:eastAsia="方正小标宋_GBK" w:cs="Times New Roman"/>
          <w:color w:val="000000"/>
          <w:kern w:val="0"/>
          <w:sz w:val="36"/>
          <w:szCs w:val="36"/>
        </w:rPr>
        <w:t>一般公共预算财政拨款“三公”经费支出决算表</w:t>
      </w:r>
    </w:p>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                                                                                                                      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pPr>
        <w:widowControl/>
        <w:ind w:right="42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7"/>
        <w:tblW w:w="14640" w:type="dxa"/>
        <w:jc w:val="center"/>
        <w:tblLayout w:type="fixed"/>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1220" w:type="dxa"/>
            <w:tcBorders>
              <w:top w:val="nil"/>
              <w:left w:val="nil"/>
              <w:bottom w:val="single" w:color="auto" w:sz="8" w:space="0"/>
              <w:right w:val="nil"/>
            </w:tcBorders>
            <w:shd w:val="clear" w:color="auto" w:fill="auto"/>
            <w:vAlign w:val="center"/>
          </w:tcPr>
          <w:p>
            <w:pPr>
              <w:widowControl/>
              <w:jc w:val="lef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1220" w:type="dxa"/>
            <w:tcBorders>
              <w:top w:val="nil"/>
              <w:left w:val="single" w:color="auto" w:sz="4" w:space="0"/>
              <w:bottom w:val="single" w:color="auto" w:sz="8" w:space="0"/>
              <w:right w:val="single" w:color="auto" w:sz="8" w:space="0"/>
            </w:tcBorders>
            <w:shd w:val="clear" w:color="auto" w:fill="auto"/>
            <w:vAlign w:val="center"/>
          </w:tcPr>
          <w:p>
            <w:pPr>
              <w:widowControl/>
              <w:jc w:val="lef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bookmarkStart w:id="3" w:name="_GoBack"/>
            <w:bookmarkEnd w:id="3"/>
          </w:p>
        </w:tc>
      </w:tr>
    </w:tbl>
    <w:p>
      <w:pPr>
        <w:widowControl/>
        <w:jc w:val="left"/>
        <w:rPr>
          <w:rFonts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pPr>
        <w:autoSpaceDE w:val="0"/>
        <w:autoSpaceDN w:val="0"/>
        <w:adjustRightInd w:val="0"/>
        <w:ind w:left="315" w:leftChars="150"/>
        <w:jc w:val="left"/>
        <w:rPr>
          <w:rFonts w:ascii="宋体" w:eastAsia="宋体" w:cs="宋体"/>
          <w:kern w:val="0"/>
          <w:sz w:val="24"/>
          <w:szCs w:val="24"/>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pPr>
        <w:widowControl/>
        <w:wordWrap w:val="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                                                                                                                       公开08表</w:t>
      </w:r>
    </w:p>
    <w:p>
      <w:pPr>
        <w:widowControl/>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7"/>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 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岳阳市绿色建筑产业发展服务中心没有政府性基金收入，也没有使用政府性基金安排的支出，故本表无数据。</w:t>
            </w: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pPr>
        <w:widowControl/>
        <w:jc w:val="left"/>
        <w:rPr>
          <w:rFonts w:ascii="黑体" w:hAnsi="黑体" w:eastAsia="黑体"/>
          <w:szCs w:val="21"/>
        </w:rPr>
      </w:pPr>
      <w:r>
        <w:rPr>
          <w:rFonts w:ascii="黑体" w:hAnsi="黑体" w:eastAsia="黑体"/>
          <w:szCs w:val="21"/>
        </w:rPr>
        <w:br w:type="page"/>
      </w:r>
    </w:p>
    <w:tbl>
      <w:tblPr>
        <w:tblStyle w:val="7"/>
        <w:tblW w:w="14190" w:type="dxa"/>
        <w:tblInd w:w="93" w:type="dxa"/>
        <w:tblLayout w:type="fixed"/>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rPr>
          <w:trHeight w:val="720" w:hRule="atLeast"/>
        </w:trPr>
        <w:tc>
          <w:tcPr>
            <w:tcW w:w="14190" w:type="dxa"/>
            <w:gridSpan w:val="9"/>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Times New Roman" w:hAnsi="Times New Roman" w:eastAsia="仿宋_GB2312" w:cs="Times New Roman"/>
                <w:kern w:val="0"/>
                <w:szCs w:val="21"/>
              </w:rPr>
              <w:t>岳阳市绿色建筑产业发展服务中心</w:t>
            </w:r>
            <w:r>
              <w:rPr>
                <w:rFonts w:ascii="Times New Roman" w:hAnsi="Times New Roman" w:eastAsia="仿宋_GB2312" w:cs="Times New Roman"/>
                <w:kern w:val="0"/>
                <w:szCs w:val="21"/>
              </w:rPr>
              <w:t>没有使用国有资本经营预算安排的支出，故本表无数据</w:t>
            </w:r>
            <w:r>
              <w:rPr>
                <w:rFonts w:hint="eastAsia" w:ascii="Times New Roman" w:hAnsi="Times New Roman" w:eastAsia="仿宋_GB2312" w:cs="Times New Roman"/>
                <w:kern w:val="0"/>
                <w:szCs w:val="21"/>
              </w:rPr>
              <w:t>。</w:t>
            </w: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widowControl/>
              <w:jc w:val="left"/>
              <w:rPr>
                <w:rFonts w:ascii="宋体" w:hAnsi="宋体" w:eastAsia="宋体" w:cs="宋体"/>
                <w:kern w:val="0"/>
                <w:sz w:val="24"/>
                <w:szCs w:val="24"/>
              </w:rPr>
            </w:pPr>
          </w:p>
        </w:tc>
      </w:tr>
    </w:tbl>
    <w:p>
      <w:pPr>
        <w:pStyle w:val="11"/>
        <w:rPr>
          <w:sz w:val="72"/>
          <w:szCs w:val="72"/>
        </w:rPr>
        <w:sectPr>
          <w:pgSz w:w="16838" w:h="11906" w:orient="landscape"/>
          <w:pgMar w:top="720" w:right="720" w:bottom="720" w:left="720" w:header="851" w:footer="992" w:gutter="0"/>
          <w:cols w:space="425" w:num="1"/>
          <w:docGrid w:type="lines" w:linePitch="312" w:charSpace="0"/>
        </w:sectPr>
      </w:pPr>
    </w:p>
    <w:p>
      <w:pPr>
        <w:pStyle w:val="11"/>
        <w:jc w:val="center"/>
        <w:rPr>
          <w:sz w:val="72"/>
          <w:szCs w:val="72"/>
        </w:rPr>
      </w:pPr>
    </w:p>
    <w:p>
      <w:pPr>
        <w:pStyle w:val="11"/>
        <w:jc w:val="center"/>
        <w:rPr>
          <w:sz w:val="72"/>
          <w:szCs w:val="72"/>
        </w:rPr>
      </w:pPr>
      <w:r>
        <w:rPr>
          <w:rFonts w:hint="eastAsia"/>
          <w:sz w:val="72"/>
          <w:szCs w:val="72"/>
        </w:rPr>
        <w:t>第三部分</w:t>
      </w:r>
    </w:p>
    <w:p>
      <w:pPr>
        <w:pStyle w:val="11"/>
        <w:jc w:val="center"/>
        <w:rPr>
          <w:sz w:val="70"/>
          <w:szCs w:val="70"/>
        </w:rPr>
      </w:pPr>
    </w:p>
    <w:p>
      <w:pPr>
        <w:pStyle w:val="11"/>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11"/>
        <w:rPr>
          <w:rFonts w:hAnsi="黑体"/>
          <w:b/>
          <w:sz w:val="32"/>
          <w:szCs w:val="32"/>
        </w:rPr>
      </w:pPr>
      <w:r>
        <w:rPr>
          <w:rFonts w:hint="eastAsia" w:hAnsi="黑体"/>
          <w:b/>
          <w:sz w:val="32"/>
          <w:szCs w:val="32"/>
        </w:rPr>
        <w:t>一、收入支出决算总体情况说明</w:t>
      </w:r>
    </w:p>
    <w:p>
      <w:pPr>
        <w:pStyle w:val="11"/>
        <w:ind w:firstLine="640" w:firstLineChars="200"/>
        <w:rPr>
          <w:rFonts w:asciiTheme="minorEastAsia" w:hAnsiTheme="minorEastAsia" w:eastAsiaTheme="minorEastAsia"/>
          <w:sz w:val="32"/>
          <w:szCs w:val="32"/>
        </w:rPr>
      </w:pPr>
      <w:r>
        <w:rPr>
          <w:rFonts w:ascii="宋体" w:hAnsi="Times New Roman" w:eastAsia="宋体" w:cs="宋体"/>
          <w:sz w:val="32"/>
          <w:szCs w:val="32"/>
          <w:highlight w:val="white"/>
          <w:lang w:val="zh-CN"/>
        </w:rPr>
        <w:t>2020</w:t>
      </w:r>
      <w:r>
        <w:rPr>
          <w:rFonts w:hint="eastAsia" w:ascii="宋体" w:hAnsi="Times New Roman" w:eastAsia="宋体" w:cs="宋体"/>
          <w:sz w:val="32"/>
          <w:szCs w:val="32"/>
          <w:highlight w:val="white"/>
          <w:lang w:val="zh-CN"/>
        </w:rPr>
        <w:t>年度收、支总计</w:t>
      </w:r>
      <w:r>
        <w:rPr>
          <w:rFonts w:ascii="宋体" w:hAnsi="Times New Roman" w:eastAsia="宋体" w:cs="宋体"/>
          <w:sz w:val="32"/>
          <w:szCs w:val="32"/>
          <w:highlight w:val="white"/>
          <w:lang w:val="zh-CN"/>
        </w:rPr>
        <w:t>165.31</w:t>
      </w:r>
      <w:r>
        <w:rPr>
          <w:rFonts w:hint="eastAsia" w:ascii="宋体" w:hAnsi="Times New Roman" w:eastAsia="宋体" w:cs="宋体"/>
          <w:sz w:val="32"/>
          <w:szCs w:val="32"/>
          <w:highlight w:val="white"/>
          <w:lang w:val="zh-CN"/>
        </w:rPr>
        <w:t>万元，与</w:t>
      </w:r>
      <w:r>
        <w:rPr>
          <w:rFonts w:ascii="宋体" w:hAnsi="Times New Roman" w:eastAsia="宋体" w:cs="宋体"/>
          <w:sz w:val="32"/>
          <w:szCs w:val="32"/>
          <w:highlight w:val="white"/>
          <w:lang w:val="zh-CN"/>
        </w:rPr>
        <w:t>2019</w:t>
      </w:r>
      <w:r>
        <w:rPr>
          <w:rFonts w:hint="eastAsia" w:ascii="宋体" w:hAnsi="Times New Roman" w:eastAsia="宋体" w:cs="宋体"/>
          <w:sz w:val="32"/>
          <w:szCs w:val="32"/>
          <w:highlight w:val="white"/>
          <w:lang w:val="zh-CN"/>
        </w:rPr>
        <w:t>年相比，收、支总计各减少</w:t>
      </w:r>
      <w:r>
        <w:rPr>
          <w:rFonts w:ascii="宋体" w:hAnsi="Times New Roman" w:eastAsia="宋体" w:cs="宋体"/>
          <w:sz w:val="32"/>
          <w:szCs w:val="32"/>
          <w:highlight w:val="white"/>
          <w:lang w:val="zh-CN"/>
        </w:rPr>
        <w:t>81</w:t>
      </w:r>
      <w:r>
        <w:rPr>
          <w:rFonts w:hint="eastAsia" w:ascii="宋体" w:hAnsi="Times New Roman" w:eastAsia="宋体" w:cs="宋体"/>
          <w:sz w:val="32"/>
          <w:szCs w:val="32"/>
          <w:highlight w:val="white"/>
          <w:lang w:val="zh-CN"/>
        </w:rPr>
        <w:t>万元，减少</w:t>
      </w:r>
      <w:r>
        <w:rPr>
          <w:rFonts w:ascii="宋体" w:hAnsi="Times New Roman" w:eastAsia="宋体" w:cs="宋体"/>
          <w:sz w:val="32"/>
          <w:szCs w:val="32"/>
          <w:highlight w:val="white"/>
          <w:lang w:val="zh-CN"/>
        </w:rPr>
        <w:t>32.9%</w:t>
      </w:r>
      <w:r>
        <w:rPr>
          <w:rFonts w:hint="eastAsia" w:ascii="宋体" w:hAnsi="Times New Roman" w:eastAsia="宋体" w:cs="宋体"/>
          <w:sz w:val="32"/>
          <w:szCs w:val="32"/>
          <w:highlight w:val="white"/>
          <w:lang w:val="zh-CN"/>
        </w:rPr>
        <w:t>。</w:t>
      </w:r>
      <w:r>
        <w:rPr>
          <w:rFonts w:hint="eastAsia" w:asciiTheme="minorEastAsia" w:hAnsiTheme="minorEastAsia" w:eastAsiaTheme="minorEastAsia"/>
          <w:sz w:val="32"/>
          <w:szCs w:val="32"/>
        </w:rPr>
        <w:t>主要是因为压缩了支出。</w:t>
      </w:r>
    </w:p>
    <w:p>
      <w:pPr>
        <w:pStyle w:val="11"/>
        <w:rPr>
          <w:rFonts w:hAnsi="黑体"/>
          <w:b/>
          <w:sz w:val="32"/>
          <w:szCs w:val="32"/>
        </w:rPr>
      </w:pPr>
      <w:r>
        <w:rPr>
          <w:rFonts w:hint="eastAsia" w:hAnsi="黑体"/>
          <w:b/>
          <w:sz w:val="32"/>
          <w:szCs w:val="32"/>
        </w:rPr>
        <w:t>二、收入决算情况说明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本年收入合计147.56万元，其中：财政拨款收入126.60万元，占85.8%；上级补助收入0万元，占0%；事业收入0万元，占0%；经营收入0万元，占0%；附属单位上缴收入0万元，占%；其他收入20.95万元，占14.20%。</w:t>
      </w:r>
    </w:p>
    <w:p>
      <w:pPr>
        <w:pStyle w:val="11"/>
        <w:rPr>
          <w:rFonts w:hAnsi="黑体"/>
          <w:b/>
          <w:sz w:val="32"/>
          <w:szCs w:val="32"/>
        </w:rPr>
      </w:pPr>
      <w:r>
        <w:rPr>
          <w:rFonts w:hint="eastAsia" w:hAnsi="黑体"/>
          <w:b/>
          <w:sz w:val="32"/>
          <w:szCs w:val="32"/>
        </w:rPr>
        <w:t>三、支出决算情况说明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本年支出合计149.38万元，其中：基本支出149.38万元，占100%；项目支出0万元，占0%；上缴上级支出0万元，占0%；经营支出0万元，占0%；对附属单位补助支出0万元，占0%。</w:t>
      </w:r>
    </w:p>
    <w:p>
      <w:pPr>
        <w:pStyle w:val="11"/>
        <w:rPr>
          <w:rFonts w:hAnsi="黑体"/>
          <w:b/>
          <w:sz w:val="32"/>
          <w:szCs w:val="32"/>
        </w:rPr>
      </w:pPr>
      <w:r>
        <w:rPr>
          <w:rFonts w:hint="eastAsia" w:hAnsi="黑体"/>
          <w:b/>
          <w:sz w:val="32"/>
          <w:szCs w:val="32"/>
        </w:rPr>
        <w:t>四、财政拨款收入支出决算总体情况说明</w:t>
      </w:r>
    </w:p>
    <w:p>
      <w:pPr>
        <w:pStyle w:val="11"/>
        <w:ind w:firstLine="640"/>
        <w:rPr>
          <w:rFonts w:asciiTheme="minorEastAsia" w:hAnsiTheme="minorEastAsia" w:eastAsiaTheme="minorEastAsia"/>
          <w:sz w:val="32"/>
          <w:szCs w:val="32"/>
        </w:rPr>
      </w:pPr>
      <w:r>
        <w:rPr>
          <w:rFonts w:ascii="宋体" w:hAnsi="Times New Roman" w:eastAsia="宋体" w:cs="宋体"/>
          <w:sz w:val="32"/>
          <w:szCs w:val="32"/>
          <w:highlight w:val="white"/>
        </w:rPr>
        <w:t>2020</w:t>
      </w:r>
      <w:r>
        <w:rPr>
          <w:rFonts w:hint="eastAsia" w:ascii="宋体" w:hAnsi="Times New Roman" w:eastAsia="宋体" w:cs="宋体"/>
          <w:sz w:val="32"/>
          <w:szCs w:val="32"/>
          <w:highlight w:val="white"/>
        </w:rPr>
        <w:t>年度财政拨款收、支总计</w:t>
      </w:r>
      <w:r>
        <w:rPr>
          <w:rFonts w:ascii="宋体" w:hAnsi="Times New Roman" w:eastAsia="宋体" w:cs="宋体"/>
          <w:sz w:val="32"/>
          <w:szCs w:val="32"/>
          <w:highlight w:val="white"/>
        </w:rPr>
        <w:t>144.36</w:t>
      </w:r>
      <w:r>
        <w:rPr>
          <w:rFonts w:hint="eastAsia" w:ascii="宋体" w:hAnsi="Times New Roman" w:eastAsia="宋体" w:cs="宋体"/>
          <w:sz w:val="32"/>
          <w:szCs w:val="32"/>
          <w:highlight w:val="white"/>
        </w:rPr>
        <w:t>万元，</w:t>
      </w:r>
      <w:r>
        <w:rPr>
          <w:rFonts w:hint="eastAsia" w:ascii="宋体" w:hAnsi="Times New Roman" w:eastAsia="宋体" w:cs="宋体"/>
          <w:sz w:val="32"/>
          <w:szCs w:val="32"/>
          <w:highlight w:val="white"/>
          <w:lang w:val="zh-CN"/>
        </w:rPr>
        <w:t>与</w:t>
      </w:r>
      <w:r>
        <w:rPr>
          <w:rFonts w:ascii="宋体" w:hAnsi="Times New Roman" w:eastAsia="宋体" w:cs="宋体"/>
          <w:sz w:val="32"/>
          <w:szCs w:val="32"/>
          <w:highlight w:val="white"/>
          <w:lang w:val="zh-CN"/>
        </w:rPr>
        <w:t>2019</w:t>
      </w:r>
      <w:r>
        <w:rPr>
          <w:rFonts w:hint="eastAsia" w:ascii="宋体" w:hAnsi="Times New Roman" w:eastAsia="宋体" w:cs="宋体"/>
          <w:sz w:val="32"/>
          <w:szCs w:val="32"/>
          <w:highlight w:val="white"/>
          <w:lang w:val="zh-CN"/>
        </w:rPr>
        <w:t>年相比，</w:t>
      </w:r>
      <w:r>
        <w:rPr>
          <w:rFonts w:hint="eastAsia" w:ascii="宋体" w:hAnsi="Times New Roman" w:eastAsia="宋体" w:cs="宋体"/>
          <w:sz w:val="32"/>
          <w:szCs w:val="32"/>
          <w:highlight w:val="white"/>
        </w:rPr>
        <w:t>财政拨款收、支总计各减少</w:t>
      </w:r>
      <w:r>
        <w:rPr>
          <w:rFonts w:ascii="宋体" w:hAnsi="Times New Roman" w:eastAsia="宋体" w:cs="宋体"/>
          <w:sz w:val="32"/>
          <w:szCs w:val="32"/>
          <w:highlight w:val="white"/>
        </w:rPr>
        <w:t>102</w:t>
      </w:r>
      <w:r>
        <w:rPr>
          <w:rFonts w:hint="eastAsia" w:ascii="宋体" w:hAnsi="Times New Roman" w:eastAsia="宋体" w:cs="宋体"/>
          <w:sz w:val="32"/>
          <w:szCs w:val="32"/>
          <w:highlight w:val="white"/>
        </w:rPr>
        <w:t>万元，减少</w:t>
      </w:r>
      <w:r>
        <w:rPr>
          <w:rFonts w:ascii="宋体" w:hAnsi="Times New Roman" w:eastAsia="宋体" w:cs="宋体"/>
          <w:sz w:val="32"/>
          <w:szCs w:val="32"/>
          <w:highlight w:val="white"/>
        </w:rPr>
        <w:t>41.4%</w:t>
      </w:r>
      <w:r>
        <w:rPr>
          <w:rFonts w:hint="eastAsia" w:ascii="宋体" w:hAnsi="Times New Roman" w:eastAsia="宋体" w:cs="宋体"/>
          <w:sz w:val="32"/>
          <w:szCs w:val="32"/>
          <w:highlight w:val="white"/>
        </w:rPr>
        <w:t>。</w:t>
      </w:r>
      <w:r>
        <w:rPr>
          <w:rFonts w:hint="eastAsia" w:asciiTheme="minorEastAsia" w:hAnsiTheme="minorEastAsia" w:eastAsiaTheme="minorEastAsia"/>
          <w:sz w:val="32"/>
          <w:szCs w:val="32"/>
        </w:rPr>
        <w:t>主要是因为压缩了支出</w:t>
      </w:r>
    </w:p>
    <w:p>
      <w:pPr>
        <w:pStyle w:val="11"/>
        <w:rPr>
          <w:rFonts w:hAnsi="黑体"/>
          <w:b/>
          <w:sz w:val="32"/>
          <w:szCs w:val="32"/>
        </w:rPr>
      </w:pPr>
      <w:r>
        <w:rPr>
          <w:rFonts w:hint="eastAsia" w:hAnsi="黑体"/>
          <w:b/>
          <w:sz w:val="32"/>
          <w:szCs w:val="32"/>
        </w:rPr>
        <w:t>五、一般公共预算财政拨款支出决算情况说明</w:t>
      </w:r>
    </w:p>
    <w:p>
      <w:pPr>
        <w:pStyle w:val="11"/>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2020年度财政拨款支出131.09万元，占本年支出合计的87.76%，与上年相比，财政拨款支出减少96.97万元，减少42.52%，主要是因为压缩了支出</w:t>
      </w:r>
    </w:p>
    <w:p>
      <w:pPr>
        <w:pStyle w:val="11"/>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131.09万元，主要用于以下方面：一般公共服务（类）支出36.70万元，占28%；社会保障和就业（类）支出4.89万元，占3.73%;卫生健康支出2.11万元，占1.61%；城乡社区支出0.69万元，占0.53%；资源勘探工业信息等支出68.94万元，占52.59%；其他支出17.76万元，占13.55%</w:t>
      </w:r>
      <w:r>
        <w:rPr>
          <w:rFonts w:hint="eastAsia" w:asciiTheme="minorEastAsia" w:hAnsiTheme="minorEastAsia" w:eastAsiaTheme="minorEastAsia"/>
          <w:i/>
          <w:color w:val="auto"/>
          <w:sz w:val="32"/>
          <w:szCs w:val="32"/>
        </w:rPr>
        <w:t>。</w:t>
      </w:r>
    </w:p>
    <w:p>
      <w:pPr>
        <w:pStyle w:val="11"/>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2020年度财政拨款支出年初预算数为49.93万元，支出决算数为131.09万元，完成年初预算的263%，其中：</w:t>
      </w:r>
    </w:p>
    <w:p>
      <w:pPr>
        <w:pStyle w:val="11"/>
        <w:ind w:firstLine="800" w:firstLineChars="250"/>
        <w:rPr>
          <w:rFonts w:hint="eastAsia" w:ascii="宋体" w:hAnsi="Times New Roman" w:eastAsia="宋体" w:cs="宋体"/>
          <w:sz w:val="32"/>
          <w:szCs w:val="32"/>
        </w:rPr>
      </w:pPr>
      <w:r>
        <w:rPr>
          <w:rFonts w:hint="eastAsia" w:ascii="宋体" w:hAnsi="Times New Roman" w:eastAsia="宋体" w:cs="宋体"/>
          <w:sz w:val="32"/>
          <w:szCs w:val="32"/>
          <w:highlight w:val="white"/>
        </w:rPr>
        <w:t>1、一般公共服务支出（类）政府办公厅（室）及相关机构事务（款）专项业务活动（项）。年初预算为29.97万元（其中：经费拨款22.59万元，纳入预算管理的非税收入拨款7.38万元，因2020年度我单位已无非税收入，故财政收回非税收入拨款7.38万元，年初预算实际为22.59万元），支出决算为</w:t>
      </w:r>
      <w:r>
        <w:rPr>
          <w:rFonts w:ascii="宋体" w:hAnsi="Times New Roman" w:eastAsia="宋体" w:cs="宋体"/>
          <w:sz w:val="32"/>
          <w:szCs w:val="32"/>
          <w:highlight w:val="white"/>
        </w:rPr>
        <w:t>28.49</w:t>
      </w:r>
      <w:r>
        <w:rPr>
          <w:rFonts w:hint="eastAsia" w:ascii="宋体" w:hAnsi="Times New Roman" w:eastAsia="宋体" w:cs="宋体"/>
          <w:sz w:val="32"/>
          <w:szCs w:val="32"/>
          <w:highlight w:val="white"/>
        </w:rPr>
        <w:t>万元，决算数大于预算数的主要原因是：</w:t>
      </w:r>
      <w:r>
        <w:rPr>
          <w:rFonts w:hint="eastAsia" w:ascii="宋体" w:hAnsi="Times New Roman" w:eastAsia="宋体" w:cs="宋体"/>
          <w:sz w:val="32"/>
          <w:szCs w:val="32"/>
        </w:rPr>
        <w:t>2020</w:t>
      </w:r>
      <w:r>
        <w:rPr>
          <w:rFonts w:hint="eastAsia" w:ascii="宋体" w:hAnsi="Times New Roman" w:eastAsia="宋体" w:cs="宋体"/>
          <w:sz w:val="32"/>
          <w:szCs w:val="32"/>
          <w:highlight w:val="white"/>
        </w:rPr>
        <w:t>度我单位新进职工</w:t>
      </w:r>
      <w:r>
        <w:rPr>
          <w:rFonts w:hint="eastAsia" w:ascii="宋体" w:hAnsi="Times New Roman" w:eastAsia="宋体" w:cs="宋体"/>
          <w:sz w:val="32"/>
          <w:szCs w:val="32"/>
        </w:rPr>
        <w:t>4</w:t>
      </w:r>
      <w:r>
        <w:rPr>
          <w:rFonts w:hint="eastAsia" w:ascii="宋体" w:hAnsi="Times New Roman" w:eastAsia="宋体" w:cs="宋体"/>
          <w:sz w:val="32"/>
          <w:szCs w:val="32"/>
          <w:highlight w:val="white"/>
        </w:rPr>
        <w:t>名，工资费用增加。</w:t>
      </w:r>
    </w:p>
    <w:p>
      <w:pPr>
        <w:pStyle w:val="11"/>
        <w:ind w:firstLine="800" w:firstLineChars="250"/>
        <w:rPr>
          <w:rFonts w:ascii="宋体" w:hAnsi="Times New Roman" w:eastAsia="宋体" w:cs="宋体"/>
          <w:sz w:val="32"/>
          <w:szCs w:val="32"/>
        </w:rPr>
      </w:pPr>
      <w:r>
        <w:rPr>
          <w:rFonts w:hint="eastAsia" w:ascii="宋体" w:hAnsi="Times New Roman" w:eastAsia="宋体" w:cs="宋体"/>
          <w:sz w:val="32"/>
          <w:szCs w:val="32"/>
        </w:rPr>
        <w:t xml:space="preserve">2、 </w:t>
      </w:r>
      <w:r>
        <w:rPr>
          <w:rFonts w:hint="eastAsia" w:ascii="宋体" w:hAnsi="Times New Roman" w:eastAsia="宋体" w:cs="宋体"/>
          <w:sz w:val="32"/>
          <w:szCs w:val="32"/>
          <w:highlight w:val="white"/>
        </w:rPr>
        <w:t>一般公共服务支出（类）其他一般公共服务支出（款）其他一般公共服务支出（项）。年初预算为8.21万元，支出决算为</w:t>
      </w:r>
      <w:r>
        <w:rPr>
          <w:rFonts w:ascii="宋体" w:hAnsi="Times New Roman" w:eastAsia="宋体" w:cs="宋体"/>
          <w:sz w:val="32"/>
          <w:szCs w:val="32"/>
          <w:highlight w:val="white"/>
        </w:rPr>
        <w:t>8.21</w:t>
      </w:r>
      <w:r>
        <w:rPr>
          <w:rFonts w:hint="eastAsia" w:ascii="宋体" w:hAnsi="Times New Roman" w:eastAsia="宋体" w:cs="宋体"/>
          <w:sz w:val="32"/>
          <w:szCs w:val="32"/>
          <w:highlight w:val="white"/>
        </w:rPr>
        <w:t>万元，决算数与预算数一致，完成年初预算。</w:t>
      </w:r>
      <w:r>
        <w:rPr>
          <w:rFonts w:ascii="宋体" w:hAnsi="Times New Roman" w:eastAsia="宋体" w:cs="宋体"/>
          <w:sz w:val="32"/>
          <w:szCs w:val="32"/>
          <w:highlight w:val="white"/>
        </w:rPr>
        <w:t xml:space="preserve">  </w:t>
      </w:r>
    </w:p>
    <w:p>
      <w:pPr>
        <w:pStyle w:val="11"/>
        <w:ind w:firstLine="800" w:firstLineChars="250"/>
        <w:rPr>
          <w:rFonts w:hint="eastAsia" w:hAnsi="黑体"/>
          <w:b/>
          <w:sz w:val="32"/>
          <w:szCs w:val="32"/>
        </w:rPr>
      </w:pPr>
      <w:r>
        <w:rPr>
          <w:rFonts w:hint="eastAsia" w:ascii="宋体" w:hAnsi="Times New Roman" w:eastAsia="宋体" w:cs="宋体"/>
          <w:sz w:val="32"/>
          <w:szCs w:val="32"/>
        </w:rPr>
        <w:t>3、</w:t>
      </w:r>
      <w:r>
        <w:rPr>
          <w:rFonts w:hint="eastAsia" w:ascii="宋体" w:hAnsi="Times New Roman" w:eastAsia="宋体" w:cs="宋体"/>
          <w:sz w:val="32"/>
          <w:szCs w:val="32"/>
          <w:highlight w:val="white"/>
        </w:rPr>
        <w:t>社会保障和就业支出（类）行政事业单位养老支出（款）机关事业单位基本养老保险缴费支出（项）。年初预算为4.56万元，支出决算为</w:t>
      </w:r>
      <w:r>
        <w:rPr>
          <w:rFonts w:ascii="宋体" w:hAnsi="Times New Roman" w:eastAsia="宋体" w:cs="宋体"/>
          <w:sz w:val="32"/>
          <w:szCs w:val="32"/>
          <w:highlight w:val="white"/>
        </w:rPr>
        <w:t>4.56</w:t>
      </w:r>
      <w:r>
        <w:rPr>
          <w:rFonts w:hint="eastAsia" w:ascii="宋体" w:hAnsi="Times New Roman" w:eastAsia="宋体" w:cs="宋体"/>
          <w:sz w:val="32"/>
          <w:szCs w:val="32"/>
          <w:highlight w:val="white"/>
        </w:rPr>
        <w:t>万元，决算数与预算数一致，完成年初预算。</w:t>
      </w:r>
    </w:p>
    <w:p>
      <w:pPr>
        <w:pStyle w:val="11"/>
        <w:ind w:firstLine="800" w:firstLineChars="250"/>
        <w:rPr>
          <w:rFonts w:hint="eastAsia" w:hAnsi="黑体"/>
          <w:sz w:val="32"/>
          <w:szCs w:val="32"/>
        </w:rPr>
      </w:pPr>
      <w:r>
        <w:rPr>
          <w:rFonts w:hint="eastAsia" w:hAnsi="黑体"/>
          <w:sz w:val="32"/>
          <w:szCs w:val="32"/>
        </w:rPr>
        <w:t>4、</w:t>
      </w:r>
      <w:r>
        <w:rPr>
          <w:rFonts w:hint="eastAsia" w:ascii="宋体" w:hAnsi="Times New Roman" w:eastAsia="宋体" w:cs="宋体"/>
          <w:sz w:val="32"/>
          <w:szCs w:val="32"/>
          <w:highlight w:val="white"/>
        </w:rPr>
        <w:t>社会保障和就业支出（类）残疾人事业（款）其他残疾人事业支出（项）。年初预算为0.33万元，支出决算为</w:t>
      </w:r>
      <w:r>
        <w:rPr>
          <w:rFonts w:ascii="宋体" w:hAnsi="Times New Roman" w:eastAsia="宋体" w:cs="宋体"/>
          <w:sz w:val="32"/>
          <w:szCs w:val="32"/>
          <w:highlight w:val="white"/>
        </w:rPr>
        <w:t>0.33</w:t>
      </w:r>
      <w:r>
        <w:rPr>
          <w:rFonts w:hint="eastAsia" w:ascii="宋体" w:hAnsi="Times New Roman" w:eastAsia="宋体" w:cs="宋体"/>
          <w:sz w:val="32"/>
          <w:szCs w:val="32"/>
          <w:highlight w:val="white"/>
        </w:rPr>
        <w:t>万元，决算数与预算数一致，完成年初预算。</w:t>
      </w:r>
    </w:p>
    <w:p>
      <w:pPr>
        <w:pStyle w:val="11"/>
        <w:ind w:firstLine="784" w:firstLineChars="245"/>
        <w:rPr>
          <w:rFonts w:hint="eastAsia" w:hAnsi="黑体"/>
          <w:b/>
          <w:sz w:val="32"/>
          <w:szCs w:val="32"/>
        </w:rPr>
      </w:pPr>
      <w:r>
        <w:rPr>
          <w:rFonts w:hint="eastAsia" w:hAnsi="黑体"/>
          <w:sz w:val="32"/>
          <w:szCs w:val="32"/>
        </w:rPr>
        <w:t>5、</w:t>
      </w:r>
      <w:r>
        <w:rPr>
          <w:rFonts w:hint="eastAsia" w:ascii="宋体" w:hAnsi="Times New Roman" w:eastAsia="宋体" w:cs="宋体"/>
          <w:sz w:val="32"/>
          <w:szCs w:val="32"/>
          <w:highlight w:val="white"/>
        </w:rPr>
        <w:t>卫生健康支出（类）行政事业单位医疗（款）行政单位医疗（项）。年初预算为2.11万元，支出决算为</w:t>
      </w:r>
      <w:r>
        <w:rPr>
          <w:rFonts w:ascii="宋体" w:hAnsi="Times New Roman" w:eastAsia="宋体" w:cs="宋体"/>
          <w:sz w:val="32"/>
          <w:szCs w:val="32"/>
          <w:highlight w:val="white"/>
        </w:rPr>
        <w:t>2.11</w:t>
      </w:r>
      <w:r>
        <w:rPr>
          <w:rFonts w:hint="eastAsia" w:ascii="宋体" w:hAnsi="Times New Roman" w:eastAsia="宋体" w:cs="宋体"/>
          <w:sz w:val="32"/>
          <w:szCs w:val="32"/>
          <w:highlight w:val="white"/>
        </w:rPr>
        <w:t>万元，决算数与预算数一致，完成年初预算。</w:t>
      </w:r>
    </w:p>
    <w:p>
      <w:pPr>
        <w:pStyle w:val="11"/>
        <w:ind w:firstLine="800" w:firstLineChars="250"/>
        <w:rPr>
          <w:rFonts w:hint="eastAsia" w:hAnsi="黑体"/>
          <w:sz w:val="32"/>
          <w:szCs w:val="32"/>
        </w:rPr>
      </w:pPr>
      <w:r>
        <w:rPr>
          <w:rFonts w:hint="eastAsia" w:hAnsi="黑体"/>
          <w:sz w:val="32"/>
          <w:szCs w:val="32"/>
        </w:rPr>
        <w:t>6、</w:t>
      </w:r>
      <w:r>
        <w:rPr>
          <w:rFonts w:hint="eastAsia" w:ascii="宋体" w:hAnsi="Times New Roman" w:eastAsia="宋体" w:cs="宋体"/>
          <w:sz w:val="32"/>
          <w:szCs w:val="32"/>
          <w:highlight w:val="white"/>
        </w:rPr>
        <w:t>城乡社区支出（类）其他城乡社区支出（款）其他城乡社区支出（项）。年初预算为0万元，支出决算为</w:t>
      </w:r>
      <w:r>
        <w:rPr>
          <w:rFonts w:ascii="宋体" w:hAnsi="Times New Roman" w:eastAsia="宋体" w:cs="宋体"/>
          <w:sz w:val="32"/>
          <w:szCs w:val="32"/>
          <w:highlight w:val="white"/>
        </w:rPr>
        <w:t>0.69</w:t>
      </w:r>
      <w:r>
        <w:rPr>
          <w:rFonts w:hint="eastAsia" w:ascii="宋体" w:hAnsi="Times New Roman" w:eastAsia="宋体" w:cs="宋体"/>
          <w:sz w:val="32"/>
          <w:szCs w:val="32"/>
          <w:highlight w:val="white"/>
        </w:rPr>
        <w:t>万元，决算数大于预算数的主要原因是：</w:t>
      </w:r>
      <w:r>
        <w:rPr>
          <w:rFonts w:hint="eastAsia" w:ascii="宋体" w:hAnsi="Times New Roman" w:eastAsia="宋体" w:cs="宋体"/>
          <w:sz w:val="32"/>
          <w:szCs w:val="32"/>
        </w:rPr>
        <w:t>2019</w:t>
      </w:r>
      <w:r>
        <w:rPr>
          <w:rFonts w:hint="eastAsia" w:ascii="宋体" w:hAnsi="Times New Roman" w:eastAsia="宋体" w:cs="宋体"/>
          <w:sz w:val="32"/>
          <w:szCs w:val="32"/>
          <w:highlight w:val="white"/>
        </w:rPr>
        <w:t>年的非税收入超收安排的支出费用，未纳入年初预算。</w:t>
      </w:r>
    </w:p>
    <w:p>
      <w:pPr>
        <w:pStyle w:val="11"/>
        <w:ind w:firstLine="640" w:firstLineChars="200"/>
        <w:rPr>
          <w:rFonts w:hint="eastAsia" w:hAnsi="黑体"/>
          <w:sz w:val="32"/>
          <w:szCs w:val="32"/>
        </w:rPr>
      </w:pPr>
      <w:r>
        <w:rPr>
          <w:rFonts w:hint="eastAsia" w:hAnsi="黑体"/>
          <w:sz w:val="32"/>
          <w:szCs w:val="32"/>
        </w:rPr>
        <w:t>7、</w:t>
      </w:r>
      <w:r>
        <w:rPr>
          <w:rFonts w:hint="eastAsia" w:ascii="宋体" w:hAnsi="Times New Roman" w:eastAsia="宋体" w:cs="宋体"/>
          <w:sz w:val="32"/>
          <w:szCs w:val="32"/>
          <w:highlight w:val="white"/>
        </w:rPr>
        <w:t>资源勘探工业信息等支出（类）制造业（款）其他制造业支出（项）。年初预算为</w:t>
      </w:r>
      <w:r>
        <w:rPr>
          <w:rFonts w:ascii="宋体" w:hAnsi="Times New Roman" w:eastAsia="宋体" w:cs="宋体"/>
          <w:sz w:val="32"/>
          <w:szCs w:val="32"/>
          <w:highlight w:val="white"/>
        </w:rPr>
        <w:t>0</w:t>
      </w:r>
      <w:r>
        <w:rPr>
          <w:rFonts w:hint="eastAsia" w:ascii="宋体" w:hAnsi="Times New Roman" w:eastAsia="宋体" w:cs="宋体"/>
          <w:sz w:val="32"/>
          <w:szCs w:val="32"/>
          <w:highlight w:val="white"/>
        </w:rPr>
        <w:t>万元，支出决算为</w:t>
      </w:r>
      <w:r>
        <w:rPr>
          <w:rFonts w:ascii="宋体" w:hAnsi="Times New Roman" w:eastAsia="宋体" w:cs="宋体"/>
          <w:sz w:val="32"/>
          <w:szCs w:val="32"/>
          <w:highlight w:val="white"/>
        </w:rPr>
        <w:t>68.94</w:t>
      </w:r>
      <w:r>
        <w:rPr>
          <w:rFonts w:hint="eastAsia" w:ascii="宋体" w:hAnsi="Times New Roman" w:eastAsia="宋体" w:cs="宋体"/>
          <w:sz w:val="32"/>
          <w:szCs w:val="32"/>
          <w:highlight w:val="white"/>
        </w:rPr>
        <w:t>万元，决算数大于预算数的主要原因是：</w:t>
      </w:r>
    </w:p>
    <w:p>
      <w:pPr>
        <w:pStyle w:val="11"/>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年底财政预拨了2020年综合绩效考评奖励、2020年综治考核奖励、2020年第13个月工资以及安排的2020年经费缺口费用。</w:t>
      </w:r>
    </w:p>
    <w:p>
      <w:pPr>
        <w:pStyle w:val="11"/>
        <w:ind w:firstLine="640" w:firstLineChars="200"/>
        <w:rPr>
          <w:rFonts w:hint="eastAsia" w:hAnsi="黑体"/>
          <w:sz w:val="32"/>
          <w:szCs w:val="32"/>
        </w:rPr>
      </w:pPr>
      <w:r>
        <w:rPr>
          <w:rFonts w:hint="eastAsia" w:asciiTheme="minorEastAsia" w:hAnsiTheme="minorEastAsia" w:eastAsiaTheme="minorEastAsia"/>
          <w:sz w:val="32"/>
          <w:szCs w:val="32"/>
        </w:rPr>
        <w:t>8</w:t>
      </w:r>
      <w:r>
        <w:rPr>
          <w:rFonts w:hint="eastAsia" w:hAnsi="黑体"/>
          <w:sz w:val="32"/>
          <w:szCs w:val="32"/>
        </w:rPr>
        <w:t>、</w:t>
      </w:r>
      <w:r>
        <w:rPr>
          <w:rFonts w:hint="eastAsia" w:ascii="宋体" w:hAnsi="Times New Roman" w:eastAsia="宋体" w:cs="宋体"/>
          <w:sz w:val="32"/>
          <w:szCs w:val="32"/>
          <w:highlight w:val="white"/>
        </w:rPr>
        <w:t>其他支出（类）其他支出（款）其他支出（项）。年初预算为</w:t>
      </w:r>
      <w:r>
        <w:rPr>
          <w:rFonts w:ascii="宋体" w:hAnsi="Times New Roman" w:eastAsia="宋体" w:cs="宋体"/>
          <w:sz w:val="32"/>
          <w:szCs w:val="32"/>
          <w:highlight w:val="white"/>
        </w:rPr>
        <w:t>0</w:t>
      </w:r>
      <w:r>
        <w:rPr>
          <w:rFonts w:hint="eastAsia" w:ascii="宋体" w:hAnsi="Times New Roman" w:eastAsia="宋体" w:cs="宋体"/>
          <w:sz w:val="32"/>
          <w:szCs w:val="32"/>
          <w:highlight w:val="white"/>
        </w:rPr>
        <w:t>万元，支出决算为</w:t>
      </w:r>
      <w:r>
        <w:rPr>
          <w:rFonts w:ascii="宋体" w:hAnsi="Times New Roman" w:eastAsia="宋体" w:cs="宋体"/>
          <w:sz w:val="32"/>
          <w:szCs w:val="32"/>
          <w:highlight w:val="white"/>
        </w:rPr>
        <w:t>17.76</w:t>
      </w:r>
      <w:r>
        <w:rPr>
          <w:rFonts w:hint="eastAsia" w:ascii="宋体" w:hAnsi="Times New Roman" w:eastAsia="宋体" w:cs="宋体"/>
          <w:sz w:val="32"/>
          <w:szCs w:val="32"/>
          <w:highlight w:val="white"/>
        </w:rPr>
        <w:t>万元，决算数大于预算数的主要原因是：</w:t>
      </w:r>
      <w:r>
        <w:rPr>
          <w:rFonts w:hint="eastAsia" w:ascii="宋体" w:hAnsi="Times New Roman" w:eastAsia="宋体" w:cs="宋体"/>
          <w:sz w:val="32"/>
          <w:szCs w:val="32"/>
        </w:rPr>
        <w:t>2020</w:t>
      </w:r>
      <w:r>
        <w:rPr>
          <w:rFonts w:hint="eastAsia" w:ascii="宋体" w:hAnsi="Times New Roman" w:eastAsia="宋体" w:cs="宋体"/>
          <w:sz w:val="32"/>
          <w:szCs w:val="32"/>
          <w:highlight w:val="white"/>
        </w:rPr>
        <w:t>年新进</w:t>
      </w:r>
      <w:r>
        <w:rPr>
          <w:rFonts w:hint="eastAsia" w:ascii="宋体" w:hAnsi="Times New Roman" w:eastAsia="宋体" w:cs="宋体"/>
          <w:sz w:val="32"/>
          <w:szCs w:val="32"/>
        </w:rPr>
        <w:t>4</w:t>
      </w:r>
      <w:r>
        <w:rPr>
          <w:rFonts w:hint="eastAsia" w:ascii="宋体" w:hAnsi="Times New Roman" w:eastAsia="宋体" w:cs="宋体"/>
          <w:sz w:val="32"/>
          <w:szCs w:val="32"/>
          <w:highlight w:val="white"/>
        </w:rPr>
        <w:t>名职工的工作经费从原单位转入至我单位，用于日常工作经费。</w:t>
      </w:r>
    </w:p>
    <w:p>
      <w:pPr>
        <w:pStyle w:val="11"/>
        <w:rPr>
          <w:rFonts w:hAnsi="黑体"/>
          <w:b/>
          <w:sz w:val="32"/>
          <w:szCs w:val="32"/>
        </w:rPr>
      </w:pPr>
      <w:r>
        <w:rPr>
          <w:rFonts w:hint="eastAsia" w:hAnsi="黑体"/>
          <w:b/>
          <w:sz w:val="32"/>
          <w:szCs w:val="32"/>
        </w:rPr>
        <w:t>六、一般公共预算财政拨款基本支出决算情况说明</w:t>
      </w:r>
    </w:p>
    <w:p>
      <w:pPr>
        <w:pStyle w:val="11"/>
        <w:ind w:firstLine="640" w:firstLineChars="200"/>
        <w:rPr>
          <w:rFonts w:hint="eastAsia" w:ascii="宋体" w:hAnsi="Times New Roman" w:eastAsia="宋体" w:cs="宋体"/>
          <w:sz w:val="32"/>
          <w:szCs w:val="32"/>
        </w:rPr>
      </w:pPr>
      <w:r>
        <w:rPr>
          <w:rFonts w:ascii="宋体" w:hAnsi="Times New Roman" w:eastAsia="宋体" w:cs="宋体"/>
          <w:sz w:val="32"/>
          <w:szCs w:val="32"/>
          <w:highlight w:val="white"/>
          <w:lang w:val="zh-CN"/>
        </w:rPr>
        <w:t>2020</w:t>
      </w:r>
      <w:r>
        <w:rPr>
          <w:rFonts w:hint="eastAsia" w:ascii="宋体" w:hAnsi="Times New Roman" w:eastAsia="宋体" w:cs="宋体"/>
          <w:sz w:val="32"/>
          <w:szCs w:val="32"/>
          <w:highlight w:val="white"/>
          <w:lang w:val="zh-CN"/>
        </w:rPr>
        <w:t>年度</w:t>
      </w:r>
      <w:r>
        <w:rPr>
          <w:rFonts w:hint="eastAsia" w:ascii="宋体" w:hAnsi="Times New Roman" w:eastAsia="宋体" w:cs="宋体"/>
          <w:sz w:val="32"/>
          <w:szCs w:val="32"/>
          <w:highlight w:val="white"/>
        </w:rPr>
        <w:t>财政拨款基本支出</w:t>
      </w:r>
      <w:r>
        <w:rPr>
          <w:rFonts w:ascii="宋体" w:hAnsi="Times New Roman" w:eastAsia="宋体" w:cs="宋体"/>
          <w:sz w:val="32"/>
          <w:szCs w:val="32"/>
          <w:highlight w:val="white"/>
        </w:rPr>
        <w:t>131.09</w:t>
      </w:r>
      <w:r>
        <w:rPr>
          <w:rFonts w:hint="eastAsia" w:ascii="宋体" w:hAnsi="Times New Roman" w:eastAsia="宋体" w:cs="宋体"/>
          <w:sz w:val="32"/>
          <w:szCs w:val="32"/>
          <w:highlight w:val="white"/>
        </w:rPr>
        <w:t>万元，其中</w:t>
      </w:r>
      <w:r>
        <w:rPr>
          <w:rFonts w:ascii="宋体" w:hAnsi="Times New Roman" w:eastAsia="宋体" w:cs="宋体"/>
          <w:sz w:val="32"/>
          <w:szCs w:val="32"/>
          <w:highlight w:val="white"/>
        </w:rPr>
        <w:t>:</w:t>
      </w:r>
      <w:r>
        <w:rPr>
          <w:rFonts w:hint="eastAsia" w:ascii="宋体" w:hAnsi="Times New Roman" w:eastAsia="宋体" w:cs="宋体"/>
          <w:sz w:val="32"/>
          <w:szCs w:val="32"/>
          <w:highlight w:val="white"/>
        </w:rPr>
        <w:t>人员经费</w:t>
      </w:r>
      <w:r>
        <w:rPr>
          <w:rFonts w:ascii="宋体" w:hAnsi="Times New Roman" w:eastAsia="宋体" w:cs="宋体"/>
          <w:sz w:val="32"/>
          <w:szCs w:val="32"/>
          <w:highlight w:val="white"/>
        </w:rPr>
        <w:t>94.72</w:t>
      </w:r>
      <w:r>
        <w:rPr>
          <w:rFonts w:hint="eastAsia" w:ascii="宋体" w:hAnsi="Times New Roman" w:eastAsia="宋体" w:cs="宋体"/>
          <w:sz w:val="32"/>
          <w:szCs w:val="32"/>
          <w:highlight w:val="white"/>
        </w:rPr>
        <w:t>万元，占基本支出的</w:t>
      </w:r>
      <w:r>
        <w:rPr>
          <w:rFonts w:ascii="宋体" w:hAnsi="Times New Roman" w:eastAsia="宋体" w:cs="宋体"/>
          <w:sz w:val="32"/>
          <w:szCs w:val="32"/>
          <w:highlight w:val="white"/>
        </w:rPr>
        <w:t>72.26%</w:t>
      </w:r>
      <w:r>
        <w:rPr>
          <w:rFonts w:hint="eastAsia" w:ascii="宋体" w:hAnsi="Times New Roman" w:eastAsia="宋体" w:cs="宋体"/>
          <w:sz w:val="32"/>
          <w:szCs w:val="32"/>
          <w:highlight w:val="white"/>
        </w:rPr>
        <w:t>，主要包括基本工资、津贴补贴、</w:t>
      </w:r>
      <w:r>
        <w:rPr>
          <w:rFonts w:hint="eastAsia" w:ascii="宋体" w:hAnsi="Times New Roman" w:eastAsia="宋体" w:cs="宋体"/>
          <w:sz w:val="32"/>
          <w:szCs w:val="32"/>
          <w:highlight w:val="white"/>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ascii="宋体" w:hAnsi="Times New Roman" w:eastAsia="宋体" w:cs="宋体"/>
          <w:sz w:val="32"/>
          <w:szCs w:val="32"/>
          <w:highlight w:val="white"/>
        </w:rPr>
        <w:t>公用经费</w:t>
      </w:r>
      <w:r>
        <w:rPr>
          <w:rFonts w:ascii="宋体" w:hAnsi="Times New Roman" w:eastAsia="宋体" w:cs="宋体"/>
          <w:sz w:val="32"/>
          <w:szCs w:val="32"/>
          <w:highlight w:val="white"/>
        </w:rPr>
        <w:t>36.37</w:t>
      </w:r>
      <w:r>
        <w:rPr>
          <w:rFonts w:hint="eastAsia" w:ascii="宋体" w:hAnsi="Times New Roman" w:eastAsia="宋体" w:cs="宋体"/>
          <w:sz w:val="32"/>
          <w:szCs w:val="32"/>
          <w:highlight w:val="white"/>
        </w:rPr>
        <w:t>万元，占基本支出的</w:t>
      </w:r>
      <w:r>
        <w:rPr>
          <w:rFonts w:ascii="宋体" w:hAnsi="Times New Roman" w:eastAsia="宋体" w:cs="宋体"/>
          <w:sz w:val="32"/>
          <w:szCs w:val="32"/>
          <w:highlight w:val="white"/>
        </w:rPr>
        <w:t>27.74%</w:t>
      </w:r>
      <w:r>
        <w:rPr>
          <w:rFonts w:hint="eastAsia" w:ascii="宋体" w:hAnsi="Times New Roman" w:eastAsia="宋体" w:cs="宋体"/>
          <w:sz w:val="32"/>
          <w:szCs w:val="32"/>
          <w:highlight w:val="white"/>
        </w:rPr>
        <w:t>，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11"/>
        <w:rPr>
          <w:rFonts w:hAnsi="黑体"/>
          <w:b/>
          <w:sz w:val="32"/>
          <w:szCs w:val="32"/>
        </w:rPr>
      </w:pPr>
      <w:r>
        <w:rPr>
          <w:rFonts w:hint="eastAsia" w:hAnsi="黑体"/>
          <w:b/>
          <w:sz w:val="32"/>
          <w:szCs w:val="32"/>
        </w:rPr>
        <w:t>七、一般公共预算财政拨款三公经费支出决算情况说明</w:t>
      </w:r>
    </w:p>
    <w:p>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万元，支出决算为0万元，完成预算的0%，其中：</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w:t>
      </w:r>
      <w:r>
        <w:rPr>
          <w:rFonts w:hint="eastAsia" w:asciiTheme="minorEastAsia" w:hAnsiTheme="minorEastAsia" w:eastAsiaTheme="minorEastAsia"/>
          <w:sz w:val="32"/>
          <w:szCs w:val="32"/>
          <w:lang w:eastAsia="zh-CN"/>
        </w:rPr>
        <w:t>预算数与决算数一致，与上年度持平，本年度</w:t>
      </w:r>
      <w:r>
        <w:rPr>
          <w:rFonts w:hint="eastAsia" w:asciiTheme="minorEastAsia" w:hAnsiTheme="minorEastAsia" w:eastAsiaTheme="minorEastAsia"/>
          <w:sz w:val="32"/>
          <w:szCs w:val="32"/>
        </w:rPr>
        <w:t>没有因公出国支出。</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万元，支出决算为0万元，完成预算的0%，</w:t>
      </w:r>
      <w:r>
        <w:rPr>
          <w:rFonts w:hint="eastAsia" w:asciiTheme="minorEastAsia" w:hAnsiTheme="minorEastAsia" w:eastAsiaTheme="minorEastAsia"/>
          <w:sz w:val="32"/>
          <w:szCs w:val="32"/>
          <w:lang w:eastAsia="zh-CN"/>
        </w:rPr>
        <w:t>预算数与决算数一致，与上年度持平，</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val="zh-CN"/>
        </w:rPr>
        <w:t>认真贯彻落实中央“八项规定”精神和厉行节约要求，从严控制“三公”经费开支</w:t>
      </w:r>
      <w:r>
        <w:rPr>
          <w:rFonts w:hint="eastAsia" w:asciiTheme="minorEastAsia" w:hAnsiTheme="minorEastAsia" w:eastAsiaTheme="minorEastAsia"/>
          <w:sz w:val="32"/>
          <w:szCs w:val="32"/>
        </w:rPr>
        <w:t>。</w:t>
      </w:r>
    </w:p>
    <w:p>
      <w:pPr>
        <w:pStyle w:val="11"/>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公务用车购置费及运行维护费支出预算为0万元，支出决算为0万元，</w:t>
      </w:r>
      <w:r>
        <w:rPr>
          <w:rFonts w:hint="eastAsia" w:asciiTheme="minorEastAsia" w:hAnsiTheme="minorEastAsia" w:eastAsiaTheme="minorEastAsia"/>
          <w:sz w:val="32"/>
          <w:szCs w:val="32"/>
          <w:lang w:eastAsia="zh-CN"/>
        </w:rPr>
        <w:t>预算数与决算数一致，与上年度持平，</w:t>
      </w:r>
      <w:r>
        <w:rPr>
          <w:rFonts w:hint="eastAsia" w:asciiTheme="minorEastAsia" w:hAnsiTheme="minorEastAsia" w:eastAsiaTheme="minorEastAsia"/>
          <w:sz w:val="32"/>
          <w:szCs w:val="32"/>
        </w:rPr>
        <w:t>主要原因是没有公务</w:t>
      </w:r>
      <w:r>
        <w:rPr>
          <w:rFonts w:hint="eastAsia" w:asciiTheme="minorEastAsia" w:hAnsiTheme="minorEastAsia" w:eastAsiaTheme="minorEastAsia"/>
          <w:sz w:val="32"/>
          <w:szCs w:val="32"/>
          <w:lang w:eastAsia="zh-CN"/>
        </w:rPr>
        <w:t>用</w:t>
      </w:r>
      <w:r>
        <w:rPr>
          <w:rFonts w:hint="eastAsia" w:asciiTheme="minorEastAsia" w:hAnsiTheme="minorEastAsia" w:eastAsiaTheme="minorEastAsia"/>
          <w:sz w:val="32"/>
          <w:szCs w:val="32"/>
        </w:rPr>
        <w:t>车</w:t>
      </w:r>
      <w:r>
        <w:rPr>
          <w:rFonts w:hint="eastAsia" w:asciiTheme="minorEastAsia" w:hAnsiTheme="minorEastAsia" w:eastAsiaTheme="minorEastAsia"/>
          <w:sz w:val="32"/>
          <w:szCs w:val="32"/>
          <w:lang w:eastAsia="zh-CN"/>
        </w:rPr>
        <w:t>。</w:t>
      </w:r>
    </w:p>
    <w:p>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2020年度“三公”经费财政拨款支出决算中，公务接待费支出决算0万元，占0%,因公出国（境）费支出决算0万元，占0%,公务用车购置费及运行维护费支出决算0万元，占0%。其中：</w:t>
      </w:r>
    </w:p>
    <w:p>
      <w:pPr>
        <w:pStyle w:val="11"/>
        <w:ind w:firstLine="640" w:firstLineChars="200"/>
        <w:rPr>
          <w:rFonts w:asciiTheme="minorEastAsia" w:hAnsiTheme="minorEastAsia" w:eastAsiaTheme="minorEastAsia"/>
          <w:b/>
          <w:sz w:val="32"/>
          <w:szCs w:val="32"/>
        </w:rPr>
      </w:pPr>
      <w:r>
        <w:rPr>
          <w:rFonts w:hint="eastAsia" w:asciiTheme="minorEastAsia" w:hAnsiTheme="minorEastAsia" w:eastAsiaTheme="minorEastAsia"/>
          <w:sz w:val="32"/>
          <w:szCs w:val="32"/>
        </w:rPr>
        <w:t>1、因公出国（境）费支出决算为0万元，全年安排因公出国（境）团组0个，累计0人次,无任何开支。</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2、公务接待费支出决算为0万元，全年共接待来访团组0个、来宾0人次，没有发生接待支出。</w:t>
      </w:r>
    </w:p>
    <w:p>
      <w:pPr>
        <w:keepNext/>
        <w:keepLines/>
        <w:spacing w:line="520" w:lineRule="exact"/>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3、公务用车购置费及运行维护费支出决算为0万元，其中：公务用车购置费0万元，更新公务用车0辆</w:t>
      </w:r>
      <w:r>
        <w:rPr>
          <w:rFonts w:hint="eastAsia" w:asciiTheme="minorEastAsia" w:hAnsiTheme="minorEastAsia"/>
          <w:color w:val="000000" w:themeColor="text1"/>
          <w:sz w:val="32"/>
          <w:szCs w:val="32"/>
          <w14:textFill>
            <w14:solidFill>
              <w14:schemeClr w14:val="tx1"/>
            </w14:solidFill>
          </w14:textFill>
        </w:rPr>
        <w:t>。</w:t>
      </w:r>
      <w:r>
        <w:rPr>
          <w:rFonts w:hint="eastAsia" w:asciiTheme="minorEastAsia" w:hAnsiTheme="minorEastAsia"/>
          <w:sz w:val="32"/>
          <w:szCs w:val="32"/>
        </w:rPr>
        <w:t>公务用车运行维护费0万元，无支出，截止2020年12月31日，我单位开支财政拨款的公务用车保有量为0辆。</w:t>
      </w:r>
      <w:r>
        <w:rPr>
          <w:rFonts w:hint="eastAsia" w:ascii="宋体" w:hAnsi="宋体"/>
          <w:color w:val="auto"/>
          <w:sz w:val="32"/>
          <w:highlight w:val="white"/>
          <w:lang w:val="zh-CN"/>
        </w:rPr>
        <w:t>当年没有购置公务用车。</w:t>
      </w:r>
    </w:p>
    <w:p>
      <w:pPr>
        <w:pStyle w:val="11"/>
        <w:rPr>
          <w:rFonts w:hAnsi="黑体"/>
          <w:b/>
          <w:sz w:val="32"/>
          <w:szCs w:val="32"/>
        </w:rPr>
      </w:pPr>
      <w:r>
        <w:rPr>
          <w:rFonts w:hint="eastAsia" w:hAnsi="黑体"/>
          <w:b/>
          <w:sz w:val="32"/>
          <w:szCs w:val="32"/>
        </w:rPr>
        <w:t>八、政府性基金预算收入支出决算情况</w:t>
      </w:r>
    </w:p>
    <w:p>
      <w:pPr>
        <w:pStyle w:val="11"/>
        <w:rPr>
          <w:rFonts w:asciiTheme="minorEastAsia" w:hAnsiTheme="minorEastAsia" w:eastAsiaTheme="minorEastAsia"/>
          <w:i/>
          <w:color w:val="000000" w:themeColor="text1"/>
          <w:sz w:val="32"/>
          <w:szCs w:val="32"/>
          <w14:textFill>
            <w14:solidFill>
              <w14:schemeClr w14:val="tx1"/>
            </w14:solidFill>
          </w14:textFill>
        </w:rPr>
      </w:pPr>
      <w:r>
        <w:rPr>
          <w:rFonts w:hint="eastAsia" w:asciiTheme="minorEastAsia" w:hAnsiTheme="minorEastAsia" w:eastAsiaTheme="minorEastAsia"/>
          <w:sz w:val="32"/>
          <w:szCs w:val="32"/>
        </w:rPr>
        <w:t xml:space="preserve">     2020年度政府性基金预算财政拨款收入0万元；年初结转和结余0万元；支出0万元，其中基本支出0万元，项目支出0万元；年末结转和结余0万元。（岳阳市绿色建筑产业发展服务</w:t>
      </w:r>
      <w:r>
        <w:rPr>
          <w:rFonts w:hint="eastAsia" w:asciiTheme="minorEastAsia" w:hAnsiTheme="minorEastAsia" w:eastAsiaTheme="minorEastAsia"/>
          <w:i w:val="0"/>
          <w:iCs w:val="0"/>
          <w:sz w:val="32"/>
          <w:szCs w:val="32"/>
        </w:rPr>
        <w:t>中心</w:t>
      </w:r>
      <w:r>
        <w:rPr>
          <w:rFonts w:hint="eastAsia" w:asciiTheme="minorEastAsia" w:hAnsiTheme="minorEastAsia" w:eastAsiaTheme="minorEastAsia"/>
          <w:i w:val="0"/>
          <w:iCs w:val="0"/>
          <w:color w:val="000000" w:themeColor="text1"/>
          <w:sz w:val="32"/>
          <w:szCs w:val="32"/>
          <w14:textFill>
            <w14:solidFill>
              <w14:schemeClr w14:val="tx1"/>
            </w14:solidFill>
          </w14:textFill>
        </w:rPr>
        <w:t>无政府性基金收支）</w:t>
      </w:r>
    </w:p>
    <w:p>
      <w:pPr>
        <w:pStyle w:val="11"/>
        <w:rPr>
          <w:rFonts w:hAnsi="黑体"/>
          <w:b/>
          <w:sz w:val="32"/>
          <w:szCs w:val="32"/>
        </w:rPr>
      </w:pPr>
      <w:r>
        <w:rPr>
          <w:rFonts w:hint="eastAsia" w:hAnsi="黑体"/>
          <w:b/>
          <w:sz w:val="32"/>
          <w:szCs w:val="32"/>
        </w:rPr>
        <w:t>九、国有资本经营预算财政拨款支出决算情况</w:t>
      </w:r>
    </w:p>
    <w:p>
      <w:pPr>
        <w:pStyle w:val="11"/>
        <w:rPr>
          <w:rFonts w:hAnsi="黑体"/>
          <w:b/>
          <w:sz w:val="32"/>
          <w:szCs w:val="32"/>
        </w:rPr>
      </w:pPr>
      <w:r>
        <w:rPr>
          <w:rFonts w:hint="eastAsia" w:asciiTheme="minorEastAsia" w:hAnsiTheme="minorEastAsia" w:eastAsiaTheme="minorEastAsia"/>
          <w:sz w:val="32"/>
          <w:szCs w:val="32"/>
        </w:rPr>
        <w:t xml:space="preserve">    2020年度</w:t>
      </w:r>
      <w:r>
        <w:rPr>
          <w:rFonts w:hint="eastAsia" w:asciiTheme="minorEastAsia" w:hAnsiTheme="minorEastAsia" w:eastAsiaTheme="minorEastAsia"/>
          <w:b/>
          <w:sz w:val="32"/>
          <w:szCs w:val="32"/>
        </w:rPr>
        <w:t>国有资本经营预算财政拨款支出</w:t>
      </w:r>
      <w:r>
        <w:rPr>
          <w:rFonts w:hint="eastAsia" w:asciiTheme="minorEastAsia" w:hAnsiTheme="minorEastAsia" w:eastAsiaTheme="minorEastAsia"/>
          <w:sz w:val="32"/>
          <w:szCs w:val="32"/>
        </w:rPr>
        <w:t>0万元，其中基本支出0万元，项目支出0万元。（岳阳市绿色建筑产业发展服务中心无国有资本经营预算财政拨款支出</w:t>
      </w:r>
      <w:r>
        <w:rPr>
          <w:rFonts w:asciiTheme="minorEastAsia" w:hAnsiTheme="minorEastAsia" w:eastAsiaTheme="minorEastAsia"/>
          <w:sz w:val="32"/>
          <w:szCs w:val="32"/>
        </w:rPr>
        <w:t>。)</w:t>
      </w:r>
    </w:p>
    <w:p>
      <w:pPr>
        <w:pStyle w:val="11"/>
        <w:rPr>
          <w:rFonts w:hAnsi="黑体"/>
          <w:b/>
          <w:sz w:val="32"/>
          <w:szCs w:val="32"/>
        </w:rPr>
      </w:pPr>
      <w:r>
        <w:rPr>
          <w:rFonts w:hint="eastAsia" w:hAnsi="黑体"/>
          <w:b/>
          <w:sz w:val="32"/>
          <w:szCs w:val="32"/>
        </w:rPr>
        <w:t>十、关于机关运行经费支出说明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本部门2020年度机关运行经费支出36.37万元，比年初预算数增加27.97万元，增长332.98%。主要原因是：因人员增加，日常经费办公费及劳务费支出增加。</w:t>
      </w:r>
    </w:p>
    <w:p>
      <w:pPr>
        <w:pStyle w:val="11"/>
        <w:rPr>
          <w:rFonts w:hAnsi="黑体"/>
          <w:b/>
          <w:sz w:val="32"/>
          <w:szCs w:val="32"/>
        </w:rPr>
      </w:pPr>
      <w:r>
        <w:rPr>
          <w:rFonts w:hint="eastAsia" w:hAnsi="黑体"/>
          <w:b/>
          <w:sz w:val="32"/>
          <w:szCs w:val="32"/>
        </w:rPr>
        <w:t>十一、一般性支出情况</w:t>
      </w:r>
    </w:p>
    <w:p>
      <w:pPr>
        <w:pStyle w:val="11"/>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2020年本部门</w:t>
      </w:r>
      <w:r>
        <w:rPr>
          <w:rFonts w:hint="eastAsia" w:asciiTheme="minorEastAsia" w:hAnsiTheme="minorEastAsia" w:eastAsiaTheme="minorEastAsia"/>
          <w:sz w:val="32"/>
          <w:szCs w:val="32"/>
          <w:lang w:eastAsia="zh-CN"/>
        </w:rPr>
        <w:t>举办</w:t>
      </w:r>
      <w:r>
        <w:rPr>
          <w:rFonts w:hint="eastAsia" w:asciiTheme="minorEastAsia" w:hAnsiTheme="minorEastAsia" w:eastAsiaTheme="minorEastAsia"/>
          <w:sz w:val="32"/>
          <w:szCs w:val="32"/>
        </w:rPr>
        <w:t>培训</w:t>
      </w:r>
      <w:r>
        <w:rPr>
          <w:rFonts w:hint="eastAsia" w:asciiTheme="minorEastAsia" w:hAnsiTheme="minorEastAsia" w:eastAsiaTheme="minorEastAsia"/>
          <w:sz w:val="32"/>
          <w:szCs w:val="32"/>
          <w:lang w:eastAsia="zh-CN"/>
        </w:rPr>
        <w:t>活动，开支</w:t>
      </w:r>
      <w:r>
        <w:rPr>
          <w:rFonts w:hint="eastAsia" w:asciiTheme="minorEastAsia" w:hAnsiTheme="minorEastAsia" w:eastAsiaTheme="minorEastAsia"/>
          <w:sz w:val="32"/>
          <w:szCs w:val="32"/>
          <w:lang w:val="en-US" w:eastAsia="zh-CN"/>
        </w:rPr>
        <w:t>0.56</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主要是</w:t>
      </w:r>
      <w:r>
        <w:rPr>
          <w:rFonts w:hint="eastAsia" w:asciiTheme="minorEastAsia" w:hAnsiTheme="minorEastAsia" w:eastAsiaTheme="minorEastAsia"/>
          <w:sz w:val="32"/>
          <w:szCs w:val="32"/>
        </w:rPr>
        <w:t>用于</w:t>
      </w:r>
      <w:r>
        <w:rPr>
          <w:rFonts w:hint="eastAsia" w:asciiTheme="minorEastAsia" w:hAnsiTheme="minorEastAsia" w:eastAsiaTheme="minorEastAsia"/>
          <w:sz w:val="32"/>
          <w:szCs w:val="32"/>
          <w:lang w:eastAsia="zh-CN"/>
        </w:rPr>
        <w:t>绿色建材知识</w:t>
      </w:r>
      <w:r>
        <w:rPr>
          <w:rFonts w:hint="eastAsia" w:asciiTheme="minorEastAsia" w:hAnsiTheme="minorEastAsia" w:eastAsiaTheme="minorEastAsia"/>
          <w:sz w:val="32"/>
          <w:szCs w:val="32"/>
        </w:rPr>
        <w:t>培训</w:t>
      </w:r>
      <w:r>
        <w:rPr>
          <w:rFonts w:hint="eastAsia" w:asciiTheme="minorEastAsia" w:hAnsiTheme="minorEastAsia" w:eastAsiaTheme="minorEastAsia"/>
          <w:sz w:val="32"/>
          <w:szCs w:val="32"/>
          <w:lang w:eastAsia="zh-CN"/>
        </w:rPr>
        <w:t>活动的餐费以及资料费</w:t>
      </w:r>
      <w:r>
        <w:rPr>
          <w:rFonts w:hint="eastAsia" w:asciiTheme="minorEastAsia" w:hAnsiTheme="minorEastAsia" w:eastAsiaTheme="minorEastAsia"/>
          <w:sz w:val="32"/>
          <w:szCs w:val="32"/>
        </w:rPr>
        <w:t>，人数</w:t>
      </w:r>
      <w:r>
        <w:rPr>
          <w:rFonts w:hint="eastAsia" w:asciiTheme="minorEastAsia" w:hAnsiTheme="minorEastAsia" w:eastAsiaTheme="minorEastAsia"/>
          <w:sz w:val="32"/>
          <w:szCs w:val="32"/>
          <w:lang w:val="en-US" w:eastAsia="zh-CN"/>
        </w:rPr>
        <w:t>20</w:t>
      </w:r>
      <w:r>
        <w:rPr>
          <w:rFonts w:hint="eastAsia" w:asciiTheme="minorEastAsia" w:hAnsiTheme="minorEastAsia" w:eastAsiaTheme="minorEastAsia"/>
          <w:sz w:val="32"/>
          <w:szCs w:val="32"/>
        </w:rPr>
        <w:t>人，内容为</w:t>
      </w:r>
      <w:r>
        <w:rPr>
          <w:rFonts w:hint="eastAsia" w:asciiTheme="minorEastAsia" w:hAnsiTheme="minorEastAsia" w:eastAsiaTheme="minorEastAsia"/>
          <w:sz w:val="32"/>
          <w:szCs w:val="32"/>
          <w:lang w:eastAsia="zh-CN"/>
        </w:rPr>
        <w:t>绿色建材知识结构，预拌砂浆知识培训</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未举办节庆、晚会、论坛、赛事活动，开支</w:t>
      </w:r>
      <w:r>
        <w:rPr>
          <w:rFonts w:hint="eastAsia" w:asciiTheme="minorEastAsia" w:hAnsiTheme="minorEastAsia" w:eastAsiaTheme="minorEastAsia"/>
          <w:sz w:val="32"/>
          <w:szCs w:val="32"/>
          <w:lang w:val="en-US" w:eastAsia="zh-CN"/>
        </w:rPr>
        <w:t>0万元。</w:t>
      </w:r>
    </w:p>
    <w:p>
      <w:pPr>
        <w:pStyle w:val="11"/>
        <w:rPr>
          <w:rFonts w:hAnsi="黑体"/>
          <w:b/>
          <w:sz w:val="32"/>
          <w:szCs w:val="32"/>
        </w:rPr>
      </w:pPr>
      <w:r>
        <w:rPr>
          <w:rFonts w:hint="eastAsia" w:hAnsi="黑体"/>
          <w:b/>
          <w:sz w:val="32"/>
          <w:szCs w:val="32"/>
        </w:rPr>
        <w:t>十二、关于政府采购支出说明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本部门2020年度政府采购支出总额0万元，其中：政府采购货物支出0 万元、政府采购工程支出0万元、政府采购服务支出0万元。授予中小企业合同金额0万元，占政府采购支出总额的0%，其中：授予小微企业合同金额0万元，占政府采购支出总额的0%。</w:t>
      </w:r>
    </w:p>
    <w:p>
      <w:pPr>
        <w:pStyle w:val="11"/>
        <w:rPr>
          <w:rFonts w:hAnsi="黑体"/>
          <w:b/>
          <w:sz w:val="32"/>
          <w:szCs w:val="32"/>
        </w:rPr>
      </w:pPr>
      <w:r>
        <w:rPr>
          <w:rFonts w:hint="eastAsia" w:hAnsi="黑体"/>
          <w:b/>
          <w:sz w:val="32"/>
          <w:szCs w:val="32"/>
        </w:rPr>
        <w:t>十三、关于国有资产占用情况说明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0辆，其中，主要领导干部用车0辆，机要通信用车0辆、应急保障用车0辆、执法执勤用车0辆、特种专业技术用车0辆、其他用车0辆；单位价值50万元以上通用设备0台（套）；单位价值100万元以上专用设备0台（套）。</w:t>
      </w:r>
    </w:p>
    <w:p>
      <w:pPr>
        <w:pStyle w:val="11"/>
        <w:rPr>
          <w:rFonts w:hAnsi="黑体"/>
          <w:b/>
          <w:sz w:val="32"/>
          <w:szCs w:val="32"/>
        </w:rPr>
      </w:pPr>
      <w:r>
        <w:rPr>
          <w:rFonts w:hint="eastAsia" w:hAnsi="黑体"/>
          <w:b/>
          <w:sz w:val="32"/>
          <w:szCs w:val="32"/>
        </w:rPr>
        <w:t>十四、关于2020年度预算绩效情况的说明</w:t>
      </w:r>
    </w:p>
    <w:p>
      <w:pPr>
        <w:pStyle w:val="11"/>
        <w:ind w:firstLine="640" w:firstLineChars="200"/>
        <w:rPr>
          <w:sz w:val="72"/>
          <w:szCs w:val="72"/>
        </w:rPr>
      </w:pPr>
      <w:r>
        <w:rPr>
          <w:rFonts w:hint="eastAsia" w:asciiTheme="minorEastAsia" w:hAnsiTheme="minorEastAsia" w:eastAsiaTheme="minorEastAsia"/>
          <w:sz w:val="32"/>
          <w:szCs w:val="32"/>
        </w:rPr>
        <w:t>本部门预算绩效管理开展情况：2020年底按照财政绩效部门要求填报</w:t>
      </w:r>
      <w:r>
        <w:rPr>
          <w:rFonts w:hint="eastAsia" w:cs="方正小标宋简体" w:asciiTheme="minorEastAsia" w:hAnsiTheme="minorEastAsia" w:eastAsiaTheme="minorEastAsia"/>
          <w:sz w:val="32"/>
          <w:szCs w:val="32"/>
        </w:rPr>
        <w:t>部门整体支出绩效监控情况表上报上级机构</w:t>
      </w:r>
      <w:r>
        <w:rPr>
          <w:rFonts w:hint="eastAsia" w:asciiTheme="minorEastAsia" w:hAnsiTheme="minorEastAsia" w:eastAsiaTheme="minorEastAsia"/>
          <w:sz w:val="32"/>
          <w:szCs w:val="32"/>
        </w:rPr>
        <w:t>，附件见第五部分。</w:t>
      </w:r>
    </w:p>
    <w:p>
      <w:pPr>
        <w:pStyle w:val="11"/>
        <w:jc w:val="both"/>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kern w:val="0"/>
          <w:sz w:val="32"/>
          <w:szCs w:val="32"/>
          <w:lang w:eastAsia="zh-CN"/>
        </w:rPr>
      </w:pPr>
      <w:r>
        <w:rPr>
          <w:rFonts w:hint="eastAsia" w:eastAsia="仿宋_GB2312"/>
          <w:kern w:val="0"/>
          <w:sz w:val="32"/>
          <w:szCs w:val="32"/>
        </w:rPr>
        <w:t>1、机关运行经费：是指各</w:t>
      </w:r>
      <w:r>
        <w:rPr>
          <w:rFonts w:hint="eastAsia" w:eastAsia="仿宋_GB2312"/>
          <w:kern w:val="0"/>
          <w:sz w:val="32"/>
          <w:szCs w:val="32"/>
          <w:lang w:eastAsia="zh-CN"/>
        </w:rPr>
        <w:t>单位</w:t>
      </w:r>
      <w:r>
        <w:rPr>
          <w:rFonts w:hint="eastAsia" w:eastAsia="仿宋_GB2312"/>
          <w:kern w:val="0"/>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kern w:val="0"/>
          <w:sz w:val="32"/>
          <w:szCs w:val="32"/>
          <w:lang w:eastAsia="zh-CN"/>
        </w:rPr>
      </w:pPr>
      <w:r>
        <w:rPr>
          <w:rFonts w:hint="eastAsia" w:eastAsia="仿宋_GB2312"/>
          <w:kern w:val="0"/>
          <w:sz w:val="32"/>
          <w:szCs w:val="32"/>
        </w:rPr>
        <w:t>2、“三公”经费：纳入财政预算管理的“三公“经费，是指用一般公共预算拨款安排的公务接待费、公务用车购置及运行维护费和因公出国（境）费。其中，公务接待费反映</w:t>
      </w:r>
      <w:r>
        <w:rPr>
          <w:rFonts w:hint="eastAsia" w:eastAsia="仿宋_GB2312"/>
          <w:kern w:val="0"/>
          <w:sz w:val="32"/>
          <w:szCs w:val="32"/>
          <w:lang w:eastAsia="zh-CN"/>
        </w:rPr>
        <w:t>单位</w:t>
      </w:r>
      <w:r>
        <w:rPr>
          <w:rFonts w:hint="eastAsia" w:eastAsia="仿宋_GB2312"/>
          <w:kern w:val="0"/>
          <w:sz w:val="32"/>
          <w:szCs w:val="32"/>
        </w:rPr>
        <w:t>按规定开支的各类公务接待支出；公务用车购置及运行费反映</w:t>
      </w:r>
      <w:r>
        <w:rPr>
          <w:rFonts w:hint="eastAsia" w:eastAsia="仿宋_GB2312"/>
          <w:kern w:val="0"/>
          <w:sz w:val="32"/>
          <w:szCs w:val="32"/>
          <w:lang w:eastAsia="zh-CN"/>
        </w:rPr>
        <w:t>单位</w:t>
      </w:r>
      <w:r>
        <w:rPr>
          <w:rFonts w:hint="eastAsia" w:eastAsia="仿宋_GB2312"/>
          <w:kern w:val="0"/>
          <w:sz w:val="32"/>
          <w:szCs w:val="32"/>
        </w:rPr>
        <w:t>公务用车车辆购置支出（含车辆购置税），以及燃料费、维修费、保险费等支出；因公出国（境）费反映</w:t>
      </w:r>
      <w:r>
        <w:rPr>
          <w:rFonts w:hint="eastAsia" w:eastAsia="仿宋_GB2312"/>
          <w:kern w:val="0"/>
          <w:sz w:val="32"/>
          <w:szCs w:val="32"/>
          <w:lang w:eastAsia="zh-CN"/>
        </w:rPr>
        <w:t>单位</w:t>
      </w:r>
      <w:r>
        <w:rPr>
          <w:rFonts w:hint="eastAsia" w:eastAsia="仿宋_GB2312"/>
          <w:kern w:val="0"/>
          <w:sz w:val="32"/>
          <w:szCs w:val="32"/>
        </w:rPr>
        <w:t>公务出国（境）的国际旅费、国外城市间交通费、食宿费等支出。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仿宋_GB2312" w:hAnsi="仿宋_GB2312" w:eastAsia="仿宋_GB2312" w:cs="仿宋_GB2312"/>
          <w:b w:val="0"/>
          <w:i w:val="0"/>
          <w:caps w:val="0"/>
          <w:color w:val="555555"/>
          <w:spacing w:val="0"/>
          <w:sz w:val="32"/>
          <w:szCs w:val="32"/>
        </w:rPr>
      </w:pPr>
      <w:r>
        <w:rPr>
          <w:rFonts w:hint="eastAsia" w:ascii="仿宋_GB2312" w:hAnsi="仿宋_GB2312" w:eastAsia="仿宋_GB2312" w:cs="仿宋_GB2312"/>
          <w:b w:val="0"/>
          <w:i w:val="0"/>
          <w:caps w:val="0"/>
          <w:color w:val="555555"/>
          <w:spacing w:val="0"/>
          <w:sz w:val="32"/>
          <w:szCs w:val="32"/>
          <w:shd w:val="clear" w:color="auto" w:fill="FFFFFF"/>
          <w:lang w:val="en-US" w:eastAsia="zh-CN"/>
        </w:rPr>
        <w:t>3、</w:t>
      </w:r>
      <w:r>
        <w:rPr>
          <w:rFonts w:hint="eastAsia" w:ascii="仿宋_GB2312" w:hAnsi="仿宋_GB2312" w:eastAsia="仿宋_GB2312" w:cs="仿宋_GB2312"/>
          <w:b w:val="0"/>
          <w:i w:val="0"/>
          <w:caps w:val="0"/>
          <w:color w:val="555555"/>
          <w:spacing w:val="0"/>
          <w:sz w:val="32"/>
          <w:szCs w:val="32"/>
          <w:shd w:val="clear" w:color="auto" w:fill="FFFFFF"/>
        </w:rPr>
        <w:t>财政拨款收入：指市财政当年拨付的资金。</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仿宋_GB2312" w:hAnsi="仿宋_GB2312" w:eastAsia="仿宋_GB2312" w:cs="仿宋_GB2312"/>
          <w:b w:val="0"/>
          <w:i w:val="0"/>
          <w:caps w:val="0"/>
          <w:color w:val="555555"/>
          <w:spacing w:val="0"/>
          <w:sz w:val="32"/>
          <w:szCs w:val="32"/>
        </w:rPr>
      </w:pPr>
      <w:r>
        <w:rPr>
          <w:rFonts w:hint="eastAsia" w:ascii="仿宋_GB2312" w:hAnsi="仿宋_GB2312" w:eastAsia="仿宋_GB2312" w:cs="仿宋_GB2312"/>
          <w:b w:val="0"/>
          <w:i w:val="0"/>
          <w:caps w:val="0"/>
          <w:color w:val="555555"/>
          <w:spacing w:val="0"/>
          <w:sz w:val="32"/>
          <w:szCs w:val="32"/>
          <w:shd w:val="clear" w:color="auto" w:fill="FFFFFF"/>
          <w:lang w:val="en-US" w:eastAsia="zh-CN"/>
        </w:rPr>
        <w:t>4、</w:t>
      </w:r>
      <w:r>
        <w:rPr>
          <w:rFonts w:hint="eastAsia" w:ascii="仿宋_GB2312" w:hAnsi="仿宋_GB2312" w:eastAsia="仿宋_GB2312" w:cs="仿宋_GB2312"/>
          <w:b w:val="0"/>
          <w:i w:val="0"/>
          <w:caps w:val="0"/>
          <w:color w:val="555555"/>
          <w:spacing w:val="0"/>
          <w:sz w:val="32"/>
          <w:szCs w:val="32"/>
          <w:shd w:val="clear" w:color="auto" w:fill="FFFFFF"/>
        </w:rPr>
        <w:t>年初结转和结余：指以前年度尚未完成、结转到本年按有关规定继续使用的资金。</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仿宋_GB2312" w:hAnsi="仿宋_GB2312" w:eastAsia="仿宋_GB2312" w:cs="仿宋_GB2312"/>
          <w:b w:val="0"/>
          <w:i w:val="0"/>
          <w:caps w:val="0"/>
          <w:color w:val="555555"/>
          <w:spacing w:val="0"/>
          <w:sz w:val="32"/>
          <w:szCs w:val="32"/>
        </w:rPr>
      </w:pPr>
      <w:r>
        <w:rPr>
          <w:rFonts w:hint="eastAsia" w:ascii="仿宋_GB2312" w:hAnsi="仿宋_GB2312" w:eastAsia="仿宋_GB2312" w:cs="仿宋_GB2312"/>
          <w:b w:val="0"/>
          <w:i w:val="0"/>
          <w:caps w:val="0"/>
          <w:color w:val="555555"/>
          <w:spacing w:val="0"/>
          <w:sz w:val="32"/>
          <w:szCs w:val="32"/>
          <w:shd w:val="clear" w:color="auto" w:fill="FFFFFF"/>
          <w:lang w:val="en-US" w:eastAsia="zh-CN"/>
        </w:rPr>
        <w:t>5、</w:t>
      </w:r>
      <w:r>
        <w:rPr>
          <w:rFonts w:hint="eastAsia" w:ascii="仿宋_GB2312" w:hAnsi="仿宋_GB2312" w:eastAsia="仿宋_GB2312" w:cs="仿宋_GB2312"/>
          <w:b w:val="0"/>
          <w:i w:val="0"/>
          <w:caps w:val="0"/>
          <w:color w:val="555555"/>
          <w:spacing w:val="0"/>
          <w:sz w:val="32"/>
          <w:szCs w:val="32"/>
          <w:shd w:val="clear" w:color="auto" w:fill="FFFFFF"/>
        </w:rPr>
        <w:t>年末结转和结余：指本年度或以前年度预算安排、因客观条件发生变化无法按原计划实施，需要延迟到以后年度按有关规定继续使用的资金。</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仿宋_GB2312" w:hAnsi="仿宋_GB2312" w:eastAsia="仿宋_GB2312" w:cs="仿宋_GB2312"/>
          <w:b w:val="0"/>
          <w:i w:val="0"/>
          <w:caps w:val="0"/>
          <w:color w:val="555555"/>
          <w:spacing w:val="0"/>
          <w:sz w:val="32"/>
          <w:szCs w:val="32"/>
        </w:rPr>
      </w:pPr>
      <w:r>
        <w:rPr>
          <w:rFonts w:hint="eastAsia" w:ascii="仿宋_GB2312" w:hAnsi="仿宋_GB2312" w:eastAsia="仿宋_GB2312" w:cs="仿宋_GB2312"/>
          <w:b w:val="0"/>
          <w:i w:val="0"/>
          <w:caps w:val="0"/>
          <w:color w:val="555555"/>
          <w:spacing w:val="0"/>
          <w:sz w:val="32"/>
          <w:szCs w:val="32"/>
          <w:shd w:val="clear" w:color="auto" w:fill="FFFFFF"/>
          <w:lang w:val="en-US" w:eastAsia="zh-CN"/>
        </w:rPr>
        <w:t>6、</w:t>
      </w:r>
      <w:r>
        <w:rPr>
          <w:rFonts w:hint="eastAsia" w:ascii="仿宋_GB2312" w:hAnsi="仿宋_GB2312" w:eastAsia="仿宋_GB2312" w:cs="仿宋_GB2312"/>
          <w:b w:val="0"/>
          <w:i w:val="0"/>
          <w:caps w:val="0"/>
          <w:color w:val="555555"/>
          <w:spacing w:val="0"/>
          <w:sz w:val="32"/>
          <w:szCs w:val="32"/>
          <w:shd w:val="clear" w:color="auto" w:fill="FFFFFF"/>
        </w:rPr>
        <w:t>基本支出：指为保障机构正常运转、完成日常工作任务而发生的人员支出和公用支出。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仿宋_GB2312" w:hAnsi="仿宋_GB2312" w:eastAsia="仿宋_GB2312" w:cs="仿宋_GB2312"/>
          <w:b w:val="0"/>
          <w:i w:val="0"/>
          <w:caps w:val="0"/>
          <w:color w:val="555555"/>
          <w:spacing w:val="0"/>
          <w:sz w:val="32"/>
          <w:szCs w:val="32"/>
        </w:rPr>
      </w:pPr>
      <w:r>
        <w:rPr>
          <w:rFonts w:hint="eastAsia" w:ascii="仿宋_GB2312" w:hAnsi="仿宋_GB2312" w:eastAsia="仿宋_GB2312" w:cs="仿宋_GB2312"/>
          <w:b w:val="0"/>
          <w:i w:val="0"/>
          <w:caps w:val="0"/>
          <w:color w:val="555555"/>
          <w:spacing w:val="0"/>
          <w:sz w:val="32"/>
          <w:szCs w:val="32"/>
          <w:shd w:val="clear" w:color="auto" w:fill="FFFFFF"/>
          <w:lang w:val="en-US" w:eastAsia="zh-CN"/>
        </w:rPr>
        <w:t>7、</w:t>
      </w:r>
      <w:r>
        <w:rPr>
          <w:rFonts w:hint="eastAsia" w:ascii="仿宋_GB2312" w:hAnsi="仿宋_GB2312" w:eastAsia="仿宋_GB2312" w:cs="仿宋_GB2312"/>
          <w:b w:val="0"/>
          <w:i w:val="0"/>
          <w:caps w:val="0"/>
          <w:color w:val="555555"/>
          <w:spacing w:val="0"/>
          <w:sz w:val="32"/>
          <w:szCs w:val="32"/>
          <w:shd w:val="clear" w:color="auto" w:fill="FFFFFF"/>
        </w:rPr>
        <w:t>项目支出：指在基本支出之外为完成特定行政任务和事业发展目标所发生的支出。</w:t>
      </w:r>
    </w:p>
    <w:p>
      <w:pPr>
        <w:ind w:firstLine="640" w:firstLineChars="200"/>
        <w:jc w:val="left"/>
        <w:rPr>
          <w:rFonts w:asciiTheme="minorEastAsia" w:hAnsiTheme="minorEastAsia"/>
          <w:sz w:val="32"/>
          <w:szCs w:val="32"/>
        </w:rPr>
      </w:pPr>
    </w:p>
    <w:p>
      <w:pPr>
        <w:pStyle w:val="11"/>
        <w:jc w:val="center"/>
        <w:rPr>
          <w:sz w:val="72"/>
          <w:szCs w:val="72"/>
        </w:rPr>
      </w:pPr>
    </w:p>
    <w:p>
      <w:pPr>
        <w:pStyle w:val="11"/>
        <w:jc w:val="both"/>
        <w:rPr>
          <w:sz w:val="72"/>
          <w:szCs w:val="72"/>
        </w:rPr>
      </w:pPr>
    </w:p>
    <w:p>
      <w:pPr>
        <w:pStyle w:val="11"/>
        <w:jc w:val="center"/>
        <w:rPr>
          <w:sz w:val="72"/>
          <w:szCs w:val="72"/>
        </w:rPr>
      </w:pPr>
    </w:p>
    <w:p>
      <w:pPr>
        <w:pStyle w:val="11"/>
        <w:jc w:val="both"/>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tbl>
      <w:tblPr>
        <w:tblStyle w:val="7"/>
        <w:tblW w:w="9537" w:type="dxa"/>
        <w:jc w:val="center"/>
        <w:tblLayout w:type="fixed"/>
        <w:tblCellMar>
          <w:top w:w="15" w:type="dxa"/>
          <w:left w:w="15" w:type="dxa"/>
          <w:bottom w:w="15" w:type="dxa"/>
          <w:right w:w="15" w:type="dxa"/>
        </w:tblCellMar>
      </w:tblPr>
      <w:tblGrid>
        <w:gridCol w:w="1260"/>
        <w:gridCol w:w="196"/>
        <w:gridCol w:w="1288"/>
        <w:gridCol w:w="676"/>
        <w:gridCol w:w="596"/>
        <w:gridCol w:w="124"/>
        <w:gridCol w:w="1141"/>
        <w:gridCol w:w="479"/>
        <w:gridCol w:w="566"/>
        <w:gridCol w:w="1083"/>
        <w:gridCol w:w="1083"/>
        <w:gridCol w:w="1045"/>
      </w:tblGrid>
      <w:tr>
        <w:tblPrEx>
          <w:tblCellMar>
            <w:top w:w="15" w:type="dxa"/>
            <w:left w:w="15" w:type="dxa"/>
            <w:bottom w:w="15" w:type="dxa"/>
            <w:right w:w="15" w:type="dxa"/>
          </w:tblCellMar>
        </w:tblPrEx>
        <w:trPr>
          <w:trHeight w:val="720" w:hRule="atLeast"/>
          <w:jc w:val="center"/>
        </w:trPr>
        <w:tc>
          <w:tcPr>
            <w:tcW w:w="9537" w:type="dxa"/>
            <w:gridSpan w:val="12"/>
            <w:noWrap/>
            <w:vAlign w:val="center"/>
          </w:tcPr>
          <w:p>
            <w:pPr>
              <w:widowControl/>
              <w:jc w:val="center"/>
              <w:textAlignment w:val="center"/>
              <w:rPr>
                <w:rFonts w:ascii="方正小标宋简体" w:hAnsi="方正小标宋简体" w:eastAsia="方正小标宋简体" w:cs="方正小标宋简体"/>
                <w:color w:val="000000"/>
                <w:sz w:val="40"/>
                <w:szCs w:val="40"/>
              </w:rPr>
            </w:pPr>
            <w:r>
              <w:rPr>
                <w:rFonts w:hint="eastAsia" w:ascii="方正小标宋简体" w:hAnsi="方正小标宋简体" w:eastAsia="方正小标宋简体" w:cs="方正小标宋简体"/>
                <w:color w:val="000000"/>
                <w:kern w:val="0"/>
                <w:sz w:val="40"/>
                <w:szCs w:val="40"/>
              </w:rPr>
              <w:t>部门整体支出绩效监控情况表</w:t>
            </w:r>
          </w:p>
        </w:tc>
      </w:tr>
      <w:tr>
        <w:tblPrEx>
          <w:tblCellMar>
            <w:top w:w="15" w:type="dxa"/>
            <w:left w:w="15" w:type="dxa"/>
            <w:bottom w:w="15" w:type="dxa"/>
            <w:right w:w="15" w:type="dxa"/>
          </w:tblCellMar>
        </w:tblPrEx>
        <w:trPr>
          <w:trHeight w:val="285" w:hRule="atLeast"/>
          <w:jc w:val="center"/>
        </w:trPr>
        <w:tc>
          <w:tcPr>
            <w:tcW w:w="3420" w:type="dxa"/>
            <w:gridSpan w:val="4"/>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填报单位（盖章）</w:t>
            </w:r>
          </w:p>
        </w:tc>
        <w:tc>
          <w:tcPr>
            <w:tcW w:w="596" w:type="dxa"/>
            <w:noWrap/>
            <w:vAlign w:val="center"/>
          </w:tcPr>
          <w:p>
            <w:pPr>
              <w:jc w:val="left"/>
              <w:rPr>
                <w:rFonts w:ascii="仿宋_GB2312" w:hAnsi="宋体" w:eastAsia="仿宋_GB2312" w:cs="仿宋_GB2312"/>
                <w:color w:val="000000"/>
                <w:sz w:val="22"/>
              </w:rPr>
            </w:pPr>
          </w:p>
        </w:tc>
        <w:tc>
          <w:tcPr>
            <w:tcW w:w="1744" w:type="dxa"/>
            <w:gridSpan w:val="3"/>
            <w:noWrap/>
            <w:vAlign w:val="center"/>
          </w:tcPr>
          <w:p>
            <w:pPr>
              <w:jc w:val="left"/>
              <w:rPr>
                <w:rFonts w:ascii="仿宋_GB2312" w:hAnsi="宋体" w:eastAsia="仿宋_GB2312" w:cs="仿宋_GB2312"/>
                <w:color w:val="000000"/>
                <w:sz w:val="22"/>
              </w:rPr>
            </w:pPr>
          </w:p>
        </w:tc>
        <w:tc>
          <w:tcPr>
            <w:tcW w:w="3777" w:type="dxa"/>
            <w:gridSpan w:val="4"/>
            <w:noWrap/>
            <w:vAlign w:val="center"/>
          </w:tcPr>
          <w:p>
            <w:pPr>
              <w:widowControl/>
              <w:jc w:val="righ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跟踪期限：1-</w:t>
            </w:r>
            <w:r>
              <w:rPr>
                <w:rFonts w:hint="eastAsia" w:ascii="仿宋_GB2312" w:hAnsi="宋体" w:eastAsia="仿宋_GB2312" w:cs="仿宋_GB2312"/>
                <w:color w:val="000000"/>
                <w:kern w:val="0"/>
                <w:sz w:val="22"/>
                <w:u w:val="single"/>
              </w:rPr>
              <w:t>9</w:t>
            </w:r>
            <w:r>
              <w:rPr>
                <w:rFonts w:hint="eastAsia" w:ascii="仿宋_GB2312" w:hAnsi="宋体" w:eastAsia="仿宋_GB2312" w:cs="仿宋_GB2312"/>
                <w:color w:val="000000"/>
                <w:kern w:val="0"/>
                <w:sz w:val="22"/>
              </w:rPr>
              <w:t>月份</w:t>
            </w:r>
          </w:p>
        </w:tc>
      </w:tr>
      <w:tr>
        <w:tblPrEx>
          <w:tblCellMar>
            <w:top w:w="15" w:type="dxa"/>
            <w:left w:w="15" w:type="dxa"/>
            <w:bottom w:w="15" w:type="dxa"/>
            <w:right w:w="15" w:type="dxa"/>
          </w:tblCellMar>
        </w:tblPrEx>
        <w:trPr>
          <w:trHeight w:val="454" w:hRule="atLeast"/>
          <w:jc w:val="center"/>
        </w:trPr>
        <w:tc>
          <w:tcPr>
            <w:tcW w:w="1260"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基本情况</w:t>
            </w:r>
          </w:p>
        </w:tc>
        <w:tc>
          <w:tcPr>
            <w:tcW w:w="216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部门（单位）名称</w:t>
            </w:r>
          </w:p>
        </w:tc>
        <w:tc>
          <w:tcPr>
            <w:tcW w:w="2340" w:type="dxa"/>
            <w:gridSpan w:val="4"/>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岳阳市绿色建筑产业发展服务中心</w:t>
            </w:r>
          </w:p>
        </w:tc>
        <w:tc>
          <w:tcPr>
            <w:tcW w:w="1649"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单位负责人</w:t>
            </w: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李辉国</w:t>
            </w:r>
          </w:p>
        </w:tc>
      </w:tr>
      <w:tr>
        <w:tblPrEx>
          <w:tblCellMar>
            <w:top w:w="15" w:type="dxa"/>
            <w:left w:w="15" w:type="dxa"/>
            <w:bottom w:w="15" w:type="dxa"/>
            <w:right w:w="15" w:type="dxa"/>
          </w:tblCellMar>
        </w:tblPrEx>
        <w:trPr>
          <w:trHeight w:val="540"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216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预算安排资金</w:t>
            </w:r>
          </w:p>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（万元）</w:t>
            </w:r>
          </w:p>
        </w:tc>
        <w:tc>
          <w:tcPr>
            <w:tcW w:w="2340" w:type="dxa"/>
            <w:gridSpan w:val="4"/>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48.45</w:t>
            </w:r>
          </w:p>
        </w:tc>
        <w:tc>
          <w:tcPr>
            <w:tcW w:w="1649"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单位预算编码</w:t>
            </w: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90112</w:t>
            </w: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216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人员编制</w:t>
            </w:r>
          </w:p>
        </w:tc>
        <w:tc>
          <w:tcPr>
            <w:tcW w:w="2340" w:type="dxa"/>
            <w:gridSpan w:val="4"/>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9人</w:t>
            </w:r>
          </w:p>
        </w:tc>
        <w:tc>
          <w:tcPr>
            <w:tcW w:w="1649"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实有人数</w:t>
            </w: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8人</w:t>
            </w: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216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 xml:space="preserve">职能职责概述 </w:t>
            </w:r>
          </w:p>
        </w:tc>
        <w:tc>
          <w:tcPr>
            <w:tcW w:w="6117" w:type="dxa"/>
            <w:gridSpan w:val="8"/>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1.负责贯彻执行发展新型墙体材料、散装水泥的法律法规和政策规定    2.负责草拟和执行全市墙体材料革新、建筑节能推广以及散装水泥、预拌混凝土、预拌砂浆发展的总体规划和年度计划                        3.负责推广新型墙体材料和发展绿色墙体材料，制订实施全市城市“限粘”和县城“禁实”工作方案，组织编制利用废渣生产新型墙体材料的计划，参与使用新型墙体材料的建筑工程竣工验收                      4.负责预拌混凝土企业资质申报、升级、增项、年审等情况的受理、核实、报批，指导协调全市散装水泥、预拌混凝土、预拌砂浆的生产、运输、使用以及新建、扩建预拌混凝土和预拌砂浆项目工作，监督检查预拌混凝土生产质量，组织实施禁止市区现场搅拌混凝土和现场搅拌砂浆具体工作                                           5.指导各县市区墙体材料改革与散装水泥服务工作                    6.完成市住建局交办的其它工作。</w:t>
            </w:r>
          </w:p>
        </w:tc>
      </w:tr>
      <w:tr>
        <w:tblPrEx>
          <w:tblCellMar>
            <w:top w:w="15" w:type="dxa"/>
            <w:left w:w="15" w:type="dxa"/>
            <w:bottom w:w="15" w:type="dxa"/>
            <w:right w:w="15" w:type="dxa"/>
          </w:tblCellMar>
        </w:tblPrEx>
        <w:trPr>
          <w:trHeight w:val="2297" w:hRule="atLeast"/>
          <w:jc w:val="center"/>
        </w:trPr>
        <w:tc>
          <w:tcPr>
            <w:tcW w:w="1260"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kern w:val="0"/>
                <w:sz w:val="22"/>
              </w:rPr>
            </w:pPr>
            <w:r>
              <w:rPr>
                <w:rFonts w:hint="eastAsia" w:ascii="仿宋_GB2312" w:hAnsi="宋体" w:eastAsia="仿宋_GB2312" w:cs="仿宋_GB2312"/>
                <w:b/>
                <w:color w:val="000000"/>
                <w:kern w:val="0"/>
                <w:sz w:val="22"/>
              </w:rPr>
              <w:t>组织管理</w:t>
            </w:r>
          </w:p>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情况</w:t>
            </w:r>
          </w:p>
        </w:tc>
        <w:tc>
          <w:tcPr>
            <w:tcW w:w="2880" w:type="dxa"/>
            <w:gridSpan w:val="5"/>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单位已有的（或正在拟订的）制度</w:t>
            </w:r>
          </w:p>
        </w:tc>
        <w:tc>
          <w:tcPr>
            <w:tcW w:w="5397"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☑财务管理制度</w:t>
            </w:r>
            <w:r>
              <w:rPr>
                <w:rFonts w:hint="eastAsia" w:ascii="仿宋_GB2312" w:hAnsi="宋体" w:eastAsia="仿宋_GB2312" w:cs="仿宋_GB2312"/>
                <w:color w:val="000000"/>
                <w:kern w:val="0"/>
                <w:sz w:val="22"/>
              </w:rPr>
              <w:br w:type="textWrapping"/>
            </w:r>
            <w:r>
              <w:rPr>
                <w:rFonts w:hint="eastAsia" w:ascii="仿宋_GB2312" w:hAnsi="宋体" w:eastAsia="仿宋_GB2312" w:cs="仿宋_GB2312"/>
                <w:color w:val="000000"/>
                <w:kern w:val="0"/>
                <w:sz w:val="22"/>
              </w:rPr>
              <w:t>☑内部工作规程</w:t>
            </w:r>
            <w:r>
              <w:rPr>
                <w:rFonts w:hint="eastAsia" w:ascii="仿宋_GB2312" w:hAnsi="宋体" w:eastAsia="仿宋_GB2312" w:cs="仿宋_GB2312"/>
                <w:color w:val="000000"/>
                <w:kern w:val="0"/>
                <w:sz w:val="22"/>
              </w:rPr>
              <w:br w:type="textWrapping"/>
            </w:r>
            <w:r>
              <w:rPr>
                <w:rFonts w:hint="eastAsia" w:ascii="仿宋_GB2312" w:hAnsi="宋体" w:eastAsia="仿宋_GB2312" w:cs="仿宋_GB2312"/>
                <w:color w:val="000000"/>
                <w:kern w:val="0"/>
                <w:sz w:val="22"/>
              </w:rPr>
              <w:t xml:space="preserve">  □岗位责任制度</w:t>
            </w:r>
            <w:r>
              <w:rPr>
                <w:rFonts w:hint="eastAsia" w:ascii="仿宋_GB2312" w:hAnsi="宋体" w:eastAsia="仿宋_GB2312" w:cs="仿宋_GB2312"/>
                <w:color w:val="000000"/>
                <w:kern w:val="0"/>
                <w:sz w:val="22"/>
              </w:rPr>
              <w:br w:type="textWrapping"/>
            </w:r>
            <w:r>
              <w:rPr>
                <w:rFonts w:hint="eastAsia" w:ascii="仿宋_GB2312" w:hAnsi="宋体" w:eastAsia="仿宋_GB2312" w:cs="仿宋_GB2312"/>
                <w:color w:val="000000"/>
                <w:kern w:val="0"/>
                <w:sz w:val="22"/>
              </w:rPr>
              <w:t xml:space="preserve">  □专项资金管理办法</w:t>
            </w:r>
            <w:r>
              <w:rPr>
                <w:rFonts w:hint="eastAsia" w:ascii="仿宋_GB2312" w:hAnsi="宋体" w:eastAsia="仿宋_GB2312" w:cs="仿宋_GB2312"/>
                <w:color w:val="000000"/>
                <w:kern w:val="0"/>
                <w:sz w:val="22"/>
              </w:rPr>
              <w:br w:type="textWrapping"/>
            </w:r>
            <w:r>
              <w:rPr>
                <w:rFonts w:hint="eastAsia" w:ascii="仿宋_GB2312" w:hAnsi="宋体" w:eastAsia="仿宋_GB2312" w:cs="仿宋_GB2312"/>
                <w:color w:val="000000"/>
                <w:kern w:val="0"/>
                <w:sz w:val="22"/>
              </w:rPr>
              <w:t xml:space="preserve">  □项目实施管理办法</w:t>
            </w:r>
            <w:r>
              <w:rPr>
                <w:rFonts w:hint="eastAsia" w:ascii="仿宋_GB2312" w:hAnsi="宋体" w:eastAsia="仿宋_GB2312" w:cs="仿宋_GB2312"/>
                <w:color w:val="000000"/>
                <w:kern w:val="0"/>
                <w:sz w:val="22"/>
              </w:rPr>
              <w:br w:type="textWrapping"/>
            </w:r>
            <w:r>
              <w:rPr>
                <w:rFonts w:hint="eastAsia" w:ascii="仿宋_GB2312" w:hAnsi="宋体" w:eastAsia="仿宋_GB2312" w:cs="仿宋_GB2312"/>
                <w:color w:val="000000"/>
                <w:kern w:val="0"/>
                <w:sz w:val="22"/>
              </w:rPr>
              <w:t xml:space="preserve">  □工作流程图或操作细则</w:t>
            </w:r>
            <w:r>
              <w:rPr>
                <w:rFonts w:hint="eastAsia" w:ascii="仿宋_GB2312" w:hAnsi="宋体" w:eastAsia="仿宋_GB2312" w:cs="仿宋_GB2312"/>
                <w:color w:val="000000"/>
                <w:kern w:val="0"/>
                <w:sz w:val="22"/>
              </w:rPr>
              <w:br w:type="textWrapping"/>
            </w:r>
            <w:r>
              <w:rPr>
                <w:rFonts w:hint="eastAsia" w:ascii="仿宋_GB2312" w:hAnsi="宋体" w:eastAsia="仿宋_GB2312" w:cs="仿宋_GB2312"/>
                <w:color w:val="000000"/>
                <w:kern w:val="0"/>
                <w:sz w:val="22"/>
              </w:rPr>
              <w:t xml:space="preserve">  □其他（请补充）</w:t>
            </w:r>
          </w:p>
        </w:tc>
      </w:tr>
      <w:tr>
        <w:tblPrEx>
          <w:tblCellMar>
            <w:top w:w="15" w:type="dxa"/>
            <w:left w:w="15" w:type="dxa"/>
            <w:bottom w:w="15" w:type="dxa"/>
            <w:right w:w="15" w:type="dxa"/>
          </w:tblCellMar>
        </w:tblPrEx>
        <w:trPr>
          <w:trHeight w:val="430"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2880" w:type="dxa"/>
            <w:gridSpan w:val="5"/>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单位已有（或拟订）的措施</w:t>
            </w:r>
          </w:p>
        </w:tc>
        <w:tc>
          <w:tcPr>
            <w:tcW w:w="5397" w:type="dxa"/>
            <w:gridSpan w:val="6"/>
            <w:tcBorders>
              <w:top w:val="single" w:color="000000" w:sz="4" w:space="0"/>
              <w:left w:val="single" w:color="000000" w:sz="4" w:space="0"/>
              <w:bottom w:val="single" w:color="000000" w:sz="4" w:space="0"/>
              <w:right w:val="single" w:color="000000" w:sz="4" w:space="0"/>
            </w:tcBorders>
            <w:noWrap/>
            <w:vAlign w:val="center"/>
          </w:tcPr>
          <w:p>
            <w:pPr>
              <w:jc w:val="left"/>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kern w:val="0"/>
                <w:sz w:val="22"/>
              </w:rPr>
            </w:pPr>
            <w:r>
              <w:rPr>
                <w:rFonts w:hint="eastAsia" w:ascii="仿宋_GB2312" w:hAnsi="宋体" w:eastAsia="仿宋_GB2312" w:cs="仿宋_GB2312"/>
                <w:b/>
                <w:color w:val="000000"/>
                <w:kern w:val="0"/>
                <w:sz w:val="22"/>
              </w:rPr>
              <w:t>（万元）</w:t>
            </w:r>
            <w:r>
              <w:rPr>
                <w:rFonts w:hint="eastAsia" w:ascii="仿宋_GB2312" w:hAnsi="宋体" w:eastAsia="仿宋_GB2312" w:cs="仿宋_GB2312"/>
                <w:b/>
                <w:color w:val="000000"/>
                <w:kern w:val="0"/>
                <w:sz w:val="22"/>
              </w:rPr>
              <w:br w:type="textWrapping"/>
            </w:r>
            <w:r>
              <w:rPr>
                <w:rFonts w:hint="eastAsia" w:ascii="仿宋_GB2312" w:hAnsi="宋体" w:eastAsia="仿宋_GB2312" w:cs="仿宋_GB2312"/>
                <w:b/>
                <w:color w:val="000000"/>
                <w:kern w:val="0"/>
                <w:sz w:val="22"/>
              </w:rPr>
              <w:t>资金安排</w:t>
            </w:r>
          </w:p>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使用情况</w:t>
            </w:r>
          </w:p>
        </w:tc>
        <w:tc>
          <w:tcPr>
            <w:tcW w:w="1484"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支出机构</w:t>
            </w:r>
          </w:p>
        </w:tc>
        <w:tc>
          <w:tcPr>
            <w:tcW w:w="1396" w:type="dxa"/>
            <w:gridSpan w:val="3"/>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支出合计</w:t>
            </w:r>
          </w:p>
        </w:tc>
        <w:tc>
          <w:tcPr>
            <w:tcW w:w="4352" w:type="dxa"/>
            <w:gridSpan w:val="5"/>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其中：</w:t>
            </w:r>
          </w:p>
        </w:tc>
        <w:tc>
          <w:tcPr>
            <w:tcW w:w="1045"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b/>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396" w:type="dxa"/>
            <w:gridSpan w:val="3"/>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141"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基本支出</w:t>
            </w:r>
          </w:p>
        </w:tc>
        <w:tc>
          <w:tcPr>
            <w:tcW w:w="2128"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其中：</w:t>
            </w:r>
          </w:p>
        </w:tc>
        <w:tc>
          <w:tcPr>
            <w:tcW w:w="1083"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项目支出</w:t>
            </w:r>
          </w:p>
        </w:tc>
        <w:tc>
          <w:tcPr>
            <w:tcW w:w="104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结余</w:t>
            </w: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396" w:type="dxa"/>
            <w:gridSpan w:val="3"/>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141"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045"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人员支出</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公用支出</w:t>
            </w:r>
          </w:p>
        </w:tc>
        <w:tc>
          <w:tcPr>
            <w:tcW w:w="108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04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r>
      <w:tr>
        <w:tblPrEx>
          <w:tblCellMar>
            <w:top w:w="15" w:type="dxa"/>
            <w:left w:w="15" w:type="dxa"/>
            <w:bottom w:w="15" w:type="dxa"/>
            <w:right w:w="15" w:type="dxa"/>
          </w:tblCellMar>
        </w:tblPrEx>
        <w:trPr>
          <w:trHeight w:val="340"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局机关及二级机构汇总</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114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1045"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center"/>
          </w:tcPr>
          <w:p>
            <w:pPr>
              <w:rPr>
                <w:rFonts w:ascii="宋体" w:hAnsi="宋体" w:cs="宋体"/>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1、局机关</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141"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gridSpan w:val="2"/>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2、绿色建筑服务中心</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r>
              <w:rPr>
                <w:rFonts w:hint="eastAsia" w:ascii="仿宋_GB2312" w:hAnsi="宋体" w:eastAsia="仿宋_GB2312" w:cs="仿宋_GB2312"/>
                <w:color w:val="000000"/>
                <w:sz w:val="22"/>
              </w:rPr>
              <w:t>66.44</w:t>
            </w:r>
          </w:p>
        </w:tc>
        <w:tc>
          <w:tcPr>
            <w:tcW w:w="1141"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r>
              <w:rPr>
                <w:rFonts w:hint="eastAsia" w:ascii="仿宋_GB2312" w:hAnsi="宋体" w:eastAsia="仿宋_GB2312" w:cs="仿宋_GB2312"/>
                <w:color w:val="000000"/>
                <w:sz w:val="22"/>
              </w:rPr>
              <w:t>66.44</w:t>
            </w:r>
          </w:p>
        </w:tc>
        <w:tc>
          <w:tcPr>
            <w:tcW w:w="1045" w:type="dxa"/>
            <w:gridSpan w:val="2"/>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r>
              <w:rPr>
                <w:rFonts w:hint="eastAsia" w:ascii="仿宋_GB2312" w:hAnsi="宋体" w:eastAsia="仿宋_GB2312" w:cs="仿宋_GB2312"/>
                <w:color w:val="000000"/>
                <w:sz w:val="22"/>
              </w:rPr>
              <w:t>36.56</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r>
              <w:rPr>
                <w:rFonts w:hint="eastAsia" w:ascii="仿宋_GB2312" w:hAnsi="宋体" w:eastAsia="仿宋_GB2312" w:cs="仿宋_GB2312"/>
                <w:color w:val="000000"/>
                <w:sz w:val="22"/>
              </w:rPr>
              <w:t>29.88</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r>
              <w:rPr>
                <w:rFonts w:hint="eastAsia" w:ascii="仿宋_GB2312" w:hAnsi="宋体" w:eastAsia="仿宋_GB2312" w:cs="仿宋_GB2312"/>
                <w:color w:val="000000"/>
                <w:sz w:val="22"/>
              </w:rPr>
              <w:t>0.49</w:t>
            </w: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ind w:firstLine="330" w:firstLineChars="150"/>
              <w:jc w:val="left"/>
              <w:textAlignment w:val="center"/>
              <w:rPr>
                <w:rFonts w:ascii="仿宋_GB2312" w:hAnsi="宋体" w:eastAsia="仿宋_GB2312" w:cs="仿宋_GB2312"/>
                <w:color w:val="000000"/>
                <w:sz w:val="22"/>
              </w:rPr>
            </w:pP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141"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gridSpan w:val="2"/>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机构名称</w:t>
            </w:r>
          </w:p>
        </w:tc>
        <w:tc>
          <w:tcPr>
            <w:tcW w:w="1396" w:type="dxa"/>
            <w:gridSpan w:val="3"/>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三公经费</w:t>
            </w:r>
          </w:p>
        </w:tc>
        <w:tc>
          <w:tcPr>
            <w:tcW w:w="4352" w:type="dxa"/>
            <w:gridSpan w:val="5"/>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其中：</w:t>
            </w:r>
          </w:p>
        </w:tc>
        <w:tc>
          <w:tcPr>
            <w:tcW w:w="104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会议费</w:t>
            </w:r>
          </w:p>
        </w:tc>
      </w:tr>
      <w:tr>
        <w:tblPrEx>
          <w:tblCellMar>
            <w:top w:w="15" w:type="dxa"/>
            <w:left w:w="15" w:type="dxa"/>
            <w:bottom w:w="15" w:type="dxa"/>
            <w:right w:w="15" w:type="dxa"/>
          </w:tblCellMar>
        </w:tblPrEx>
        <w:trPr>
          <w:trHeight w:val="540"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396" w:type="dxa"/>
            <w:gridSpan w:val="3"/>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14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公务接待费</w:t>
            </w:r>
          </w:p>
        </w:tc>
        <w:tc>
          <w:tcPr>
            <w:tcW w:w="1045"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公务用车</w:t>
            </w:r>
            <w:r>
              <w:rPr>
                <w:rFonts w:hint="eastAsia" w:ascii="仿宋_GB2312" w:hAnsi="宋体" w:eastAsia="仿宋_GB2312" w:cs="仿宋_GB2312"/>
                <w:b/>
                <w:color w:val="000000"/>
                <w:kern w:val="0"/>
                <w:sz w:val="22"/>
              </w:rPr>
              <w:br w:type="textWrapping"/>
            </w:r>
            <w:r>
              <w:rPr>
                <w:rFonts w:hint="eastAsia" w:ascii="仿宋_GB2312" w:hAnsi="宋体" w:eastAsia="仿宋_GB2312" w:cs="仿宋_GB2312"/>
                <w:b/>
                <w:color w:val="000000"/>
                <w:kern w:val="0"/>
                <w:sz w:val="22"/>
              </w:rPr>
              <w:t>运维费</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公务用车</w:t>
            </w:r>
            <w:r>
              <w:rPr>
                <w:rFonts w:hint="eastAsia" w:ascii="仿宋_GB2312" w:hAnsi="宋体" w:eastAsia="仿宋_GB2312" w:cs="仿宋_GB2312"/>
                <w:b/>
                <w:color w:val="000000"/>
                <w:kern w:val="0"/>
                <w:sz w:val="22"/>
              </w:rPr>
              <w:br w:type="textWrapping"/>
            </w:r>
            <w:r>
              <w:rPr>
                <w:rFonts w:hint="eastAsia" w:ascii="仿宋_GB2312" w:hAnsi="宋体" w:eastAsia="仿宋_GB2312" w:cs="仿宋_GB2312"/>
                <w:b/>
                <w:color w:val="000000"/>
                <w:kern w:val="0"/>
                <w:sz w:val="22"/>
              </w:rPr>
              <w:t>购置费</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因公出国费</w:t>
            </w:r>
          </w:p>
        </w:tc>
        <w:tc>
          <w:tcPr>
            <w:tcW w:w="104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r>
      <w:tr>
        <w:tblPrEx>
          <w:tblCellMar>
            <w:top w:w="15" w:type="dxa"/>
            <w:left w:w="15" w:type="dxa"/>
            <w:bottom w:w="15" w:type="dxa"/>
            <w:right w:w="15" w:type="dxa"/>
          </w:tblCellMar>
        </w:tblPrEx>
        <w:trPr>
          <w:trHeight w:val="540"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局机关及二级机构汇总</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141"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gridSpan w:val="2"/>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1、局机关</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141"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gridSpan w:val="2"/>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2、绿色建筑服务中心</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0</w:t>
            </w:r>
          </w:p>
        </w:tc>
        <w:tc>
          <w:tcPr>
            <w:tcW w:w="114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0</w:t>
            </w:r>
          </w:p>
        </w:tc>
        <w:tc>
          <w:tcPr>
            <w:tcW w:w="1045" w:type="dxa"/>
            <w:gridSpan w:val="2"/>
            <w:tcBorders>
              <w:top w:val="single" w:color="000000" w:sz="4" w:space="0"/>
              <w:left w:val="single" w:color="000000" w:sz="4" w:space="0"/>
              <w:bottom w:val="single" w:color="000000" w:sz="4" w:space="0"/>
              <w:right w:val="single" w:color="000000" w:sz="4" w:space="0"/>
            </w:tcBorders>
            <w:noWrap/>
            <w:vAlign w:val="bottom"/>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0</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0</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0</w:t>
            </w:r>
          </w:p>
        </w:tc>
        <w:tc>
          <w:tcPr>
            <w:tcW w:w="1045"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0</w:t>
            </w:r>
          </w:p>
        </w:tc>
      </w:tr>
      <w:tr>
        <w:tblPrEx>
          <w:tblCellMar>
            <w:top w:w="15" w:type="dxa"/>
            <w:left w:w="15" w:type="dxa"/>
            <w:bottom w:w="15" w:type="dxa"/>
            <w:right w:w="15" w:type="dxa"/>
          </w:tblCellMar>
        </w:tblPrEx>
        <w:trPr>
          <w:trHeight w:val="454" w:hRule="atLeast"/>
          <w:jc w:val="center"/>
        </w:trPr>
        <w:tc>
          <w:tcPr>
            <w:tcW w:w="1260"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kern w:val="0"/>
                <w:sz w:val="22"/>
              </w:rPr>
            </w:pPr>
            <w:r>
              <w:rPr>
                <w:rFonts w:hint="eastAsia" w:ascii="仿宋_GB2312" w:hAnsi="宋体" w:eastAsia="仿宋_GB2312" w:cs="仿宋_GB2312"/>
                <w:b/>
                <w:color w:val="000000"/>
                <w:kern w:val="0"/>
                <w:sz w:val="22"/>
              </w:rPr>
              <w:t>（万元）</w:t>
            </w:r>
          </w:p>
          <w:p>
            <w:pPr>
              <w:widowControl/>
              <w:jc w:val="center"/>
              <w:textAlignment w:val="center"/>
              <w:rPr>
                <w:rFonts w:ascii="仿宋_GB2312" w:hAnsi="宋体" w:eastAsia="仿宋_GB2312" w:cs="仿宋_GB2312"/>
                <w:b/>
                <w:color w:val="000000"/>
                <w:kern w:val="0"/>
                <w:sz w:val="22"/>
              </w:rPr>
            </w:pPr>
            <w:r>
              <w:rPr>
                <w:rFonts w:hint="eastAsia" w:ascii="仿宋_GB2312" w:hAnsi="宋体" w:eastAsia="仿宋_GB2312" w:cs="仿宋_GB2312"/>
                <w:b/>
                <w:color w:val="000000"/>
                <w:kern w:val="0"/>
                <w:sz w:val="22"/>
              </w:rPr>
              <w:t>资金安排</w:t>
            </w:r>
          </w:p>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使用情况</w:t>
            </w:r>
          </w:p>
        </w:tc>
        <w:tc>
          <w:tcPr>
            <w:tcW w:w="1484"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机构名称</w:t>
            </w:r>
          </w:p>
        </w:tc>
        <w:tc>
          <w:tcPr>
            <w:tcW w:w="1396" w:type="dxa"/>
            <w:gridSpan w:val="3"/>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固定资产</w:t>
            </w:r>
          </w:p>
        </w:tc>
        <w:tc>
          <w:tcPr>
            <w:tcW w:w="5397"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其中：</w:t>
            </w: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396" w:type="dxa"/>
            <w:gridSpan w:val="3"/>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2186"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在用固定资产</w:t>
            </w:r>
          </w:p>
        </w:tc>
        <w:tc>
          <w:tcPr>
            <w:tcW w:w="2166"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出租固定资产</w:t>
            </w:r>
          </w:p>
        </w:tc>
        <w:tc>
          <w:tcPr>
            <w:tcW w:w="104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其他</w:t>
            </w: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局机关及二级机构汇总</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2186"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2166"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1、局机关</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2186"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2166"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2、绿色建筑服务中心</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r>
              <w:rPr>
                <w:rFonts w:hint="eastAsia" w:ascii="仿宋_GB2312" w:hAnsi="宋体" w:eastAsia="仿宋_GB2312" w:cs="仿宋_GB2312"/>
                <w:color w:val="000000"/>
                <w:sz w:val="22"/>
              </w:rPr>
              <w:t>22.93</w:t>
            </w:r>
          </w:p>
        </w:tc>
        <w:tc>
          <w:tcPr>
            <w:tcW w:w="2186"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22.93</w:t>
            </w:r>
          </w:p>
        </w:tc>
        <w:tc>
          <w:tcPr>
            <w:tcW w:w="2166"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729" w:hRule="atLeast"/>
          <w:jc w:val="center"/>
        </w:trPr>
        <w:tc>
          <w:tcPr>
            <w:tcW w:w="1260"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kern w:val="0"/>
                <w:sz w:val="22"/>
              </w:rPr>
            </w:pPr>
            <w:r>
              <w:rPr>
                <w:rFonts w:hint="eastAsia" w:ascii="仿宋_GB2312" w:hAnsi="宋体" w:eastAsia="仿宋_GB2312" w:cs="仿宋_GB2312"/>
                <w:b/>
                <w:color w:val="000000"/>
                <w:kern w:val="0"/>
                <w:sz w:val="22"/>
              </w:rPr>
              <w:t>（定量指标）</w:t>
            </w:r>
          </w:p>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年度绩效目标完成情况</w:t>
            </w:r>
          </w:p>
        </w:tc>
        <w:tc>
          <w:tcPr>
            <w:tcW w:w="4021"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主要绩效目标内容</w:t>
            </w:r>
          </w:p>
        </w:tc>
        <w:tc>
          <w:tcPr>
            <w:tcW w:w="1045"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kern w:val="0"/>
                <w:sz w:val="22"/>
              </w:rPr>
            </w:pPr>
            <w:r>
              <w:rPr>
                <w:rFonts w:hint="eastAsia" w:ascii="仿宋_GB2312" w:hAnsi="宋体" w:eastAsia="仿宋_GB2312" w:cs="仿宋_GB2312"/>
                <w:b/>
                <w:color w:val="000000"/>
                <w:kern w:val="0"/>
                <w:sz w:val="22"/>
              </w:rPr>
              <w:t>绩效</w:t>
            </w:r>
          </w:p>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目标值</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完成率</w:t>
            </w: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未完成情况说明</w:t>
            </w:r>
          </w:p>
        </w:tc>
      </w:tr>
      <w:tr>
        <w:tblPrEx>
          <w:tblCellMar>
            <w:top w:w="15" w:type="dxa"/>
            <w:left w:w="15" w:type="dxa"/>
            <w:bottom w:w="15" w:type="dxa"/>
            <w:right w:w="15" w:type="dxa"/>
          </w:tblCellMar>
        </w:tblPrEx>
        <w:trPr>
          <w:trHeight w:val="1785"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4021"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1、本部分列出本部门（单位）的年度主要工作，如重点工程和重大项目、《政府工作报告》目标任务、为民办实事工作、省市重大项目建设及单位主要职能工作内容等。</w:t>
            </w:r>
          </w:p>
        </w:tc>
        <w:tc>
          <w:tcPr>
            <w:tcW w:w="1045" w:type="dxa"/>
            <w:gridSpan w:val="2"/>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4021"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2、</w:t>
            </w:r>
            <w:r>
              <w:rPr>
                <w:rFonts w:hint="eastAsia" w:ascii="仿宋_GB2312" w:hAnsi="仿宋_GB2312" w:eastAsia="仿宋_GB2312" w:cs="仿宋_GB2312"/>
                <w:bCs/>
                <w:sz w:val="24"/>
                <w:szCs w:val="24"/>
              </w:rPr>
              <w:t>新材产业健康发展，</w:t>
            </w:r>
            <w:r>
              <w:rPr>
                <w:rFonts w:hint="eastAsia" w:ascii="仿宋_GB2312" w:eastAsia="仿宋_GB2312"/>
                <w:bCs/>
                <w:sz w:val="24"/>
                <w:szCs w:val="24"/>
              </w:rPr>
              <w:t>大力发展和推广新型绿色建材</w:t>
            </w:r>
          </w:p>
        </w:tc>
        <w:tc>
          <w:tcPr>
            <w:tcW w:w="1045" w:type="dxa"/>
            <w:gridSpan w:val="2"/>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r>
              <w:rPr>
                <w:rFonts w:hint="eastAsia" w:eastAsia="仿宋_GB2312"/>
                <w:kern w:val="0"/>
                <w:sz w:val="24"/>
              </w:rPr>
              <w:t>社会效益好</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r>
              <w:rPr>
                <w:rFonts w:hint="eastAsia" w:ascii="仿宋_GB2312" w:hAnsi="宋体" w:eastAsia="仿宋_GB2312" w:cs="仿宋_GB2312"/>
                <w:color w:val="000000"/>
                <w:sz w:val="22"/>
              </w:rPr>
              <w:t>100%</w:t>
            </w: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4021"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3、</w:t>
            </w:r>
            <w:r>
              <w:rPr>
                <w:rFonts w:hint="eastAsia" w:ascii="仿宋_GB2312" w:hAnsi="仿宋_GB2312" w:eastAsia="仿宋_GB2312" w:cs="仿宋_GB2312"/>
                <w:bCs/>
                <w:sz w:val="24"/>
                <w:szCs w:val="24"/>
              </w:rPr>
              <w:t>砂浆“禁现”强力推进，</w:t>
            </w:r>
            <w:r>
              <w:rPr>
                <w:rFonts w:hint="eastAsia" w:ascii="仿宋_GB2312" w:hAnsi="仿宋_GB2312" w:eastAsia="仿宋_GB2312" w:cs="仿宋_GB2312"/>
                <w:bCs/>
                <w:kern w:val="0"/>
                <w:sz w:val="24"/>
                <w:szCs w:val="24"/>
                <w:lang w:val="zh-CN"/>
              </w:rPr>
              <w:t>加大推广使用预拌砂浆力度</w:t>
            </w:r>
          </w:p>
        </w:tc>
        <w:tc>
          <w:tcPr>
            <w:tcW w:w="1045" w:type="dxa"/>
            <w:gridSpan w:val="2"/>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r>
              <w:rPr>
                <w:rFonts w:hint="eastAsia" w:eastAsia="仿宋_GB2312"/>
                <w:kern w:val="0"/>
                <w:sz w:val="24"/>
              </w:rPr>
              <w:t>社会效益好</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r>
              <w:rPr>
                <w:rFonts w:hint="eastAsia" w:ascii="仿宋_GB2312" w:hAnsi="宋体" w:eastAsia="仿宋_GB2312" w:cs="仿宋_GB2312"/>
                <w:color w:val="000000"/>
                <w:sz w:val="22"/>
              </w:rPr>
              <w:t>100%</w:t>
            </w: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4021"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4、</w:t>
            </w:r>
          </w:p>
        </w:tc>
        <w:tc>
          <w:tcPr>
            <w:tcW w:w="1045" w:type="dxa"/>
            <w:gridSpan w:val="2"/>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4021"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w:t>
            </w:r>
          </w:p>
        </w:tc>
        <w:tc>
          <w:tcPr>
            <w:tcW w:w="1045" w:type="dxa"/>
            <w:gridSpan w:val="2"/>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9537" w:type="dxa"/>
            <w:gridSpan w:val="1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宋体"/>
                <w:b/>
                <w:color w:val="000000"/>
                <w:sz w:val="22"/>
              </w:rPr>
            </w:pPr>
            <w:r>
              <w:rPr>
                <w:rFonts w:hint="eastAsia" w:ascii="仿宋_GB2312" w:hAnsi="宋体" w:eastAsia="仿宋_GB2312" w:cs="宋体"/>
                <w:b/>
                <w:color w:val="000000"/>
                <w:kern w:val="0"/>
                <w:sz w:val="22"/>
              </w:rPr>
              <w:t>监  控  报  告</w:t>
            </w:r>
          </w:p>
        </w:tc>
      </w:tr>
      <w:tr>
        <w:tblPrEx>
          <w:tblCellMar>
            <w:top w:w="15" w:type="dxa"/>
            <w:left w:w="15" w:type="dxa"/>
            <w:bottom w:w="15" w:type="dxa"/>
            <w:right w:w="15" w:type="dxa"/>
          </w:tblCellMar>
        </w:tblPrEx>
        <w:trPr>
          <w:trHeight w:val="482" w:hRule="atLeast"/>
          <w:jc w:val="center"/>
        </w:trPr>
        <w:tc>
          <w:tcPr>
            <w:tcW w:w="2744"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存在的主要问题</w:t>
            </w:r>
          </w:p>
        </w:tc>
        <w:tc>
          <w:tcPr>
            <w:tcW w:w="6793" w:type="dxa"/>
            <w:gridSpan w:val="9"/>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楷体_GB2312"/>
                <w:color w:val="000000"/>
                <w:sz w:val="22"/>
              </w:rPr>
            </w:pPr>
            <w:r>
              <w:rPr>
                <w:rFonts w:hint="eastAsia" w:eastAsia="仿宋_GB2312"/>
                <w:kern w:val="0"/>
                <w:sz w:val="24"/>
              </w:rPr>
              <w:t>由于取消收费后日常工作经费严重不足，人员经费缺口一直存在。</w:t>
            </w:r>
          </w:p>
        </w:tc>
      </w:tr>
      <w:tr>
        <w:tblPrEx>
          <w:tblCellMar>
            <w:top w:w="15" w:type="dxa"/>
            <w:left w:w="15" w:type="dxa"/>
            <w:bottom w:w="15" w:type="dxa"/>
            <w:right w:w="15" w:type="dxa"/>
          </w:tblCellMar>
        </w:tblPrEx>
        <w:trPr>
          <w:trHeight w:val="467" w:hRule="atLeast"/>
          <w:jc w:val="center"/>
        </w:trPr>
        <w:tc>
          <w:tcPr>
            <w:tcW w:w="2744"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改进建议或意见</w:t>
            </w:r>
          </w:p>
        </w:tc>
        <w:tc>
          <w:tcPr>
            <w:tcW w:w="6793" w:type="dxa"/>
            <w:gridSpan w:val="9"/>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楷体_GB2312"/>
                <w:color w:val="000000"/>
                <w:sz w:val="22"/>
              </w:rPr>
            </w:pPr>
            <w:r>
              <w:rPr>
                <w:rFonts w:hint="eastAsia" w:eastAsia="仿宋_GB2312"/>
                <w:kern w:val="0"/>
                <w:sz w:val="24"/>
              </w:rPr>
              <w:t>无负面新闻、上级部门通报批评的现象</w:t>
            </w:r>
          </w:p>
        </w:tc>
      </w:tr>
      <w:tr>
        <w:tblPrEx>
          <w:tblCellMar>
            <w:top w:w="15" w:type="dxa"/>
            <w:left w:w="15" w:type="dxa"/>
            <w:bottom w:w="15" w:type="dxa"/>
            <w:right w:w="15" w:type="dxa"/>
          </w:tblCellMar>
        </w:tblPrEx>
        <w:trPr>
          <w:trHeight w:val="510" w:hRule="atLeast"/>
          <w:jc w:val="center"/>
        </w:trPr>
        <w:tc>
          <w:tcPr>
            <w:tcW w:w="2744" w:type="dxa"/>
            <w:gridSpan w:val="3"/>
            <w:tcBorders>
              <w:top w:val="single" w:color="000000" w:sz="4" w:space="0"/>
            </w:tcBorders>
            <w:noWrap/>
            <w:vAlign w:val="center"/>
          </w:tcPr>
          <w:p>
            <w:pPr>
              <w:widowControl/>
              <w:ind w:firstLine="110" w:firstLineChars="50"/>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单位负责人：李辉国</w:t>
            </w:r>
          </w:p>
        </w:tc>
        <w:tc>
          <w:tcPr>
            <w:tcW w:w="1272" w:type="dxa"/>
            <w:gridSpan w:val="2"/>
            <w:noWrap/>
            <w:vAlign w:val="center"/>
          </w:tcPr>
          <w:p>
            <w:pPr>
              <w:rPr>
                <w:rFonts w:ascii="仿宋_GB2312" w:hAnsi="宋体" w:eastAsia="仿宋_GB2312" w:cs="仿宋_GB2312"/>
                <w:color w:val="000000"/>
                <w:sz w:val="22"/>
              </w:rPr>
            </w:pPr>
          </w:p>
        </w:tc>
        <w:tc>
          <w:tcPr>
            <w:tcW w:w="1265" w:type="dxa"/>
            <w:gridSpan w:val="2"/>
            <w:noWrap/>
            <w:vAlign w:val="center"/>
          </w:tcPr>
          <w:p>
            <w:pPr>
              <w:rPr>
                <w:rFonts w:ascii="仿宋_GB2312" w:hAnsi="宋体" w:eastAsia="仿宋_GB2312" w:cs="仿宋_GB2312"/>
                <w:color w:val="000000"/>
                <w:sz w:val="22"/>
              </w:rPr>
            </w:pPr>
          </w:p>
        </w:tc>
        <w:tc>
          <w:tcPr>
            <w:tcW w:w="2128" w:type="dxa"/>
            <w:gridSpan w:val="3"/>
            <w:tcBorders>
              <w:top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填报人：李慷琪</w:t>
            </w:r>
          </w:p>
        </w:tc>
        <w:tc>
          <w:tcPr>
            <w:tcW w:w="1083" w:type="dxa"/>
            <w:noWrap/>
            <w:vAlign w:val="center"/>
          </w:tcPr>
          <w:p>
            <w:pPr>
              <w:rPr>
                <w:rFonts w:ascii="仿宋_GB2312" w:hAnsi="宋体" w:eastAsia="仿宋_GB2312" w:cs="仿宋_GB2312"/>
                <w:color w:val="000000"/>
                <w:sz w:val="22"/>
              </w:rPr>
            </w:pPr>
          </w:p>
        </w:tc>
        <w:tc>
          <w:tcPr>
            <w:tcW w:w="1045" w:type="dxa"/>
            <w:noWrap/>
            <w:vAlign w:val="bottom"/>
          </w:tcPr>
          <w:p>
            <w:pPr>
              <w:rPr>
                <w:rFonts w:ascii="宋体" w:hAnsi="宋体" w:cs="宋体"/>
                <w:color w:val="000000"/>
                <w:sz w:val="22"/>
              </w:rPr>
            </w:pPr>
          </w:p>
        </w:tc>
      </w:tr>
      <w:tr>
        <w:tblPrEx>
          <w:tblCellMar>
            <w:top w:w="15" w:type="dxa"/>
            <w:left w:w="15" w:type="dxa"/>
            <w:bottom w:w="15" w:type="dxa"/>
            <w:right w:w="15" w:type="dxa"/>
          </w:tblCellMar>
        </w:tblPrEx>
        <w:trPr>
          <w:trHeight w:val="510" w:hRule="atLeast"/>
          <w:jc w:val="center"/>
        </w:trPr>
        <w:tc>
          <w:tcPr>
            <w:tcW w:w="2744" w:type="dxa"/>
            <w:gridSpan w:val="3"/>
            <w:noWrap/>
            <w:vAlign w:val="center"/>
          </w:tcPr>
          <w:p>
            <w:pPr>
              <w:widowControl/>
              <w:ind w:firstLine="110" w:firstLineChars="50"/>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联系电话：</w:t>
            </w:r>
          </w:p>
        </w:tc>
        <w:tc>
          <w:tcPr>
            <w:tcW w:w="1272" w:type="dxa"/>
            <w:gridSpan w:val="2"/>
            <w:noWrap/>
            <w:vAlign w:val="center"/>
          </w:tcPr>
          <w:p>
            <w:pPr>
              <w:rPr>
                <w:rFonts w:ascii="仿宋_GB2312" w:hAnsi="宋体" w:eastAsia="仿宋_GB2312" w:cs="仿宋_GB2312"/>
                <w:color w:val="000000"/>
                <w:sz w:val="22"/>
              </w:rPr>
            </w:pPr>
          </w:p>
        </w:tc>
        <w:tc>
          <w:tcPr>
            <w:tcW w:w="1265" w:type="dxa"/>
            <w:gridSpan w:val="2"/>
            <w:noWrap/>
            <w:vAlign w:val="center"/>
          </w:tcPr>
          <w:p>
            <w:pPr>
              <w:rPr>
                <w:rFonts w:ascii="仿宋_GB2312" w:hAnsi="宋体" w:eastAsia="仿宋_GB2312" w:cs="仿宋_GB2312"/>
                <w:color w:val="000000"/>
                <w:sz w:val="22"/>
              </w:rPr>
            </w:pPr>
          </w:p>
        </w:tc>
        <w:tc>
          <w:tcPr>
            <w:tcW w:w="2128" w:type="dxa"/>
            <w:gridSpan w:val="3"/>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联系电话：8328168</w:t>
            </w:r>
          </w:p>
        </w:tc>
        <w:tc>
          <w:tcPr>
            <w:tcW w:w="1083" w:type="dxa"/>
            <w:noWrap/>
            <w:vAlign w:val="center"/>
          </w:tcPr>
          <w:p>
            <w:pPr>
              <w:rPr>
                <w:rFonts w:ascii="仿宋_GB2312" w:hAnsi="宋体" w:eastAsia="仿宋_GB2312" w:cs="仿宋_GB2312"/>
                <w:color w:val="000000"/>
                <w:sz w:val="22"/>
              </w:rPr>
            </w:pPr>
          </w:p>
        </w:tc>
        <w:tc>
          <w:tcPr>
            <w:tcW w:w="1045" w:type="dxa"/>
            <w:noWrap/>
            <w:vAlign w:val="bottom"/>
          </w:tcPr>
          <w:p>
            <w:pPr>
              <w:rPr>
                <w:rFonts w:ascii="宋体" w:hAnsi="宋体" w:cs="宋体"/>
                <w:color w:val="000000"/>
                <w:sz w:val="22"/>
              </w:rPr>
            </w:pPr>
          </w:p>
        </w:tc>
      </w:tr>
      <w:tr>
        <w:tblPrEx>
          <w:tblCellMar>
            <w:top w:w="15" w:type="dxa"/>
            <w:left w:w="15" w:type="dxa"/>
            <w:bottom w:w="15" w:type="dxa"/>
            <w:right w:w="15" w:type="dxa"/>
          </w:tblCellMar>
        </w:tblPrEx>
        <w:trPr>
          <w:trHeight w:val="510" w:hRule="atLeast"/>
          <w:jc w:val="center"/>
        </w:trPr>
        <w:tc>
          <w:tcPr>
            <w:tcW w:w="1456" w:type="dxa"/>
            <w:gridSpan w:val="2"/>
            <w:noWrap/>
            <w:vAlign w:val="center"/>
          </w:tcPr>
          <w:p>
            <w:pPr>
              <w:rPr>
                <w:rFonts w:ascii="仿宋_GB2312" w:hAnsi="宋体" w:eastAsia="仿宋_GB2312" w:cs="仿宋_GB2312"/>
                <w:color w:val="000000"/>
                <w:sz w:val="22"/>
              </w:rPr>
            </w:pPr>
          </w:p>
        </w:tc>
        <w:tc>
          <w:tcPr>
            <w:tcW w:w="1288" w:type="dxa"/>
            <w:noWrap/>
            <w:vAlign w:val="center"/>
          </w:tcPr>
          <w:p>
            <w:pPr>
              <w:rPr>
                <w:rFonts w:ascii="仿宋_GB2312" w:hAnsi="宋体" w:eastAsia="仿宋_GB2312" w:cs="仿宋_GB2312"/>
                <w:color w:val="000000"/>
                <w:sz w:val="22"/>
              </w:rPr>
            </w:pPr>
          </w:p>
        </w:tc>
        <w:tc>
          <w:tcPr>
            <w:tcW w:w="1272" w:type="dxa"/>
            <w:gridSpan w:val="2"/>
            <w:noWrap/>
            <w:vAlign w:val="center"/>
          </w:tcPr>
          <w:p>
            <w:pPr>
              <w:rPr>
                <w:rFonts w:ascii="仿宋_GB2312" w:hAnsi="宋体" w:eastAsia="仿宋_GB2312" w:cs="仿宋_GB2312"/>
                <w:color w:val="000000"/>
                <w:sz w:val="22"/>
              </w:rPr>
            </w:pPr>
          </w:p>
        </w:tc>
        <w:tc>
          <w:tcPr>
            <w:tcW w:w="1265" w:type="dxa"/>
            <w:gridSpan w:val="2"/>
            <w:noWrap/>
            <w:vAlign w:val="center"/>
          </w:tcPr>
          <w:p>
            <w:pPr>
              <w:rPr>
                <w:rFonts w:ascii="仿宋_GB2312" w:hAnsi="宋体" w:eastAsia="仿宋_GB2312" w:cs="仿宋_GB2312"/>
                <w:color w:val="000000"/>
                <w:sz w:val="22"/>
              </w:rPr>
            </w:pPr>
          </w:p>
        </w:tc>
        <w:tc>
          <w:tcPr>
            <w:tcW w:w="4256" w:type="dxa"/>
            <w:gridSpan w:val="5"/>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填报时间：2020 年12 月 8 日</w:t>
            </w:r>
          </w:p>
        </w:tc>
      </w:tr>
      <w:tr>
        <w:tblPrEx>
          <w:tblCellMar>
            <w:top w:w="15" w:type="dxa"/>
            <w:left w:w="15" w:type="dxa"/>
            <w:bottom w:w="15" w:type="dxa"/>
            <w:right w:w="15" w:type="dxa"/>
          </w:tblCellMar>
        </w:tblPrEx>
        <w:trPr>
          <w:trHeight w:val="720" w:hRule="atLeast"/>
          <w:jc w:val="center"/>
        </w:trPr>
        <w:tc>
          <w:tcPr>
            <w:tcW w:w="9537" w:type="dxa"/>
            <w:gridSpan w:val="12"/>
            <w:noWrap/>
            <w:vAlign w:val="center"/>
          </w:tcPr>
          <w:p>
            <w:pPr>
              <w:widowControl/>
              <w:jc w:val="center"/>
              <w:textAlignment w:val="center"/>
              <w:rPr>
                <w:rFonts w:ascii="方正小标宋简体" w:hAnsi="方正小标宋简体" w:eastAsia="方正小标宋简体" w:cs="方正小标宋简体"/>
                <w:color w:val="000000"/>
                <w:kern w:val="0"/>
                <w:sz w:val="40"/>
                <w:szCs w:val="40"/>
              </w:rPr>
            </w:pPr>
          </w:p>
          <w:p>
            <w:pPr>
              <w:widowControl/>
              <w:jc w:val="center"/>
              <w:textAlignment w:val="center"/>
              <w:rPr>
                <w:rFonts w:ascii="方正小标宋简体" w:hAnsi="方正小标宋简体" w:eastAsia="方正小标宋简体" w:cs="方正小标宋简体"/>
                <w:color w:val="000000"/>
                <w:kern w:val="0"/>
                <w:sz w:val="40"/>
                <w:szCs w:val="40"/>
              </w:rPr>
            </w:pPr>
          </w:p>
          <w:p>
            <w:pPr>
              <w:widowControl/>
              <w:jc w:val="center"/>
              <w:textAlignment w:val="center"/>
              <w:rPr>
                <w:rFonts w:ascii="方正小标宋简体" w:hAnsi="方正小标宋简体" w:eastAsia="方正小标宋简体" w:cs="方正小标宋简体"/>
                <w:color w:val="000000"/>
                <w:sz w:val="40"/>
                <w:szCs w:val="40"/>
              </w:rPr>
            </w:pPr>
            <w:r>
              <w:rPr>
                <w:rFonts w:hint="eastAsia" w:ascii="方正小标宋简体" w:hAnsi="方正小标宋简体" w:eastAsia="方正小标宋简体" w:cs="方正小标宋简体"/>
                <w:color w:val="000000"/>
                <w:kern w:val="0"/>
                <w:sz w:val="40"/>
                <w:szCs w:val="40"/>
              </w:rPr>
              <w:t>部门整体支出绩效监控情况表</w:t>
            </w:r>
          </w:p>
        </w:tc>
      </w:tr>
      <w:tr>
        <w:tblPrEx>
          <w:tblCellMar>
            <w:top w:w="15" w:type="dxa"/>
            <w:left w:w="15" w:type="dxa"/>
            <w:bottom w:w="15" w:type="dxa"/>
            <w:right w:w="15" w:type="dxa"/>
          </w:tblCellMar>
        </w:tblPrEx>
        <w:trPr>
          <w:trHeight w:val="285" w:hRule="atLeast"/>
          <w:jc w:val="center"/>
        </w:trPr>
        <w:tc>
          <w:tcPr>
            <w:tcW w:w="3420" w:type="dxa"/>
            <w:gridSpan w:val="4"/>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填报单位（盖章）</w:t>
            </w:r>
          </w:p>
        </w:tc>
        <w:tc>
          <w:tcPr>
            <w:tcW w:w="596" w:type="dxa"/>
            <w:noWrap/>
            <w:vAlign w:val="center"/>
          </w:tcPr>
          <w:p>
            <w:pPr>
              <w:jc w:val="left"/>
              <w:rPr>
                <w:rFonts w:ascii="仿宋_GB2312" w:hAnsi="宋体" w:eastAsia="仿宋_GB2312" w:cs="仿宋_GB2312"/>
                <w:color w:val="000000"/>
                <w:sz w:val="22"/>
              </w:rPr>
            </w:pPr>
          </w:p>
        </w:tc>
        <w:tc>
          <w:tcPr>
            <w:tcW w:w="1744" w:type="dxa"/>
            <w:gridSpan w:val="3"/>
            <w:noWrap/>
            <w:vAlign w:val="center"/>
          </w:tcPr>
          <w:p>
            <w:pPr>
              <w:jc w:val="left"/>
              <w:rPr>
                <w:rFonts w:ascii="仿宋_GB2312" w:hAnsi="宋体" w:eastAsia="仿宋_GB2312" w:cs="仿宋_GB2312"/>
                <w:color w:val="000000"/>
                <w:sz w:val="22"/>
              </w:rPr>
            </w:pPr>
          </w:p>
        </w:tc>
        <w:tc>
          <w:tcPr>
            <w:tcW w:w="3777" w:type="dxa"/>
            <w:gridSpan w:val="4"/>
            <w:noWrap/>
            <w:vAlign w:val="center"/>
          </w:tcPr>
          <w:p>
            <w:pPr>
              <w:widowControl/>
              <w:jc w:val="righ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跟踪期限：1-</w:t>
            </w:r>
            <w:r>
              <w:rPr>
                <w:rFonts w:hint="eastAsia" w:ascii="仿宋_GB2312" w:hAnsi="宋体" w:eastAsia="仿宋_GB2312" w:cs="仿宋_GB2312"/>
                <w:color w:val="000000"/>
                <w:kern w:val="0"/>
                <w:sz w:val="22"/>
                <w:u w:val="single"/>
              </w:rPr>
              <w:t>11</w:t>
            </w:r>
            <w:r>
              <w:rPr>
                <w:rFonts w:hint="eastAsia" w:ascii="仿宋_GB2312" w:hAnsi="宋体" w:eastAsia="仿宋_GB2312" w:cs="仿宋_GB2312"/>
                <w:color w:val="000000"/>
                <w:kern w:val="0"/>
                <w:sz w:val="22"/>
              </w:rPr>
              <w:t>月份</w:t>
            </w:r>
          </w:p>
        </w:tc>
      </w:tr>
      <w:tr>
        <w:tblPrEx>
          <w:tblCellMar>
            <w:top w:w="15" w:type="dxa"/>
            <w:left w:w="15" w:type="dxa"/>
            <w:bottom w:w="15" w:type="dxa"/>
            <w:right w:w="15" w:type="dxa"/>
          </w:tblCellMar>
        </w:tblPrEx>
        <w:trPr>
          <w:trHeight w:val="454" w:hRule="atLeast"/>
          <w:jc w:val="center"/>
        </w:trPr>
        <w:tc>
          <w:tcPr>
            <w:tcW w:w="1260"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基本情况</w:t>
            </w:r>
          </w:p>
        </w:tc>
        <w:tc>
          <w:tcPr>
            <w:tcW w:w="216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部门（单位）名称</w:t>
            </w:r>
          </w:p>
        </w:tc>
        <w:tc>
          <w:tcPr>
            <w:tcW w:w="2340" w:type="dxa"/>
            <w:gridSpan w:val="4"/>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岳阳市绿色建筑产业发展服务中心</w:t>
            </w:r>
          </w:p>
        </w:tc>
        <w:tc>
          <w:tcPr>
            <w:tcW w:w="1649"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单位负责人</w:t>
            </w: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李辉国</w:t>
            </w:r>
          </w:p>
        </w:tc>
      </w:tr>
      <w:tr>
        <w:tblPrEx>
          <w:tblCellMar>
            <w:top w:w="15" w:type="dxa"/>
            <w:left w:w="15" w:type="dxa"/>
            <w:bottom w:w="15" w:type="dxa"/>
            <w:right w:w="15" w:type="dxa"/>
          </w:tblCellMar>
        </w:tblPrEx>
        <w:trPr>
          <w:trHeight w:val="540"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216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kern w:val="0"/>
                <w:sz w:val="22"/>
              </w:rPr>
            </w:pPr>
            <w:r>
              <w:rPr>
                <w:rFonts w:hint="eastAsia" w:ascii="仿宋_GB2312" w:hAnsi="宋体" w:eastAsia="仿宋_GB2312" w:cs="仿宋_GB2312"/>
                <w:color w:val="000000"/>
                <w:kern w:val="0"/>
                <w:sz w:val="22"/>
              </w:rPr>
              <w:t>预算安排资金</w:t>
            </w:r>
          </w:p>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（万元）</w:t>
            </w:r>
          </w:p>
        </w:tc>
        <w:tc>
          <w:tcPr>
            <w:tcW w:w="2340" w:type="dxa"/>
            <w:gridSpan w:val="4"/>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48.45</w:t>
            </w:r>
          </w:p>
        </w:tc>
        <w:tc>
          <w:tcPr>
            <w:tcW w:w="1649"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单位预算编码</w:t>
            </w: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90112</w:t>
            </w: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216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人员编制</w:t>
            </w:r>
          </w:p>
        </w:tc>
        <w:tc>
          <w:tcPr>
            <w:tcW w:w="2340" w:type="dxa"/>
            <w:gridSpan w:val="4"/>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9人</w:t>
            </w:r>
          </w:p>
        </w:tc>
        <w:tc>
          <w:tcPr>
            <w:tcW w:w="1649"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实有人数</w:t>
            </w: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8人</w:t>
            </w: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216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 xml:space="preserve">职能职责概述 </w:t>
            </w:r>
          </w:p>
        </w:tc>
        <w:tc>
          <w:tcPr>
            <w:tcW w:w="6117" w:type="dxa"/>
            <w:gridSpan w:val="8"/>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1.负责贯彻执行发展新型墙体材料、散装水泥的法律法规和政策规定    2.负责草拟和执行全市墙体材料革新、建筑节能推广以及散装水泥、预拌混凝土、预拌砂浆发展的总体规划和年度计划                        3.负责推广新型墙体材料和发展绿色墙体材料，制订实施全市城市“限粘”和县城“禁实”工作方案，组织编制利用废渣生产新型墙体材料的计划，参与使用新型墙体材料的建筑工程竣工验收                      4.负责预拌混凝土企业资质申报、升级、增项、年审等情况的受理、核实、报批，指导协调全市散装水泥、预拌混凝土、预拌砂浆的生产、运输、使用以及新建、扩建预拌混凝土和预拌砂浆项目工作，监督检查预拌混凝土生产质量，组织实施禁止市区现场搅拌混凝土和现场搅拌砂浆具体工作                                           5.指导各县市区墙体材料改革与散装水泥服务工作                    6.完成市住建局交办的其它工作。</w:t>
            </w:r>
          </w:p>
        </w:tc>
      </w:tr>
      <w:tr>
        <w:tblPrEx>
          <w:tblCellMar>
            <w:top w:w="15" w:type="dxa"/>
            <w:left w:w="15" w:type="dxa"/>
            <w:bottom w:w="15" w:type="dxa"/>
            <w:right w:w="15" w:type="dxa"/>
          </w:tblCellMar>
        </w:tblPrEx>
        <w:trPr>
          <w:trHeight w:val="2297" w:hRule="atLeast"/>
          <w:jc w:val="center"/>
        </w:trPr>
        <w:tc>
          <w:tcPr>
            <w:tcW w:w="1260"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kern w:val="0"/>
                <w:sz w:val="22"/>
              </w:rPr>
            </w:pPr>
            <w:r>
              <w:rPr>
                <w:rFonts w:hint="eastAsia" w:ascii="仿宋_GB2312" w:hAnsi="宋体" w:eastAsia="仿宋_GB2312" w:cs="仿宋_GB2312"/>
                <w:b/>
                <w:color w:val="000000"/>
                <w:kern w:val="0"/>
                <w:sz w:val="22"/>
              </w:rPr>
              <w:t>组织管理</w:t>
            </w:r>
          </w:p>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情况</w:t>
            </w:r>
          </w:p>
        </w:tc>
        <w:tc>
          <w:tcPr>
            <w:tcW w:w="2880" w:type="dxa"/>
            <w:gridSpan w:val="5"/>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单位已有的（或正在拟订的）制度</w:t>
            </w:r>
          </w:p>
        </w:tc>
        <w:tc>
          <w:tcPr>
            <w:tcW w:w="5397"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☑财务管理制度</w:t>
            </w:r>
            <w:r>
              <w:rPr>
                <w:rFonts w:hint="eastAsia" w:ascii="仿宋_GB2312" w:hAnsi="宋体" w:eastAsia="仿宋_GB2312" w:cs="仿宋_GB2312"/>
                <w:color w:val="000000"/>
                <w:kern w:val="0"/>
                <w:sz w:val="22"/>
              </w:rPr>
              <w:br w:type="textWrapping"/>
            </w:r>
            <w:r>
              <w:rPr>
                <w:rFonts w:hint="eastAsia" w:ascii="仿宋_GB2312" w:hAnsi="宋体" w:eastAsia="仿宋_GB2312" w:cs="仿宋_GB2312"/>
                <w:color w:val="000000"/>
                <w:kern w:val="0"/>
                <w:sz w:val="22"/>
              </w:rPr>
              <w:t>☑内部工作规程</w:t>
            </w:r>
            <w:r>
              <w:rPr>
                <w:rFonts w:hint="eastAsia" w:ascii="仿宋_GB2312" w:hAnsi="宋体" w:eastAsia="仿宋_GB2312" w:cs="仿宋_GB2312"/>
                <w:color w:val="000000"/>
                <w:kern w:val="0"/>
                <w:sz w:val="22"/>
              </w:rPr>
              <w:br w:type="textWrapping"/>
            </w:r>
            <w:r>
              <w:rPr>
                <w:rFonts w:hint="eastAsia" w:ascii="仿宋_GB2312" w:hAnsi="宋体" w:eastAsia="仿宋_GB2312" w:cs="仿宋_GB2312"/>
                <w:color w:val="000000"/>
                <w:kern w:val="0"/>
                <w:sz w:val="22"/>
              </w:rPr>
              <w:t xml:space="preserve">  □岗位责任制度</w:t>
            </w:r>
            <w:r>
              <w:rPr>
                <w:rFonts w:hint="eastAsia" w:ascii="仿宋_GB2312" w:hAnsi="宋体" w:eastAsia="仿宋_GB2312" w:cs="仿宋_GB2312"/>
                <w:color w:val="000000"/>
                <w:kern w:val="0"/>
                <w:sz w:val="22"/>
              </w:rPr>
              <w:br w:type="textWrapping"/>
            </w:r>
            <w:r>
              <w:rPr>
                <w:rFonts w:hint="eastAsia" w:ascii="仿宋_GB2312" w:hAnsi="宋体" w:eastAsia="仿宋_GB2312" w:cs="仿宋_GB2312"/>
                <w:color w:val="000000"/>
                <w:kern w:val="0"/>
                <w:sz w:val="22"/>
              </w:rPr>
              <w:t xml:space="preserve">  □专项资金管理办法</w:t>
            </w:r>
            <w:r>
              <w:rPr>
                <w:rFonts w:hint="eastAsia" w:ascii="仿宋_GB2312" w:hAnsi="宋体" w:eastAsia="仿宋_GB2312" w:cs="仿宋_GB2312"/>
                <w:color w:val="000000"/>
                <w:kern w:val="0"/>
                <w:sz w:val="22"/>
              </w:rPr>
              <w:br w:type="textWrapping"/>
            </w:r>
            <w:r>
              <w:rPr>
                <w:rFonts w:hint="eastAsia" w:ascii="仿宋_GB2312" w:hAnsi="宋体" w:eastAsia="仿宋_GB2312" w:cs="仿宋_GB2312"/>
                <w:color w:val="000000"/>
                <w:kern w:val="0"/>
                <w:sz w:val="22"/>
              </w:rPr>
              <w:t xml:space="preserve">  □项目实施管理办法</w:t>
            </w:r>
            <w:r>
              <w:rPr>
                <w:rFonts w:hint="eastAsia" w:ascii="仿宋_GB2312" w:hAnsi="宋体" w:eastAsia="仿宋_GB2312" w:cs="仿宋_GB2312"/>
                <w:color w:val="000000"/>
                <w:kern w:val="0"/>
                <w:sz w:val="22"/>
              </w:rPr>
              <w:br w:type="textWrapping"/>
            </w:r>
            <w:r>
              <w:rPr>
                <w:rFonts w:hint="eastAsia" w:ascii="仿宋_GB2312" w:hAnsi="宋体" w:eastAsia="仿宋_GB2312" w:cs="仿宋_GB2312"/>
                <w:color w:val="000000"/>
                <w:kern w:val="0"/>
                <w:sz w:val="22"/>
              </w:rPr>
              <w:t xml:space="preserve">  □工作流程图或操作细则</w:t>
            </w:r>
            <w:r>
              <w:rPr>
                <w:rFonts w:hint="eastAsia" w:ascii="仿宋_GB2312" w:hAnsi="宋体" w:eastAsia="仿宋_GB2312" w:cs="仿宋_GB2312"/>
                <w:color w:val="000000"/>
                <w:kern w:val="0"/>
                <w:sz w:val="22"/>
              </w:rPr>
              <w:br w:type="textWrapping"/>
            </w:r>
            <w:r>
              <w:rPr>
                <w:rFonts w:hint="eastAsia" w:ascii="仿宋_GB2312" w:hAnsi="宋体" w:eastAsia="仿宋_GB2312" w:cs="仿宋_GB2312"/>
                <w:color w:val="000000"/>
                <w:kern w:val="0"/>
                <w:sz w:val="22"/>
              </w:rPr>
              <w:t xml:space="preserve">  □其他（请补充）</w:t>
            </w:r>
          </w:p>
        </w:tc>
      </w:tr>
      <w:tr>
        <w:tblPrEx>
          <w:tblCellMar>
            <w:top w:w="15" w:type="dxa"/>
            <w:left w:w="15" w:type="dxa"/>
            <w:bottom w:w="15" w:type="dxa"/>
            <w:right w:w="15" w:type="dxa"/>
          </w:tblCellMar>
        </w:tblPrEx>
        <w:trPr>
          <w:trHeight w:val="430"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2880" w:type="dxa"/>
            <w:gridSpan w:val="5"/>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单位已有（或拟订）的措施</w:t>
            </w:r>
          </w:p>
        </w:tc>
        <w:tc>
          <w:tcPr>
            <w:tcW w:w="5397" w:type="dxa"/>
            <w:gridSpan w:val="6"/>
            <w:tcBorders>
              <w:top w:val="single" w:color="000000" w:sz="4" w:space="0"/>
              <w:left w:val="single" w:color="000000" w:sz="4" w:space="0"/>
              <w:bottom w:val="single" w:color="000000" w:sz="4" w:space="0"/>
              <w:right w:val="single" w:color="000000" w:sz="4" w:space="0"/>
            </w:tcBorders>
            <w:noWrap/>
            <w:vAlign w:val="center"/>
          </w:tcPr>
          <w:p>
            <w:pPr>
              <w:jc w:val="left"/>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kern w:val="0"/>
                <w:sz w:val="22"/>
              </w:rPr>
            </w:pPr>
            <w:r>
              <w:rPr>
                <w:rFonts w:hint="eastAsia" w:ascii="仿宋_GB2312" w:hAnsi="宋体" w:eastAsia="仿宋_GB2312" w:cs="仿宋_GB2312"/>
                <w:b/>
                <w:color w:val="000000"/>
                <w:kern w:val="0"/>
                <w:sz w:val="22"/>
              </w:rPr>
              <w:t>（万元）</w:t>
            </w:r>
            <w:r>
              <w:rPr>
                <w:rFonts w:hint="eastAsia" w:ascii="仿宋_GB2312" w:hAnsi="宋体" w:eastAsia="仿宋_GB2312" w:cs="仿宋_GB2312"/>
                <w:b/>
                <w:color w:val="000000"/>
                <w:kern w:val="0"/>
                <w:sz w:val="22"/>
              </w:rPr>
              <w:br w:type="textWrapping"/>
            </w:r>
            <w:r>
              <w:rPr>
                <w:rFonts w:hint="eastAsia" w:ascii="仿宋_GB2312" w:hAnsi="宋体" w:eastAsia="仿宋_GB2312" w:cs="仿宋_GB2312"/>
                <w:b/>
                <w:color w:val="000000"/>
                <w:kern w:val="0"/>
                <w:sz w:val="22"/>
              </w:rPr>
              <w:t>资金安排</w:t>
            </w:r>
          </w:p>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使用情况</w:t>
            </w:r>
          </w:p>
        </w:tc>
        <w:tc>
          <w:tcPr>
            <w:tcW w:w="1484"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支出机构</w:t>
            </w:r>
          </w:p>
        </w:tc>
        <w:tc>
          <w:tcPr>
            <w:tcW w:w="1396" w:type="dxa"/>
            <w:gridSpan w:val="3"/>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支出合计</w:t>
            </w:r>
          </w:p>
        </w:tc>
        <w:tc>
          <w:tcPr>
            <w:tcW w:w="4352" w:type="dxa"/>
            <w:gridSpan w:val="5"/>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其中：</w:t>
            </w:r>
          </w:p>
        </w:tc>
        <w:tc>
          <w:tcPr>
            <w:tcW w:w="1045"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b/>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396" w:type="dxa"/>
            <w:gridSpan w:val="3"/>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141"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基本支出</w:t>
            </w:r>
          </w:p>
        </w:tc>
        <w:tc>
          <w:tcPr>
            <w:tcW w:w="2128"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其中：</w:t>
            </w:r>
          </w:p>
        </w:tc>
        <w:tc>
          <w:tcPr>
            <w:tcW w:w="1083"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项目支出</w:t>
            </w:r>
          </w:p>
        </w:tc>
        <w:tc>
          <w:tcPr>
            <w:tcW w:w="104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结余</w:t>
            </w: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396" w:type="dxa"/>
            <w:gridSpan w:val="3"/>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141"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045"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人员支出</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公用支出</w:t>
            </w:r>
          </w:p>
        </w:tc>
        <w:tc>
          <w:tcPr>
            <w:tcW w:w="108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04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r>
      <w:tr>
        <w:tblPrEx>
          <w:tblCellMar>
            <w:top w:w="15" w:type="dxa"/>
            <w:left w:w="15" w:type="dxa"/>
            <w:bottom w:w="15" w:type="dxa"/>
            <w:right w:w="15" w:type="dxa"/>
          </w:tblCellMar>
        </w:tblPrEx>
        <w:trPr>
          <w:trHeight w:val="340"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局机关及二级机构汇总</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114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1045"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center"/>
          </w:tcPr>
          <w:p>
            <w:pPr>
              <w:rPr>
                <w:rFonts w:ascii="宋体" w:hAnsi="宋体" w:cs="宋体"/>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1、局机关</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141"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gridSpan w:val="2"/>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2、绿色建筑服务中心</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r>
              <w:rPr>
                <w:rFonts w:hint="eastAsia" w:ascii="仿宋_GB2312" w:hAnsi="宋体" w:eastAsia="仿宋_GB2312" w:cs="仿宋_GB2312"/>
                <w:color w:val="000000"/>
                <w:sz w:val="22"/>
              </w:rPr>
              <w:t>74.87</w:t>
            </w:r>
          </w:p>
        </w:tc>
        <w:tc>
          <w:tcPr>
            <w:tcW w:w="1141"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r>
              <w:rPr>
                <w:rFonts w:hint="eastAsia" w:ascii="仿宋_GB2312" w:hAnsi="宋体" w:eastAsia="仿宋_GB2312" w:cs="仿宋_GB2312"/>
                <w:color w:val="000000"/>
                <w:sz w:val="22"/>
              </w:rPr>
              <w:t>74.87</w:t>
            </w:r>
          </w:p>
        </w:tc>
        <w:tc>
          <w:tcPr>
            <w:tcW w:w="1045" w:type="dxa"/>
            <w:gridSpan w:val="2"/>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r>
              <w:rPr>
                <w:rFonts w:hint="eastAsia" w:ascii="仿宋_GB2312" w:hAnsi="宋体" w:eastAsia="仿宋_GB2312" w:cs="仿宋_GB2312"/>
                <w:color w:val="000000"/>
                <w:sz w:val="22"/>
              </w:rPr>
              <w:t>44.99</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r>
              <w:rPr>
                <w:rFonts w:hint="eastAsia" w:ascii="仿宋_GB2312" w:hAnsi="宋体" w:eastAsia="仿宋_GB2312" w:cs="仿宋_GB2312"/>
                <w:color w:val="000000"/>
                <w:sz w:val="22"/>
              </w:rPr>
              <w:t>29.88</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r>
              <w:rPr>
                <w:rFonts w:hint="eastAsia" w:ascii="仿宋_GB2312" w:hAnsi="宋体" w:eastAsia="仿宋_GB2312" w:cs="仿宋_GB2312"/>
                <w:color w:val="000000"/>
                <w:sz w:val="22"/>
              </w:rPr>
              <w:t>-3.96</w:t>
            </w: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ind w:firstLine="330" w:firstLineChars="150"/>
              <w:jc w:val="left"/>
              <w:textAlignment w:val="center"/>
              <w:rPr>
                <w:rFonts w:ascii="仿宋_GB2312" w:hAnsi="宋体" w:eastAsia="仿宋_GB2312" w:cs="仿宋_GB2312"/>
                <w:color w:val="000000"/>
                <w:sz w:val="22"/>
              </w:rPr>
            </w:pP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141"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gridSpan w:val="2"/>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机构名称</w:t>
            </w:r>
          </w:p>
        </w:tc>
        <w:tc>
          <w:tcPr>
            <w:tcW w:w="1396" w:type="dxa"/>
            <w:gridSpan w:val="3"/>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三公经费</w:t>
            </w:r>
          </w:p>
        </w:tc>
        <w:tc>
          <w:tcPr>
            <w:tcW w:w="4352" w:type="dxa"/>
            <w:gridSpan w:val="5"/>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其中：</w:t>
            </w:r>
          </w:p>
        </w:tc>
        <w:tc>
          <w:tcPr>
            <w:tcW w:w="104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会议费</w:t>
            </w:r>
          </w:p>
        </w:tc>
      </w:tr>
      <w:tr>
        <w:tblPrEx>
          <w:tblCellMar>
            <w:top w:w="15" w:type="dxa"/>
            <w:left w:w="15" w:type="dxa"/>
            <w:bottom w:w="15" w:type="dxa"/>
            <w:right w:w="15" w:type="dxa"/>
          </w:tblCellMar>
        </w:tblPrEx>
        <w:trPr>
          <w:trHeight w:val="540"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396" w:type="dxa"/>
            <w:gridSpan w:val="3"/>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14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公务接待费</w:t>
            </w:r>
          </w:p>
        </w:tc>
        <w:tc>
          <w:tcPr>
            <w:tcW w:w="1045"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公务用车</w:t>
            </w:r>
            <w:r>
              <w:rPr>
                <w:rFonts w:hint="eastAsia" w:ascii="仿宋_GB2312" w:hAnsi="宋体" w:eastAsia="仿宋_GB2312" w:cs="仿宋_GB2312"/>
                <w:b/>
                <w:color w:val="000000"/>
                <w:kern w:val="0"/>
                <w:sz w:val="22"/>
              </w:rPr>
              <w:br w:type="textWrapping"/>
            </w:r>
            <w:r>
              <w:rPr>
                <w:rFonts w:hint="eastAsia" w:ascii="仿宋_GB2312" w:hAnsi="宋体" w:eastAsia="仿宋_GB2312" w:cs="仿宋_GB2312"/>
                <w:b/>
                <w:color w:val="000000"/>
                <w:kern w:val="0"/>
                <w:sz w:val="22"/>
              </w:rPr>
              <w:t>运维费</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公务用车</w:t>
            </w:r>
            <w:r>
              <w:rPr>
                <w:rFonts w:hint="eastAsia" w:ascii="仿宋_GB2312" w:hAnsi="宋体" w:eastAsia="仿宋_GB2312" w:cs="仿宋_GB2312"/>
                <w:b/>
                <w:color w:val="000000"/>
                <w:kern w:val="0"/>
                <w:sz w:val="22"/>
              </w:rPr>
              <w:br w:type="textWrapping"/>
            </w:r>
            <w:r>
              <w:rPr>
                <w:rFonts w:hint="eastAsia" w:ascii="仿宋_GB2312" w:hAnsi="宋体" w:eastAsia="仿宋_GB2312" w:cs="仿宋_GB2312"/>
                <w:b/>
                <w:color w:val="000000"/>
                <w:kern w:val="0"/>
                <w:sz w:val="22"/>
              </w:rPr>
              <w:t>购置费</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因公出国费</w:t>
            </w:r>
          </w:p>
        </w:tc>
        <w:tc>
          <w:tcPr>
            <w:tcW w:w="104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r>
      <w:tr>
        <w:tblPrEx>
          <w:tblCellMar>
            <w:top w:w="15" w:type="dxa"/>
            <w:left w:w="15" w:type="dxa"/>
            <w:bottom w:w="15" w:type="dxa"/>
            <w:right w:w="15" w:type="dxa"/>
          </w:tblCellMar>
        </w:tblPrEx>
        <w:trPr>
          <w:trHeight w:val="540"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局机关及二级机构汇总</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141"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gridSpan w:val="2"/>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1、局机关</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141"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gridSpan w:val="2"/>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2、绿色建筑服务中心</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0</w:t>
            </w:r>
          </w:p>
        </w:tc>
        <w:tc>
          <w:tcPr>
            <w:tcW w:w="114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0</w:t>
            </w:r>
          </w:p>
        </w:tc>
        <w:tc>
          <w:tcPr>
            <w:tcW w:w="1045" w:type="dxa"/>
            <w:gridSpan w:val="2"/>
            <w:tcBorders>
              <w:top w:val="single" w:color="000000" w:sz="4" w:space="0"/>
              <w:left w:val="single" w:color="000000" w:sz="4" w:space="0"/>
              <w:bottom w:val="single" w:color="000000" w:sz="4" w:space="0"/>
              <w:right w:val="single" w:color="000000" w:sz="4" w:space="0"/>
            </w:tcBorders>
            <w:noWrap/>
            <w:vAlign w:val="bottom"/>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0</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0</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0</w:t>
            </w:r>
          </w:p>
        </w:tc>
        <w:tc>
          <w:tcPr>
            <w:tcW w:w="1045" w:type="dxa"/>
            <w:tcBorders>
              <w:top w:val="single" w:color="000000" w:sz="4" w:space="0"/>
              <w:left w:val="single" w:color="000000" w:sz="4" w:space="0"/>
              <w:bottom w:val="single" w:color="000000" w:sz="4" w:space="0"/>
              <w:right w:val="single" w:color="000000" w:sz="4" w:space="0"/>
            </w:tcBorders>
            <w:noWrap/>
            <w:vAlign w:val="bottom"/>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0</w:t>
            </w:r>
          </w:p>
        </w:tc>
      </w:tr>
      <w:tr>
        <w:tblPrEx>
          <w:tblCellMar>
            <w:top w:w="15" w:type="dxa"/>
            <w:left w:w="15" w:type="dxa"/>
            <w:bottom w:w="15" w:type="dxa"/>
            <w:right w:w="15" w:type="dxa"/>
          </w:tblCellMar>
        </w:tblPrEx>
        <w:trPr>
          <w:trHeight w:val="454" w:hRule="atLeast"/>
          <w:jc w:val="center"/>
        </w:trPr>
        <w:tc>
          <w:tcPr>
            <w:tcW w:w="1260"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kern w:val="0"/>
                <w:sz w:val="22"/>
              </w:rPr>
            </w:pPr>
            <w:r>
              <w:rPr>
                <w:rFonts w:hint="eastAsia" w:ascii="仿宋_GB2312" w:hAnsi="宋体" w:eastAsia="仿宋_GB2312" w:cs="仿宋_GB2312"/>
                <w:b/>
                <w:color w:val="000000"/>
                <w:kern w:val="0"/>
                <w:sz w:val="22"/>
              </w:rPr>
              <w:t>（万元）</w:t>
            </w:r>
          </w:p>
          <w:p>
            <w:pPr>
              <w:widowControl/>
              <w:jc w:val="center"/>
              <w:textAlignment w:val="center"/>
              <w:rPr>
                <w:rFonts w:ascii="仿宋_GB2312" w:hAnsi="宋体" w:eastAsia="仿宋_GB2312" w:cs="仿宋_GB2312"/>
                <w:b/>
                <w:color w:val="000000"/>
                <w:kern w:val="0"/>
                <w:sz w:val="22"/>
              </w:rPr>
            </w:pPr>
            <w:r>
              <w:rPr>
                <w:rFonts w:hint="eastAsia" w:ascii="仿宋_GB2312" w:hAnsi="宋体" w:eastAsia="仿宋_GB2312" w:cs="仿宋_GB2312"/>
                <w:b/>
                <w:color w:val="000000"/>
                <w:kern w:val="0"/>
                <w:sz w:val="22"/>
              </w:rPr>
              <w:t>资金安排</w:t>
            </w:r>
          </w:p>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使用情况</w:t>
            </w:r>
          </w:p>
        </w:tc>
        <w:tc>
          <w:tcPr>
            <w:tcW w:w="1484"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机构名称</w:t>
            </w:r>
          </w:p>
        </w:tc>
        <w:tc>
          <w:tcPr>
            <w:tcW w:w="1396" w:type="dxa"/>
            <w:gridSpan w:val="3"/>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固定资产</w:t>
            </w:r>
          </w:p>
        </w:tc>
        <w:tc>
          <w:tcPr>
            <w:tcW w:w="5397"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其中：</w:t>
            </w: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396" w:type="dxa"/>
            <w:gridSpan w:val="3"/>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2186"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在用固定资产</w:t>
            </w:r>
          </w:p>
        </w:tc>
        <w:tc>
          <w:tcPr>
            <w:tcW w:w="2166"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出租固定资产</w:t>
            </w:r>
          </w:p>
        </w:tc>
        <w:tc>
          <w:tcPr>
            <w:tcW w:w="104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其他</w:t>
            </w: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局机关及二级机构汇总</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2186"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2166"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1、局机关</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2186"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2166"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14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2、绿色建筑服务中心</w:t>
            </w:r>
          </w:p>
        </w:tc>
        <w:tc>
          <w:tcPr>
            <w:tcW w:w="1396" w:type="dxa"/>
            <w:gridSpan w:val="3"/>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r>
              <w:rPr>
                <w:rFonts w:hint="eastAsia" w:ascii="仿宋_GB2312" w:hAnsi="宋体" w:eastAsia="仿宋_GB2312" w:cs="仿宋_GB2312"/>
                <w:color w:val="000000"/>
                <w:sz w:val="22"/>
              </w:rPr>
              <w:t>22.93</w:t>
            </w:r>
          </w:p>
        </w:tc>
        <w:tc>
          <w:tcPr>
            <w:tcW w:w="2186"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r>
              <w:rPr>
                <w:rFonts w:hint="eastAsia" w:ascii="仿宋_GB2312" w:hAnsi="宋体" w:eastAsia="仿宋_GB2312" w:cs="仿宋_GB2312"/>
                <w:color w:val="000000"/>
                <w:sz w:val="22"/>
              </w:rPr>
              <w:t>22.93</w:t>
            </w:r>
          </w:p>
        </w:tc>
        <w:tc>
          <w:tcPr>
            <w:tcW w:w="2166"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c>
          <w:tcPr>
            <w:tcW w:w="1045"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729" w:hRule="atLeast"/>
          <w:jc w:val="center"/>
        </w:trPr>
        <w:tc>
          <w:tcPr>
            <w:tcW w:w="1260"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kern w:val="0"/>
                <w:sz w:val="22"/>
              </w:rPr>
            </w:pPr>
            <w:r>
              <w:rPr>
                <w:rFonts w:hint="eastAsia" w:ascii="仿宋_GB2312" w:hAnsi="宋体" w:eastAsia="仿宋_GB2312" w:cs="仿宋_GB2312"/>
                <w:b/>
                <w:color w:val="000000"/>
                <w:kern w:val="0"/>
                <w:sz w:val="22"/>
              </w:rPr>
              <w:t>（定量指标）</w:t>
            </w:r>
          </w:p>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年度绩效目标完成情况</w:t>
            </w:r>
          </w:p>
        </w:tc>
        <w:tc>
          <w:tcPr>
            <w:tcW w:w="4021"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主要绩效目标内容</w:t>
            </w:r>
          </w:p>
        </w:tc>
        <w:tc>
          <w:tcPr>
            <w:tcW w:w="1045"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kern w:val="0"/>
                <w:sz w:val="22"/>
              </w:rPr>
            </w:pPr>
            <w:r>
              <w:rPr>
                <w:rFonts w:hint="eastAsia" w:ascii="仿宋_GB2312" w:hAnsi="宋体" w:eastAsia="仿宋_GB2312" w:cs="仿宋_GB2312"/>
                <w:b/>
                <w:color w:val="000000"/>
                <w:kern w:val="0"/>
                <w:sz w:val="22"/>
              </w:rPr>
              <w:t>绩效</w:t>
            </w:r>
          </w:p>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目标值</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完成率</w:t>
            </w: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未完成情况说明</w:t>
            </w:r>
          </w:p>
        </w:tc>
      </w:tr>
      <w:tr>
        <w:tblPrEx>
          <w:tblCellMar>
            <w:top w:w="15" w:type="dxa"/>
            <w:left w:w="15" w:type="dxa"/>
            <w:bottom w:w="15" w:type="dxa"/>
            <w:right w:w="15" w:type="dxa"/>
          </w:tblCellMar>
        </w:tblPrEx>
        <w:trPr>
          <w:trHeight w:val="1785"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4021"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1、本部分列出本部门（单位）的年度主要工作，如重点工程和重大项目、《政府工作报告》目标任务、为民办实事工作、省市重大项目建设及单位主要职能工作内容等。</w:t>
            </w:r>
          </w:p>
        </w:tc>
        <w:tc>
          <w:tcPr>
            <w:tcW w:w="1045" w:type="dxa"/>
            <w:gridSpan w:val="2"/>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4021"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2、</w:t>
            </w:r>
            <w:r>
              <w:rPr>
                <w:rFonts w:hint="eastAsia" w:ascii="仿宋_GB2312" w:hAnsi="仿宋_GB2312" w:eastAsia="仿宋_GB2312" w:cs="仿宋_GB2312"/>
                <w:bCs/>
                <w:sz w:val="24"/>
                <w:szCs w:val="24"/>
              </w:rPr>
              <w:t>新材产业健康发展，</w:t>
            </w:r>
            <w:r>
              <w:rPr>
                <w:rFonts w:hint="eastAsia" w:ascii="仿宋_GB2312" w:eastAsia="仿宋_GB2312"/>
                <w:bCs/>
                <w:sz w:val="24"/>
                <w:szCs w:val="24"/>
              </w:rPr>
              <w:t>大力发展和推广新型绿色建材</w:t>
            </w:r>
          </w:p>
        </w:tc>
        <w:tc>
          <w:tcPr>
            <w:tcW w:w="1045" w:type="dxa"/>
            <w:gridSpan w:val="2"/>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r>
              <w:rPr>
                <w:rFonts w:hint="eastAsia" w:eastAsia="仿宋_GB2312"/>
                <w:kern w:val="0"/>
                <w:sz w:val="24"/>
              </w:rPr>
              <w:t>社会效益好</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r>
              <w:rPr>
                <w:rFonts w:hint="eastAsia" w:ascii="仿宋_GB2312" w:hAnsi="宋体" w:eastAsia="仿宋_GB2312" w:cs="仿宋_GB2312"/>
                <w:color w:val="000000"/>
                <w:sz w:val="22"/>
              </w:rPr>
              <w:t>100%</w:t>
            </w: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4021"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3、</w:t>
            </w:r>
            <w:r>
              <w:rPr>
                <w:rFonts w:hint="eastAsia" w:ascii="仿宋_GB2312" w:hAnsi="仿宋_GB2312" w:eastAsia="仿宋_GB2312" w:cs="仿宋_GB2312"/>
                <w:bCs/>
                <w:sz w:val="24"/>
                <w:szCs w:val="24"/>
              </w:rPr>
              <w:t>砂浆“禁现”强力推进，</w:t>
            </w:r>
            <w:r>
              <w:rPr>
                <w:rFonts w:hint="eastAsia" w:ascii="仿宋_GB2312" w:hAnsi="仿宋_GB2312" w:eastAsia="仿宋_GB2312" w:cs="仿宋_GB2312"/>
                <w:bCs/>
                <w:kern w:val="0"/>
                <w:sz w:val="24"/>
                <w:szCs w:val="24"/>
                <w:lang w:val="zh-CN"/>
              </w:rPr>
              <w:t>加大推广使用预拌砂浆力度</w:t>
            </w:r>
          </w:p>
        </w:tc>
        <w:tc>
          <w:tcPr>
            <w:tcW w:w="1045" w:type="dxa"/>
            <w:gridSpan w:val="2"/>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r>
              <w:rPr>
                <w:rFonts w:hint="eastAsia" w:eastAsia="仿宋_GB2312"/>
                <w:kern w:val="0"/>
                <w:sz w:val="24"/>
              </w:rPr>
              <w:t>社会效益好</w:t>
            </w:r>
          </w:p>
        </w:tc>
        <w:tc>
          <w:tcPr>
            <w:tcW w:w="1083" w:type="dxa"/>
            <w:tcBorders>
              <w:top w:val="single" w:color="000000" w:sz="4" w:space="0"/>
              <w:left w:val="single" w:color="000000" w:sz="4" w:space="0"/>
              <w:bottom w:val="single" w:color="000000" w:sz="4" w:space="0"/>
              <w:right w:val="single" w:color="000000" w:sz="4" w:space="0"/>
            </w:tcBorders>
            <w:noWrap/>
            <w:vAlign w:val="center"/>
          </w:tcPr>
          <w:p>
            <w:pPr>
              <w:rPr>
                <w:rFonts w:ascii="仿宋_GB2312" w:hAnsi="宋体" w:eastAsia="仿宋_GB2312" w:cs="仿宋_GB2312"/>
                <w:color w:val="000000"/>
                <w:sz w:val="22"/>
              </w:rPr>
            </w:pPr>
            <w:r>
              <w:rPr>
                <w:rFonts w:hint="eastAsia" w:ascii="仿宋_GB2312" w:hAnsi="宋体" w:eastAsia="仿宋_GB2312" w:cs="仿宋_GB2312"/>
                <w:color w:val="000000"/>
                <w:sz w:val="22"/>
              </w:rPr>
              <w:t>100%</w:t>
            </w: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4021"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4、</w:t>
            </w:r>
          </w:p>
        </w:tc>
        <w:tc>
          <w:tcPr>
            <w:tcW w:w="1045" w:type="dxa"/>
            <w:gridSpan w:val="2"/>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b/>
                <w:color w:val="000000"/>
                <w:sz w:val="22"/>
              </w:rPr>
            </w:pPr>
          </w:p>
        </w:tc>
        <w:tc>
          <w:tcPr>
            <w:tcW w:w="4021"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w:t>
            </w:r>
          </w:p>
        </w:tc>
        <w:tc>
          <w:tcPr>
            <w:tcW w:w="1045" w:type="dxa"/>
            <w:gridSpan w:val="2"/>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c>
          <w:tcPr>
            <w:tcW w:w="1083" w:type="dxa"/>
            <w:tcBorders>
              <w:top w:val="single" w:color="000000" w:sz="4" w:space="0"/>
              <w:left w:val="single" w:color="000000" w:sz="4" w:space="0"/>
              <w:bottom w:val="single" w:color="000000" w:sz="4" w:space="0"/>
              <w:right w:val="single" w:color="000000" w:sz="4" w:space="0"/>
            </w:tcBorders>
            <w:noWrap/>
            <w:vAlign w:val="bottom"/>
          </w:tcPr>
          <w:p>
            <w:pPr>
              <w:rPr>
                <w:rFonts w:ascii="仿宋_GB2312" w:hAnsi="宋体" w:eastAsia="仿宋_GB2312" w:cs="仿宋_GB2312"/>
                <w:color w:val="000000"/>
                <w:sz w:val="22"/>
              </w:rPr>
            </w:pPr>
          </w:p>
        </w:tc>
        <w:tc>
          <w:tcPr>
            <w:tcW w:w="21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ascii="仿宋_GB2312" w:hAnsi="宋体" w:eastAsia="仿宋_GB2312" w:cs="仿宋_GB2312"/>
                <w:color w:val="000000"/>
                <w:sz w:val="22"/>
              </w:rPr>
            </w:pPr>
          </w:p>
        </w:tc>
      </w:tr>
      <w:tr>
        <w:tblPrEx>
          <w:tblCellMar>
            <w:top w:w="15" w:type="dxa"/>
            <w:left w:w="15" w:type="dxa"/>
            <w:bottom w:w="15" w:type="dxa"/>
            <w:right w:w="15" w:type="dxa"/>
          </w:tblCellMar>
        </w:tblPrEx>
        <w:trPr>
          <w:trHeight w:val="454" w:hRule="atLeast"/>
          <w:jc w:val="center"/>
        </w:trPr>
        <w:tc>
          <w:tcPr>
            <w:tcW w:w="9537" w:type="dxa"/>
            <w:gridSpan w:val="1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宋体"/>
                <w:b/>
                <w:color w:val="000000"/>
                <w:sz w:val="22"/>
              </w:rPr>
            </w:pPr>
            <w:r>
              <w:rPr>
                <w:rFonts w:hint="eastAsia" w:ascii="仿宋_GB2312" w:hAnsi="宋体" w:eastAsia="仿宋_GB2312" w:cs="宋体"/>
                <w:b/>
                <w:color w:val="000000"/>
                <w:kern w:val="0"/>
                <w:sz w:val="22"/>
              </w:rPr>
              <w:t>监  控  报  告</w:t>
            </w:r>
          </w:p>
        </w:tc>
      </w:tr>
      <w:tr>
        <w:tblPrEx>
          <w:tblCellMar>
            <w:top w:w="15" w:type="dxa"/>
            <w:left w:w="15" w:type="dxa"/>
            <w:bottom w:w="15" w:type="dxa"/>
            <w:right w:w="15" w:type="dxa"/>
          </w:tblCellMar>
        </w:tblPrEx>
        <w:trPr>
          <w:trHeight w:val="497" w:hRule="atLeast"/>
          <w:jc w:val="center"/>
        </w:trPr>
        <w:tc>
          <w:tcPr>
            <w:tcW w:w="2744"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存在的主要问题</w:t>
            </w:r>
          </w:p>
        </w:tc>
        <w:tc>
          <w:tcPr>
            <w:tcW w:w="6793" w:type="dxa"/>
            <w:gridSpan w:val="9"/>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楷体_GB2312"/>
                <w:color w:val="000000"/>
                <w:sz w:val="22"/>
              </w:rPr>
            </w:pPr>
            <w:r>
              <w:rPr>
                <w:rFonts w:hint="eastAsia" w:eastAsia="仿宋_GB2312"/>
                <w:kern w:val="0"/>
                <w:sz w:val="24"/>
              </w:rPr>
              <w:t>由于取消收费后日常工作经费严重不足，人员经费缺口一直存在。</w:t>
            </w:r>
          </w:p>
        </w:tc>
      </w:tr>
      <w:tr>
        <w:tblPrEx>
          <w:tblCellMar>
            <w:top w:w="15" w:type="dxa"/>
            <w:left w:w="15" w:type="dxa"/>
            <w:bottom w:w="15" w:type="dxa"/>
            <w:right w:w="15" w:type="dxa"/>
          </w:tblCellMar>
        </w:tblPrEx>
        <w:trPr>
          <w:trHeight w:val="432" w:hRule="atLeast"/>
          <w:jc w:val="center"/>
        </w:trPr>
        <w:tc>
          <w:tcPr>
            <w:tcW w:w="2744"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_GB2312" w:hAnsi="宋体" w:eastAsia="仿宋_GB2312" w:cs="仿宋_GB2312"/>
                <w:b/>
                <w:color w:val="000000"/>
                <w:sz w:val="22"/>
              </w:rPr>
            </w:pPr>
            <w:r>
              <w:rPr>
                <w:rFonts w:hint="eastAsia" w:ascii="仿宋_GB2312" w:hAnsi="宋体" w:eastAsia="仿宋_GB2312" w:cs="仿宋_GB2312"/>
                <w:b/>
                <w:color w:val="000000"/>
                <w:kern w:val="0"/>
                <w:sz w:val="22"/>
              </w:rPr>
              <w:t>改进建议或意见</w:t>
            </w:r>
          </w:p>
        </w:tc>
        <w:tc>
          <w:tcPr>
            <w:tcW w:w="6793" w:type="dxa"/>
            <w:gridSpan w:val="9"/>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仿宋_GB2312" w:hAnsi="宋体" w:eastAsia="仿宋_GB2312" w:cs="楷体_GB2312"/>
                <w:color w:val="000000"/>
                <w:sz w:val="22"/>
              </w:rPr>
            </w:pPr>
            <w:r>
              <w:rPr>
                <w:rFonts w:hint="eastAsia" w:eastAsia="仿宋_GB2312"/>
                <w:kern w:val="0"/>
                <w:sz w:val="24"/>
              </w:rPr>
              <w:t>无负面新闻、上级部门通报批评的现象</w:t>
            </w:r>
          </w:p>
        </w:tc>
      </w:tr>
      <w:tr>
        <w:tblPrEx>
          <w:tblCellMar>
            <w:top w:w="15" w:type="dxa"/>
            <w:left w:w="15" w:type="dxa"/>
            <w:bottom w:w="15" w:type="dxa"/>
            <w:right w:w="15" w:type="dxa"/>
          </w:tblCellMar>
        </w:tblPrEx>
        <w:trPr>
          <w:trHeight w:val="510" w:hRule="atLeast"/>
          <w:jc w:val="center"/>
        </w:trPr>
        <w:tc>
          <w:tcPr>
            <w:tcW w:w="2744" w:type="dxa"/>
            <w:gridSpan w:val="3"/>
            <w:tcBorders>
              <w:top w:val="single" w:color="000000" w:sz="4" w:space="0"/>
            </w:tcBorders>
            <w:noWrap/>
            <w:vAlign w:val="center"/>
          </w:tcPr>
          <w:p>
            <w:pPr>
              <w:widowControl/>
              <w:ind w:firstLine="110" w:firstLineChars="50"/>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单位负责人：李辉国</w:t>
            </w:r>
          </w:p>
        </w:tc>
        <w:tc>
          <w:tcPr>
            <w:tcW w:w="1272" w:type="dxa"/>
            <w:gridSpan w:val="2"/>
            <w:noWrap/>
            <w:vAlign w:val="center"/>
          </w:tcPr>
          <w:p>
            <w:pPr>
              <w:rPr>
                <w:rFonts w:ascii="仿宋_GB2312" w:hAnsi="宋体" w:eastAsia="仿宋_GB2312" w:cs="仿宋_GB2312"/>
                <w:color w:val="000000"/>
                <w:sz w:val="22"/>
              </w:rPr>
            </w:pPr>
          </w:p>
        </w:tc>
        <w:tc>
          <w:tcPr>
            <w:tcW w:w="1265" w:type="dxa"/>
            <w:gridSpan w:val="2"/>
            <w:noWrap/>
            <w:vAlign w:val="center"/>
          </w:tcPr>
          <w:p>
            <w:pPr>
              <w:rPr>
                <w:rFonts w:ascii="仿宋_GB2312" w:hAnsi="宋体" w:eastAsia="仿宋_GB2312" w:cs="仿宋_GB2312"/>
                <w:color w:val="000000"/>
                <w:sz w:val="22"/>
              </w:rPr>
            </w:pPr>
          </w:p>
        </w:tc>
        <w:tc>
          <w:tcPr>
            <w:tcW w:w="2128" w:type="dxa"/>
            <w:gridSpan w:val="3"/>
            <w:tcBorders>
              <w:top w:val="single" w:color="000000" w:sz="4" w:space="0"/>
            </w:tcBorders>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填报人：李慷琪</w:t>
            </w:r>
          </w:p>
        </w:tc>
        <w:tc>
          <w:tcPr>
            <w:tcW w:w="1083" w:type="dxa"/>
            <w:noWrap/>
            <w:vAlign w:val="center"/>
          </w:tcPr>
          <w:p>
            <w:pPr>
              <w:rPr>
                <w:rFonts w:ascii="仿宋_GB2312" w:hAnsi="宋体" w:eastAsia="仿宋_GB2312" w:cs="仿宋_GB2312"/>
                <w:color w:val="000000"/>
                <w:sz w:val="22"/>
              </w:rPr>
            </w:pPr>
          </w:p>
        </w:tc>
        <w:tc>
          <w:tcPr>
            <w:tcW w:w="1045" w:type="dxa"/>
            <w:noWrap/>
            <w:vAlign w:val="bottom"/>
          </w:tcPr>
          <w:p>
            <w:pPr>
              <w:rPr>
                <w:rFonts w:ascii="宋体" w:hAnsi="宋体" w:cs="宋体"/>
                <w:color w:val="000000"/>
                <w:sz w:val="22"/>
              </w:rPr>
            </w:pPr>
          </w:p>
        </w:tc>
      </w:tr>
      <w:tr>
        <w:tblPrEx>
          <w:tblCellMar>
            <w:top w:w="15" w:type="dxa"/>
            <w:left w:w="15" w:type="dxa"/>
            <w:bottom w:w="15" w:type="dxa"/>
            <w:right w:w="15" w:type="dxa"/>
          </w:tblCellMar>
        </w:tblPrEx>
        <w:trPr>
          <w:trHeight w:val="510" w:hRule="atLeast"/>
          <w:jc w:val="center"/>
        </w:trPr>
        <w:tc>
          <w:tcPr>
            <w:tcW w:w="2744" w:type="dxa"/>
            <w:gridSpan w:val="3"/>
            <w:noWrap/>
            <w:vAlign w:val="center"/>
          </w:tcPr>
          <w:p>
            <w:pPr>
              <w:widowControl/>
              <w:ind w:firstLine="110" w:firstLineChars="50"/>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联系电话：</w:t>
            </w:r>
          </w:p>
        </w:tc>
        <w:tc>
          <w:tcPr>
            <w:tcW w:w="1272" w:type="dxa"/>
            <w:gridSpan w:val="2"/>
            <w:noWrap/>
            <w:vAlign w:val="center"/>
          </w:tcPr>
          <w:p>
            <w:pPr>
              <w:rPr>
                <w:rFonts w:ascii="仿宋_GB2312" w:hAnsi="宋体" w:eastAsia="仿宋_GB2312" w:cs="仿宋_GB2312"/>
                <w:color w:val="000000"/>
                <w:sz w:val="22"/>
              </w:rPr>
            </w:pPr>
          </w:p>
        </w:tc>
        <w:tc>
          <w:tcPr>
            <w:tcW w:w="1265" w:type="dxa"/>
            <w:gridSpan w:val="2"/>
            <w:noWrap/>
            <w:vAlign w:val="center"/>
          </w:tcPr>
          <w:p>
            <w:pPr>
              <w:rPr>
                <w:rFonts w:ascii="仿宋_GB2312" w:hAnsi="宋体" w:eastAsia="仿宋_GB2312" w:cs="仿宋_GB2312"/>
                <w:color w:val="000000"/>
                <w:sz w:val="22"/>
              </w:rPr>
            </w:pPr>
          </w:p>
        </w:tc>
        <w:tc>
          <w:tcPr>
            <w:tcW w:w="2128" w:type="dxa"/>
            <w:gridSpan w:val="3"/>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联系电话：8328168</w:t>
            </w:r>
          </w:p>
        </w:tc>
        <w:tc>
          <w:tcPr>
            <w:tcW w:w="1083" w:type="dxa"/>
            <w:noWrap/>
            <w:vAlign w:val="center"/>
          </w:tcPr>
          <w:p>
            <w:pPr>
              <w:rPr>
                <w:rFonts w:ascii="仿宋_GB2312" w:hAnsi="宋体" w:eastAsia="仿宋_GB2312" w:cs="仿宋_GB2312"/>
                <w:color w:val="000000"/>
                <w:sz w:val="22"/>
              </w:rPr>
            </w:pPr>
          </w:p>
        </w:tc>
        <w:tc>
          <w:tcPr>
            <w:tcW w:w="1045" w:type="dxa"/>
            <w:noWrap/>
            <w:vAlign w:val="bottom"/>
          </w:tcPr>
          <w:p>
            <w:pPr>
              <w:rPr>
                <w:rFonts w:ascii="宋体" w:hAnsi="宋体" w:cs="宋体"/>
                <w:color w:val="000000"/>
                <w:sz w:val="22"/>
              </w:rPr>
            </w:pPr>
          </w:p>
        </w:tc>
      </w:tr>
      <w:tr>
        <w:tblPrEx>
          <w:tblCellMar>
            <w:top w:w="15" w:type="dxa"/>
            <w:left w:w="15" w:type="dxa"/>
            <w:bottom w:w="15" w:type="dxa"/>
            <w:right w:w="15" w:type="dxa"/>
          </w:tblCellMar>
        </w:tblPrEx>
        <w:trPr>
          <w:trHeight w:val="510" w:hRule="atLeast"/>
          <w:jc w:val="center"/>
        </w:trPr>
        <w:tc>
          <w:tcPr>
            <w:tcW w:w="1456" w:type="dxa"/>
            <w:gridSpan w:val="2"/>
            <w:noWrap/>
            <w:vAlign w:val="center"/>
          </w:tcPr>
          <w:p>
            <w:pPr>
              <w:rPr>
                <w:rFonts w:ascii="仿宋_GB2312" w:hAnsi="宋体" w:eastAsia="仿宋_GB2312" w:cs="仿宋_GB2312"/>
                <w:color w:val="000000"/>
                <w:sz w:val="22"/>
              </w:rPr>
            </w:pPr>
          </w:p>
        </w:tc>
        <w:tc>
          <w:tcPr>
            <w:tcW w:w="1288" w:type="dxa"/>
            <w:noWrap/>
            <w:vAlign w:val="center"/>
          </w:tcPr>
          <w:p>
            <w:pPr>
              <w:rPr>
                <w:rFonts w:ascii="仿宋_GB2312" w:hAnsi="宋体" w:eastAsia="仿宋_GB2312" w:cs="仿宋_GB2312"/>
                <w:color w:val="000000"/>
                <w:sz w:val="22"/>
              </w:rPr>
            </w:pPr>
          </w:p>
        </w:tc>
        <w:tc>
          <w:tcPr>
            <w:tcW w:w="1272" w:type="dxa"/>
            <w:gridSpan w:val="2"/>
            <w:noWrap/>
            <w:vAlign w:val="center"/>
          </w:tcPr>
          <w:p>
            <w:pPr>
              <w:rPr>
                <w:rFonts w:ascii="仿宋_GB2312" w:hAnsi="宋体" w:eastAsia="仿宋_GB2312" w:cs="仿宋_GB2312"/>
                <w:color w:val="000000"/>
                <w:sz w:val="22"/>
              </w:rPr>
            </w:pPr>
          </w:p>
        </w:tc>
        <w:tc>
          <w:tcPr>
            <w:tcW w:w="1265" w:type="dxa"/>
            <w:gridSpan w:val="2"/>
            <w:noWrap/>
            <w:vAlign w:val="center"/>
          </w:tcPr>
          <w:p>
            <w:pPr>
              <w:rPr>
                <w:rFonts w:ascii="仿宋_GB2312" w:hAnsi="宋体" w:eastAsia="仿宋_GB2312" w:cs="仿宋_GB2312"/>
                <w:color w:val="000000"/>
                <w:sz w:val="22"/>
              </w:rPr>
            </w:pPr>
          </w:p>
        </w:tc>
        <w:tc>
          <w:tcPr>
            <w:tcW w:w="4256" w:type="dxa"/>
            <w:gridSpan w:val="5"/>
            <w:noWrap/>
            <w:vAlign w:val="center"/>
          </w:tcPr>
          <w:p>
            <w:pPr>
              <w:widowControl/>
              <w:jc w:val="left"/>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rPr>
              <w:t>填报时间：2020 年12 月 8 日</w:t>
            </w:r>
          </w:p>
        </w:tc>
      </w:tr>
    </w:tbl>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embedRegular r:id="rId1" w:fontKey="{87C8B1F1-FD1D-4376-A84B-73EA44B5A51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embedRegular r:id="rId2" w:fontKey="{9ED3A949-D2ED-4937-800A-25B20218DED6}"/>
  </w:font>
  <w:font w:name="华文中宋">
    <w:altName w:val="宋体"/>
    <w:panose1 w:val="02010600040101010101"/>
    <w:charset w:val="86"/>
    <w:family w:val="auto"/>
    <w:pitch w:val="default"/>
    <w:sig w:usb0="00000000" w:usb1="00000000" w:usb2="00000000" w:usb3="00000000" w:csb0="0004009F" w:csb1="DFD70000"/>
    <w:embedRegular r:id="rId3" w:fontKey="{36D3B83B-C031-49E5-8DEC-C177D067B512}"/>
  </w:font>
  <w:font w:name="方正小标宋_GBK">
    <w:panose1 w:val="02000000000000000000"/>
    <w:charset w:val="86"/>
    <w:family w:val="script"/>
    <w:pitch w:val="default"/>
    <w:sig w:usb0="A00002BF" w:usb1="38CF7CFA" w:usb2="00082016" w:usb3="00000000" w:csb0="00040001" w:csb1="00000000"/>
    <w:embedRegular r:id="rId4" w:fontKey="{295839A2-436B-43CC-BC67-891B6032757C}"/>
  </w:font>
  <w:font w:name="方正小标宋简体">
    <w:altName w:val="仿宋_GB2312"/>
    <w:panose1 w:val="03000509000000000000"/>
    <w:charset w:val="86"/>
    <w:family w:val="auto"/>
    <w:pitch w:val="default"/>
    <w:sig w:usb0="00000000" w:usb1="00000000" w:usb2="00000000" w:usb3="00000000" w:csb0="00040000" w:csb1="00000000"/>
    <w:embedRegular r:id="rId5" w:fontKey="{AA211F86-8132-4165-B473-A66364B2CCBF}"/>
  </w:font>
  <w:font w:name="楷体_GB2312">
    <w:panose1 w:val="02010609030101010101"/>
    <w:charset w:val="86"/>
    <w:family w:val="modern"/>
    <w:pitch w:val="default"/>
    <w:sig w:usb0="00000001" w:usb1="080E0000" w:usb2="00000000" w:usb3="00000000" w:csb0="00040000" w:csb1="00000000"/>
    <w:embedRegular r:id="rId6" w:fontKey="{0161BFF2-5FF2-4316-BB9A-58B2B34E25A3}"/>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15B7"/>
    <w:rsid w:val="00041E3F"/>
    <w:rsid w:val="00055DAA"/>
    <w:rsid w:val="00061F7B"/>
    <w:rsid w:val="000658A3"/>
    <w:rsid w:val="00074155"/>
    <w:rsid w:val="000A3F69"/>
    <w:rsid w:val="000A7229"/>
    <w:rsid w:val="000E3EB2"/>
    <w:rsid w:val="00103957"/>
    <w:rsid w:val="00152C6D"/>
    <w:rsid w:val="00162D39"/>
    <w:rsid w:val="001678BD"/>
    <w:rsid w:val="00185DB4"/>
    <w:rsid w:val="001A67DB"/>
    <w:rsid w:val="001C3C29"/>
    <w:rsid w:val="001D4F1A"/>
    <w:rsid w:val="001D51E5"/>
    <w:rsid w:val="001E080D"/>
    <w:rsid w:val="001E53D0"/>
    <w:rsid w:val="001F0C3B"/>
    <w:rsid w:val="00202C82"/>
    <w:rsid w:val="00210B4D"/>
    <w:rsid w:val="00214427"/>
    <w:rsid w:val="002238A6"/>
    <w:rsid w:val="00226CB7"/>
    <w:rsid w:val="00264552"/>
    <w:rsid w:val="00264EF9"/>
    <w:rsid w:val="00265724"/>
    <w:rsid w:val="0027426B"/>
    <w:rsid w:val="00297991"/>
    <w:rsid w:val="002C2C5F"/>
    <w:rsid w:val="002D7169"/>
    <w:rsid w:val="002E0A30"/>
    <w:rsid w:val="003130C4"/>
    <w:rsid w:val="00316C4B"/>
    <w:rsid w:val="0032192B"/>
    <w:rsid w:val="003479BD"/>
    <w:rsid w:val="00353197"/>
    <w:rsid w:val="0037197D"/>
    <w:rsid w:val="003768D5"/>
    <w:rsid w:val="003C47E6"/>
    <w:rsid w:val="003C4FC2"/>
    <w:rsid w:val="00416E61"/>
    <w:rsid w:val="0042790C"/>
    <w:rsid w:val="004506F9"/>
    <w:rsid w:val="004717A2"/>
    <w:rsid w:val="00473DF3"/>
    <w:rsid w:val="00487911"/>
    <w:rsid w:val="00491741"/>
    <w:rsid w:val="00500E5F"/>
    <w:rsid w:val="005122EF"/>
    <w:rsid w:val="0051441A"/>
    <w:rsid w:val="00517C33"/>
    <w:rsid w:val="00523644"/>
    <w:rsid w:val="0054069E"/>
    <w:rsid w:val="00544866"/>
    <w:rsid w:val="005767CC"/>
    <w:rsid w:val="00590D9F"/>
    <w:rsid w:val="00595D26"/>
    <w:rsid w:val="005A74E6"/>
    <w:rsid w:val="005B404E"/>
    <w:rsid w:val="005B74B2"/>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7006"/>
    <w:rsid w:val="00717621"/>
    <w:rsid w:val="00720FF1"/>
    <w:rsid w:val="00727A53"/>
    <w:rsid w:val="00770C9A"/>
    <w:rsid w:val="00787B42"/>
    <w:rsid w:val="007C4539"/>
    <w:rsid w:val="007F3657"/>
    <w:rsid w:val="00812ED5"/>
    <w:rsid w:val="008277D9"/>
    <w:rsid w:val="0084478C"/>
    <w:rsid w:val="0086638C"/>
    <w:rsid w:val="008A3E8D"/>
    <w:rsid w:val="00907684"/>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21C4"/>
    <w:rsid w:val="00B33BEA"/>
    <w:rsid w:val="00B57C9F"/>
    <w:rsid w:val="00B63572"/>
    <w:rsid w:val="00B845B3"/>
    <w:rsid w:val="00B85D8B"/>
    <w:rsid w:val="00BB4A40"/>
    <w:rsid w:val="00BD6C3E"/>
    <w:rsid w:val="00BE3674"/>
    <w:rsid w:val="00BE4E1C"/>
    <w:rsid w:val="00C10681"/>
    <w:rsid w:val="00C3049A"/>
    <w:rsid w:val="00C31B1E"/>
    <w:rsid w:val="00C77645"/>
    <w:rsid w:val="00CE04C3"/>
    <w:rsid w:val="00CE76A0"/>
    <w:rsid w:val="00D05F0E"/>
    <w:rsid w:val="00D148C6"/>
    <w:rsid w:val="00D17A8A"/>
    <w:rsid w:val="00D415BA"/>
    <w:rsid w:val="00D644EE"/>
    <w:rsid w:val="00DD06FF"/>
    <w:rsid w:val="00DD5FE9"/>
    <w:rsid w:val="00E00C7A"/>
    <w:rsid w:val="00E359DF"/>
    <w:rsid w:val="00E37D6C"/>
    <w:rsid w:val="00E55B68"/>
    <w:rsid w:val="00E67BE6"/>
    <w:rsid w:val="00E8683C"/>
    <w:rsid w:val="00EA2B72"/>
    <w:rsid w:val="00F74360"/>
    <w:rsid w:val="00FB462F"/>
    <w:rsid w:val="00FD7450"/>
    <w:rsid w:val="00FE16FA"/>
    <w:rsid w:val="00FE328A"/>
    <w:rsid w:val="00FE6269"/>
    <w:rsid w:val="010D0B83"/>
    <w:rsid w:val="059C3645"/>
    <w:rsid w:val="0BF03B6F"/>
    <w:rsid w:val="13F53FDC"/>
    <w:rsid w:val="1478187E"/>
    <w:rsid w:val="164B3803"/>
    <w:rsid w:val="1B01147F"/>
    <w:rsid w:val="1C2E1912"/>
    <w:rsid w:val="206862F3"/>
    <w:rsid w:val="239A7598"/>
    <w:rsid w:val="2EE25925"/>
    <w:rsid w:val="31316EB9"/>
    <w:rsid w:val="324C5F0B"/>
    <w:rsid w:val="33BF57F2"/>
    <w:rsid w:val="34E31C62"/>
    <w:rsid w:val="3CC773BD"/>
    <w:rsid w:val="3E994130"/>
    <w:rsid w:val="474F7403"/>
    <w:rsid w:val="47FC2335"/>
    <w:rsid w:val="4A4E66C5"/>
    <w:rsid w:val="4FAD5B06"/>
    <w:rsid w:val="55350EED"/>
    <w:rsid w:val="56FB0711"/>
    <w:rsid w:val="57275BE0"/>
    <w:rsid w:val="5B1265E9"/>
    <w:rsid w:val="5DB46C9E"/>
    <w:rsid w:val="63C95498"/>
    <w:rsid w:val="63F64E08"/>
    <w:rsid w:val="641355A0"/>
    <w:rsid w:val="73B7434C"/>
    <w:rsid w:val="75B902BD"/>
    <w:rsid w:val="7BCF0835"/>
    <w:rsid w:val="7F024E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sz w:val="24"/>
    </w:rPr>
  </w:style>
  <w:style w:type="paragraph" w:styleId="3">
    <w:name w:val="Balloon Text"/>
    <w:basedOn w:val="1"/>
    <w:link w:val="13"/>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rFonts w:cs="Times New Roman"/>
      <w:kern w:val="0"/>
      <w:sz w:val="24"/>
    </w:r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2">
    <w:name w:val="List Paragraph"/>
    <w:basedOn w:val="1"/>
    <w:qFormat/>
    <w:uiPriority w:val="34"/>
    <w:pPr>
      <w:ind w:firstLine="420" w:firstLineChars="200"/>
    </w:pPr>
  </w:style>
  <w:style w:type="character" w:customStyle="1" w:styleId="13">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783442-B9FC-476F-83C9-27EA0B9F67C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2343</Words>
  <Characters>13357</Characters>
  <Lines>111</Lines>
  <Paragraphs>31</Paragraphs>
  <TotalTime>2</TotalTime>
  <ScaleCrop>false</ScaleCrop>
  <LinksUpToDate>false</LinksUpToDate>
  <CharactersWithSpaces>15669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2021-09-08T01:50:00Z</dcterms:created>
  <dc:creator>李航 null</dc:creator>
  <cp:lastModifiedBy>︷.゛嘘，低调</cp:lastModifiedBy>
  <cp:lastPrinted>2021-07-28T00:12:00Z</cp:lastPrinted>
  <dcterms:modified xsi:type="dcterms:W3CDTF">2022-06-14T02:02:52Z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372677731_btnclosed</vt:lpwstr>
  </property>
  <property fmtid="{D5CDD505-2E9C-101B-9397-08002B2CF9AE}" pid="3" name="KSOProductBuildVer">
    <vt:lpwstr>2052-11.1.0.10314</vt:lpwstr>
  </property>
</Properties>
</file>