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757" w:lineRule="exact"/>
        <w:ind w:left="766"/>
        <w:jc w:val="center"/>
        <w:rPr>
          <w:rFonts w:ascii="宋体" w:hAnsi="宋体" w:eastAsia="宋体" w:cs="宋体"/>
          <w:sz w:val="43"/>
          <w:szCs w:val="43"/>
        </w:rPr>
      </w:pPr>
      <w:r>
        <w:rPr>
          <w:rFonts w:ascii="宋体" w:hAnsi="宋体" w:eastAsia="宋体" w:cs="宋体"/>
          <w:b/>
          <w:bCs/>
          <w:spacing w:val="32"/>
          <w:position w:val="24"/>
          <w:sz w:val="43"/>
          <w:szCs w:val="43"/>
        </w:rPr>
        <w:t>2022年度</w:t>
      </w:r>
      <w:r>
        <w:rPr>
          <w:rFonts w:hint="eastAsia" w:ascii="宋体" w:hAnsi="宋体" w:eastAsia="宋体" w:cs="宋体"/>
          <w:b/>
          <w:bCs/>
          <w:spacing w:val="32"/>
          <w:position w:val="24"/>
          <w:sz w:val="43"/>
          <w:szCs w:val="43"/>
          <w:lang w:val="en-US" w:eastAsia="zh-CN"/>
        </w:rPr>
        <w:t>岳阳市绿色建筑产业发展服务中心</w:t>
      </w:r>
      <w:r>
        <w:rPr>
          <w:rFonts w:ascii="宋体" w:hAnsi="宋体" w:eastAsia="宋体" w:cs="宋体"/>
          <w:b/>
          <w:bCs/>
          <w:spacing w:val="32"/>
          <w:position w:val="24"/>
          <w:sz w:val="43"/>
          <w:szCs w:val="43"/>
        </w:rPr>
        <w:t>部门(单位)整体支出</w:t>
      </w:r>
    </w:p>
    <w:p>
      <w:pPr>
        <w:spacing w:before="2" w:line="217" w:lineRule="auto"/>
        <w:ind w:left="3046"/>
        <w:rPr>
          <w:rFonts w:ascii="宋体" w:hAnsi="宋体" w:eastAsia="宋体" w:cs="宋体"/>
          <w:sz w:val="43"/>
          <w:szCs w:val="43"/>
        </w:rPr>
      </w:pPr>
      <w:r>
        <w:rPr>
          <w:rFonts w:ascii="宋体" w:hAnsi="宋体" w:eastAsia="宋体" w:cs="宋体"/>
          <w:b/>
          <w:bCs/>
          <w:sz w:val="43"/>
          <w:szCs w:val="43"/>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4" w:line="221" w:lineRule="auto"/>
        <w:ind w:left="2330"/>
        <w:rPr>
          <w:rFonts w:ascii="仿宋" w:hAnsi="仿宋" w:eastAsia="仿宋" w:cs="仿宋"/>
          <w:sz w:val="32"/>
          <w:szCs w:val="32"/>
        </w:rPr>
      </w:pPr>
      <w:r>
        <w:rPr>
          <w:rFonts w:ascii="仿宋" w:hAnsi="仿宋" w:eastAsia="仿宋" w:cs="仿宋"/>
          <w:spacing w:val="5"/>
          <w:sz w:val="32"/>
          <w:szCs w:val="32"/>
        </w:rPr>
        <w:t>部门(单位)名称：</w:t>
      </w:r>
      <w:r>
        <w:rPr>
          <w:rFonts w:ascii="仿宋" w:hAnsi="仿宋" w:eastAsia="仿宋" w:cs="仿宋"/>
          <w:spacing w:val="13"/>
          <w:sz w:val="32"/>
          <w:szCs w:val="32"/>
        </w:rPr>
        <w:t xml:space="preserve">  </w:t>
      </w:r>
      <w:r>
        <w:rPr>
          <w:rFonts w:ascii="仿宋" w:hAnsi="仿宋" w:eastAsia="仿宋" w:cs="仿宋"/>
          <w:spacing w:val="-91"/>
          <w:sz w:val="32"/>
          <w:szCs w:val="32"/>
          <w:u w:val="single" w:color="auto"/>
        </w:rPr>
        <w:t xml:space="preserve"> </w:t>
      </w:r>
      <w:r>
        <w:rPr>
          <w:rFonts w:ascii="仿宋" w:hAnsi="仿宋" w:eastAsia="仿宋" w:cs="仿宋"/>
          <w:spacing w:val="5"/>
          <w:sz w:val="32"/>
          <w:szCs w:val="32"/>
          <w:u w:val="single" w:color="auto"/>
        </w:rPr>
        <w:t>(盖章)</w:t>
      </w:r>
    </w:p>
    <w:p>
      <w:pPr>
        <w:spacing w:before="240" w:line="222" w:lineRule="auto"/>
        <w:ind w:left="3579"/>
        <w:rPr>
          <w:rFonts w:ascii="仿宋" w:hAnsi="仿宋" w:eastAsia="仿宋" w:cs="仿宋"/>
          <w:sz w:val="32"/>
          <w:szCs w:val="32"/>
        </w:rPr>
      </w:pPr>
      <w:r>
        <w:rPr>
          <w:rFonts w:hint="eastAsia" w:ascii="仿宋" w:hAnsi="仿宋" w:eastAsia="仿宋" w:cs="仿宋"/>
          <w:spacing w:val="-22"/>
          <w:sz w:val="32"/>
          <w:szCs w:val="32"/>
          <w:lang w:val="en-US" w:eastAsia="zh-CN"/>
        </w:rPr>
        <w:t>2023</w:t>
      </w:r>
      <w:r>
        <w:rPr>
          <w:rFonts w:ascii="仿宋" w:hAnsi="仿宋" w:eastAsia="仿宋" w:cs="仿宋"/>
          <w:spacing w:val="-22"/>
          <w:sz w:val="32"/>
          <w:szCs w:val="32"/>
        </w:rPr>
        <w:t>年</w:t>
      </w:r>
      <w:r>
        <w:rPr>
          <w:rFonts w:hint="eastAsia" w:ascii="仿宋" w:hAnsi="仿宋" w:eastAsia="仿宋" w:cs="仿宋"/>
          <w:spacing w:val="158"/>
          <w:sz w:val="32"/>
          <w:szCs w:val="32"/>
          <w:lang w:val="en-US" w:eastAsia="zh-CN"/>
        </w:rPr>
        <w:t>7</w:t>
      </w:r>
      <w:r>
        <w:rPr>
          <w:rFonts w:ascii="仿宋" w:hAnsi="仿宋" w:eastAsia="仿宋" w:cs="仿宋"/>
          <w:spacing w:val="-22"/>
          <w:sz w:val="32"/>
          <w:szCs w:val="32"/>
        </w:rPr>
        <w:t>月</w:t>
      </w:r>
      <w:r>
        <w:rPr>
          <w:rFonts w:hint="eastAsia" w:ascii="仿宋" w:hAnsi="仿宋" w:eastAsia="仿宋" w:cs="仿宋"/>
          <w:spacing w:val="23"/>
          <w:sz w:val="32"/>
          <w:szCs w:val="32"/>
          <w:lang w:val="en-US" w:eastAsia="zh-CN"/>
        </w:rPr>
        <w:t>17</w:t>
      </w:r>
      <w:r>
        <w:rPr>
          <w:rFonts w:ascii="仿宋" w:hAnsi="仿宋" w:eastAsia="仿宋" w:cs="仿宋"/>
          <w:spacing w:val="-22"/>
          <w:sz w:val="32"/>
          <w:szCs w:val="32"/>
        </w:rPr>
        <w:t>日</w:t>
      </w:r>
    </w:p>
    <w:p>
      <w:pPr>
        <w:sectPr>
          <w:footerReference r:id="rId5" w:type="default"/>
          <w:pgSz w:w="11920" w:h="16860"/>
          <w:pgMar w:top="1433" w:right="1788" w:bottom="1156" w:left="1610" w:header="0" w:footer="922" w:gutter="0"/>
          <w:cols w:space="720" w:num="1"/>
        </w:sectPr>
      </w:pPr>
    </w:p>
    <w:p>
      <w:pPr>
        <w:spacing w:line="294" w:lineRule="auto"/>
        <w:rPr>
          <w:rFonts w:ascii="Arial"/>
          <w:sz w:val="21"/>
        </w:rPr>
      </w:pPr>
    </w:p>
    <w:p>
      <w:pPr>
        <w:spacing w:before="140" w:line="757" w:lineRule="exact"/>
        <w:jc w:val="center"/>
        <w:rPr>
          <w:rFonts w:ascii="宋体" w:hAnsi="宋体" w:eastAsia="宋体" w:cs="宋体"/>
          <w:sz w:val="43"/>
          <w:szCs w:val="43"/>
        </w:rPr>
      </w:pPr>
      <w:r>
        <w:rPr>
          <w:rFonts w:ascii="宋体" w:hAnsi="宋体" w:eastAsia="宋体" w:cs="宋体"/>
          <w:b/>
          <w:bCs/>
          <w:spacing w:val="32"/>
          <w:position w:val="24"/>
          <w:sz w:val="43"/>
          <w:szCs w:val="43"/>
        </w:rPr>
        <w:t>2022年度</w:t>
      </w:r>
      <w:r>
        <w:rPr>
          <w:rFonts w:hint="eastAsia" w:ascii="宋体" w:hAnsi="宋体" w:eastAsia="宋体" w:cs="宋体"/>
          <w:b/>
          <w:bCs/>
          <w:spacing w:val="32"/>
          <w:position w:val="24"/>
          <w:sz w:val="43"/>
          <w:szCs w:val="43"/>
          <w:lang w:val="en-US" w:eastAsia="zh-CN"/>
        </w:rPr>
        <w:t>岳阳市绿色建筑产业发展服务中心</w:t>
      </w:r>
      <w:r>
        <w:rPr>
          <w:rFonts w:ascii="宋体" w:hAnsi="宋体" w:eastAsia="宋体" w:cs="宋体"/>
          <w:b/>
          <w:bCs/>
          <w:spacing w:val="32"/>
          <w:position w:val="24"/>
          <w:sz w:val="43"/>
          <w:szCs w:val="43"/>
        </w:rPr>
        <w:t>部门(单位)整体支出</w:t>
      </w:r>
    </w:p>
    <w:p>
      <w:pPr>
        <w:spacing w:before="2" w:line="217" w:lineRule="auto"/>
        <w:jc w:val="center"/>
        <w:rPr>
          <w:rFonts w:ascii="宋体" w:hAnsi="宋体" w:eastAsia="宋体" w:cs="宋体"/>
          <w:sz w:val="43"/>
          <w:szCs w:val="43"/>
        </w:rPr>
      </w:pPr>
      <w:r>
        <w:rPr>
          <w:rFonts w:ascii="宋体" w:hAnsi="宋体" w:eastAsia="宋体" w:cs="宋体"/>
          <w:b/>
          <w:bCs/>
          <w:sz w:val="43"/>
          <w:szCs w:val="43"/>
        </w:rPr>
        <w:t>绩效自评报告</w:t>
      </w:r>
    </w:p>
    <w:p>
      <w:pPr>
        <w:spacing w:line="299" w:lineRule="auto"/>
        <w:jc w:val="center"/>
        <w:rPr>
          <w:rFonts w:ascii="Arial"/>
          <w:sz w:val="21"/>
        </w:rPr>
      </w:pPr>
    </w:p>
    <w:p>
      <w:pPr>
        <w:spacing w:line="299" w:lineRule="auto"/>
        <w:rPr>
          <w:rFonts w:ascii="Arial"/>
          <w:sz w:val="21"/>
        </w:rPr>
      </w:pPr>
    </w:p>
    <w:p>
      <w:pPr>
        <w:spacing w:line="300" w:lineRule="auto"/>
        <w:rPr>
          <w:rFonts w:ascii="Arial"/>
          <w:sz w:val="21"/>
        </w:rPr>
      </w:pPr>
    </w:p>
    <w:p>
      <w:pPr>
        <w:numPr>
          <w:ilvl w:val="0"/>
          <w:numId w:val="1"/>
        </w:numPr>
        <w:spacing w:before="104" w:line="222" w:lineRule="auto"/>
        <w:ind w:left="610"/>
        <w:rPr>
          <w:rFonts w:ascii="黑体" w:hAnsi="黑体" w:eastAsia="黑体" w:cs="黑体"/>
          <w:spacing w:val="26"/>
          <w:sz w:val="32"/>
          <w:szCs w:val="32"/>
        </w:rPr>
      </w:pPr>
      <w:r>
        <w:rPr>
          <w:rFonts w:ascii="黑体" w:hAnsi="黑体" w:eastAsia="黑体" w:cs="黑体"/>
          <w:spacing w:val="26"/>
          <w:sz w:val="32"/>
          <w:szCs w:val="32"/>
        </w:rPr>
        <w:t>部门(单位)基本情况</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1.为局机关提供支持保障的职能：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贯彻执行《湖南省绿色建筑发展条例》、《湖南省民用建筑节能条例》、《湖南省新型墙体材料推广应用条例》、《湖南省散装水泥条例》等法律法规和政策规定，结合岳阳市实际情况，拟定本市相关政策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②承担绿色建筑、建筑节能、新型墙体材料、散装水泥（含预拌混凝土、预拌砂浆、水泥制品）的技术检查工作及相关政策标准执行过程中违法违规行为查处的事务性工作。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③负责绿色建筑、新型墙体材料、散装水泥（预拌混凝土、预拌砂浆、水泥制品）、建筑节能的推广应用、质量监督、绿色发展及参与建筑工程竣工验收等事务性工作。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④负责工程建设领域内部新型墙体材料、散装水泥推广应用工作，承担新型墙体材料、预拌混凝土、预拌砂浆认证认定事务性工作。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⑤负责组织全市绿色建筑及相关的建筑节能、推广散装水泥、墙体材料革新和推广装配式建筑的技术培训、信息交流、情况统计及宣传普及工作。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⑥指导全市各县市区墙体材料改革、散装水泥、绿色建筑、建筑节能、装配式建筑等行业工作。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2.面向社会提供公益服务的职能：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①负责监督指导全市新型墙体材料、散装水泥、预拌混凝土、预拌砂浆、装配式建筑、建筑节能等新型建筑材料的产品质量建设；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②负责指导全市新建、改建、扩建新型墙体材料项目产品研发、生产技术和工艺；指导全市新型墙体材料产品升级认定和淘汰落后产能工作；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③负责指导协调全市散装水泥的生产、运输、使用以及新建、扩建预拌混凝土和预拌砂浆项目工作。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3.完成市住房和城乡建设局交办的其他任务。</w:t>
      </w:r>
    </w:p>
    <w:p>
      <w:pPr>
        <w:spacing w:before="242" w:line="221" w:lineRule="auto"/>
        <w:ind w:left="610"/>
        <w:rPr>
          <w:rFonts w:ascii="黑体" w:hAnsi="黑体" w:eastAsia="黑体" w:cs="黑体"/>
          <w:sz w:val="32"/>
          <w:szCs w:val="32"/>
        </w:rPr>
      </w:pPr>
      <w:r>
        <w:rPr>
          <w:rFonts w:ascii="黑体" w:hAnsi="黑体" w:eastAsia="黑体" w:cs="黑体"/>
          <w:spacing w:val="-8"/>
          <w:sz w:val="32"/>
          <w:szCs w:val="32"/>
        </w:rPr>
        <w:t>二、</w:t>
      </w:r>
      <w:r>
        <w:rPr>
          <w:rFonts w:ascii="黑体" w:hAnsi="黑体" w:eastAsia="黑体" w:cs="黑体"/>
          <w:spacing w:val="-73"/>
          <w:sz w:val="32"/>
          <w:szCs w:val="32"/>
        </w:rPr>
        <w:t xml:space="preserve"> </w:t>
      </w:r>
      <w:r>
        <w:rPr>
          <w:rFonts w:ascii="黑体" w:hAnsi="黑体" w:eastAsia="黑体" w:cs="黑体"/>
          <w:spacing w:val="-8"/>
          <w:sz w:val="32"/>
          <w:szCs w:val="32"/>
        </w:rPr>
        <w:t>一般公共预算支出情况</w:t>
      </w:r>
    </w:p>
    <w:p>
      <w:pPr>
        <w:spacing w:before="271" w:line="642" w:lineRule="exact"/>
        <w:ind w:left="764"/>
        <w:rPr>
          <w:rFonts w:ascii="楷体" w:hAnsi="楷体" w:eastAsia="楷体" w:cs="楷体"/>
          <w:b/>
          <w:bCs/>
          <w:spacing w:val="18"/>
          <w:position w:val="23"/>
          <w:sz w:val="32"/>
          <w:szCs w:val="32"/>
        </w:rPr>
      </w:pPr>
      <w:r>
        <w:rPr>
          <w:rFonts w:ascii="楷体" w:hAnsi="楷体" w:eastAsia="楷体" w:cs="楷体"/>
          <w:b/>
          <w:bCs/>
          <w:spacing w:val="18"/>
          <w:position w:val="23"/>
          <w:sz w:val="32"/>
          <w:szCs w:val="32"/>
        </w:rPr>
        <w:t>(一)基本支出情况</w:t>
      </w:r>
    </w:p>
    <w:p>
      <w:pPr>
        <w:pStyle w:val="5"/>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年度财政拨款基本支出</w:t>
      </w:r>
      <w:r>
        <w:rPr>
          <w:rFonts w:hint="eastAsia" w:ascii="仿宋" w:hAnsi="仿宋" w:eastAsia="仿宋" w:cs="仿宋"/>
          <w:color w:val="auto"/>
          <w:sz w:val="32"/>
          <w:szCs w:val="32"/>
          <w:lang w:val="en-US" w:eastAsia="zh-CN"/>
        </w:rPr>
        <w:t>150.69</w:t>
      </w:r>
      <w:r>
        <w:rPr>
          <w:rFonts w:hint="eastAsia" w:ascii="仿宋" w:hAnsi="仿宋" w:eastAsia="仿宋" w:cs="仿宋"/>
          <w:color w:val="auto"/>
          <w:sz w:val="32"/>
          <w:szCs w:val="32"/>
        </w:rPr>
        <w:t>万元，其中：人员经费</w:t>
      </w:r>
      <w:r>
        <w:rPr>
          <w:rFonts w:hint="eastAsia" w:ascii="仿宋" w:hAnsi="仿宋" w:eastAsia="仿宋" w:cs="仿宋"/>
          <w:color w:val="auto"/>
          <w:sz w:val="32"/>
          <w:szCs w:val="32"/>
          <w:lang w:val="en-US" w:eastAsia="zh-CN"/>
        </w:rPr>
        <w:t>137.74</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91.41%</w:t>
      </w:r>
      <w:r>
        <w:rPr>
          <w:rFonts w:hint="eastAsia" w:ascii="仿宋" w:hAnsi="仿宋" w:eastAsia="仿宋" w:cs="仿宋"/>
          <w:color w:val="auto"/>
          <w:sz w:val="32"/>
          <w:szCs w:val="32"/>
        </w:rPr>
        <w:t>,主要包括主要包括基本工资、津贴补贴、</w:t>
      </w:r>
      <w:r>
        <w:rPr>
          <w:rFonts w:hint="eastAsia" w:ascii="仿宋" w:hAnsi="仿宋" w:eastAsia="仿宋" w:cs="仿宋"/>
          <w:color w:val="auto"/>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 w:hAnsi="仿宋" w:eastAsia="仿宋" w:cs="仿宋"/>
          <w:color w:val="auto"/>
          <w:sz w:val="32"/>
          <w:szCs w:val="32"/>
        </w:rPr>
        <w:t>；</w:t>
      </w:r>
    </w:p>
    <w:p>
      <w:pPr>
        <w:pStyle w:val="5"/>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
          <w:bCs/>
          <w:spacing w:val="18"/>
          <w:position w:val="23"/>
          <w:sz w:val="32"/>
          <w:szCs w:val="32"/>
        </w:rPr>
      </w:pPr>
      <w:r>
        <w:rPr>
          <w:rFonts w:hint="eastAsia" w:ascii="仿宋" w:hAnsi="仿宋" w:eastAsia="仿宋" w:cs="仿宋"/>
          <w:color w:val="auto"/>
          <w:sz w:val="32"/>
          <w:szCs w:val="32"/>
          <w:lang w:val="zh-CN"/>
        </w:rPr>
        <w:t>公用经费</w:t>
      </w:r>
      <w:r>
        <w:rPr>
          <w:rFonts w:hint="eastAsia" w:ascii="仿宋" w:hAnsi="仿宋" w:eastAsia="仿宋" w:cs="仿宋"/>
          <w:color w:val="auto"/>
          <w:sz w:val="32"/>
          <w:szCs w:val="32"/>
          <w:lang w:val="en-US" w:eastAsia="zh-CN"/>
        </w:rPr>
        <w:t>12.95</w:t>
      </w:r>
      <w:r>
        <w:rPr>
          <w:rFonts w:hint="eastAsia" w:ascii="仿宋" w:hAnsi="仿宋" w:eastAsia="仿宋" w:cs="仿宋"/>
          <w:color w:val="auto"/>
          <w:sz w:val="32"/>
          <w:szCs w:val="32"/>
          <w:lang w:val="zh-CN"/>
        </w:rPr>
        <w:t>万元，占基本支出的</w:t>
      </w:r>
      <w:r>
        <w:rPr>
          <w:rFonts w:hint="eastAsia" w:ascii="仿宋" w:hAnsi="仿宋" w:eastAsia="仿宋" w:cs="仿宋"/>
          <w:color w:val="auto"/>
          <w:sz w:val="32"/>
          <w:szCs w:val="32"/>
          <w:lang w:val="en-US" w:eastAsia="zh-CN"/>
        </w:rPr>
        <w:t>8.59%</w:t>
      </w:r>
      <w:r>
        <w:rPr>
          <w:rFonts w:hint="eastAsia" w:ascii="仿宋" w:hAnsi="仿宋" w:eastAsia="仿宋" w:cs="仿宋"/>
          <w:color w:val="auto"/>
          <w:sz w:val="32"/>
          <w:szCs w:val="32"/>
          <w:lang w:val="zh-CN"/>
        </w:rPr>
        <w:t>，主要包括办公费、印刷费</w:t>
      </w:r>
      <w:r>
        <w:rPr>
          <w:rFonts w:hint="eastAsia" w:ascii="仿宋" w:hAnsi="仿宋" w:eastAsia="仿宋" w:cs="仿宋"/>
          <w:color w:val="auto"/>
          <w:sz w:val="32"/>
          <w:szCs w:val="32"/>
          <w:lang w:val="en-US" w:eastAsia="zh-CN"/>
        </w:rPr>
        <w:t>等。</w:t>
      </w:r>
    </w:p>
    <w:p>
      <w:pPr>
        <w:numPr>
          <w:ilvl w:val="0"/>
          <w:numId w:val="2"/>
        </w:numPr>
        <w:spacing w:line="226" w:lineRule="auto"/>
        <w:ind w:left="764"/>
        <w:rPr>
          <w:rFonts w:ascii="楷体" w:hAnsi="楷体" w:eastAsia="楷体" w:cs="楷体"/>
          <w:b/>
          <w:bCs/>
          <w:spacing w:val="18"/>
          <w:sz w:val="32"/>
          <w:szCs w:val="32"/>
        </w:rPr>
      </w:pPr>
      <w:r>
        <w:rPr>
          <w:rFonts w:ascii="楷体" w:hAnsi="楷体" w:eastAsia="楷体" w:cs="楷体"/>
          <w:b/>
          <w:bCs/>
          <w:spacing w:val="18"/>
          <w:sz w:val="32"/>
          <w:szCs w:val="32"/>
        </w:rPr>
        <w:t>项目支出情况</w:t>
      </w:r>
    </w:p>
    <w:p>
      <w:pPr>
        <w:numPr>
          <w:ilvl w:val="0"/>
          <w:numId w:val="0"/>
        </w:numPr>
        <w:spacing w:line="226" w:lineRule="auto"/>
        <w:rPr>
          <w:rFonts w:hint="eastAsia" w:ascii="楷体" w:hAnsi="楷体" w:eastAsia="楷体" w:cs="楷体"/>
          <w:b/>
          <w:bCs/>
          <w:spacing w:val="18"/>
          <w:sz w:val="32"/>
          <w:szCs w:val="32"/>
          <w:lang w:val="en-US" w:eastAsia="zh-CN"/>
        </w:rPr>
      </w:pPr>
      <w:r>
        <w:rPr>
          <w:rFonts w:hint="eastAsia" w:ascii="楷体" w:hAnsi="楷体" w:eastAsia="楷体" w:cs="楷体"/>
          <w:b/>
          <w:bCs/>
          <w:spacing w:val="18"/>
          <w:sz w:val="32"/>
          <w:szCs w:val="32"/>
          <w:lang w:val="en-US" w:eastAsia="zh-CN"/>
        </w:rPr>
        <w:t xml:space="preserve">     </w:t>
      </w:r>
      <w:r>
        <w:rPr>
          <w:rFonts w:hint="eastAsia" w:ascii="楷体" w:hAnsi="楷体" w:eastAsia="楷体" w:cs="楷体"/>
          <w:b w:val="0"/>
          <w:bCs w:val="0"/>
          <w:spacing w:val="18"/>
          <w:sz w:val="32"/>
          <w:szCs w:val="32"/>
          <w:lang w:val="en-US" w:eastAsia="zh-CN"/>
        </w:rPr>
        <w:t xml:space="preserve"> 我单位无项目支出。</w:t>
      </w:r>
    </w:p>
    <w:p>
      <w:pPr>
        <w:numPr>
          <w:ilvl w:val="0"/>
          <w:numId w:val="0"/>
        </w:numPr>
        <w:spacing w:before="247" w:line="222" w:lineRule="auto"/>
        <w:ind w:left="610" w:leftChars="0"/>
        <w:outlineLvl w:val="0"/>
        <w:rPr>
          <w:rFonts w:ascii="黑体" w:hAnsi="黑体" w:eastAsia="黑体" w:cs="黑体"/>
          <w:b/>
          <w:bCs/>
          <w:spacing w:val="-13"/>
          <w:sz w:val="32"/>
          <w:szCs w:val="32"/>
        </w:rPr>
      </w:pPr>
      <w:r>
        <w:rPr>
          <w:rFonts w:hint="eastAsia" w:ascii="黑体" w:hAnsi="黑体" w:eastAsia="黑体" w:cs="黑体"/>
          <w:b/>
          <w:bCs/>
          <w:spacing w:val="-13"/>
          <w:sz w:val="32"/>
          <w:szCs w:val="32"/>
          <w:lang w:eastAsia="zh-CN"/>
        </w:rPr>
        <w:t>三、</w:t>
      </w:r>
      <w:r>
        <w:rPr>
          <w:rFonts w:ascii="黑体" w:hAnsi="黑体" w:eastAsia="黑体" w:cs="黑体"/>
          <w:b/>
          <w:bCs/>
          <w:spacing w:val="-13"/>
          <w:sz w:val="32"/>
          <w:szCs w:val="32"/>
        </w:rPr>
        <w:t>政府性基金预算支出情况</w:t>
      </w:r>
    </w:p>
    <w:p>
      <w:pPr>
        <w:spacing w:before="255" w:line="222" w:lineRule="auto"/>
        <w:ind w:left="614" w:firstLine="588" w:firstLineChars="200"/>
        <w:outlineLvl w:val="0"/>
        <w:rPr>
          <w:rFonts w:hint="eastAsia" w:ascii="黑体" w:hAnsi="黑体" w:eastAsia="黑体" w:cs="黑体"/>
          <w:b w:val="0"/>
          <w:bCs w:val="0"/>
          <w:spacing w:val="-13"/>
          <w:sz w:val="32"/>
          <w:szCs w:val="32"/>
          <w:lang w:eastAsia="zh-CN"/>
        </w:rPr>
      </w:pPr>
      <w:r>
        <w:rPr>
          <w:rFonts w:hint="eastAsia" w:ascii="黑体" w:hAnsi="黑体" w:eastAsia="黑体" w:cs="黑体"/>
          <w:b w:val="0"/>
          <w:bCs w:val="0"/>
          <w:spacing w:val="-13"/>
          <w:sz w:val="32"/>
          <w:szCs w:val="32"/>
          <w:lang w:eastAsia="zh-CN"/>
        </w:rPr>
        <w:t>我单位无政府性基金支出。</w:t>
      </w:r>
    </w:p>
    <w:p>
      <w:pPr>
        <w:spacing w:before="255" w:line="222" w:lineRule="auto"/>
        <w:ind w:left="614"/>
        <w:outlineLvl w:val="0"/>
        <w:rPr>
          <w:rFonts w:ascii="黑体" w:hAnsi="黑体" w:eastAsia="黑体" w:cs="黑体"/>
          <w:b/>
          <w:bCs/>
          <w:spacing w:val="-13"/>
          <w:sz w:val="32"/>
          <w:szCs w:val="32"/>
        </w:rPr>
      </w:pPr>
      <w:r>
        <w:rPr>
          <w:rFonts w:ascii="黑体" w:hAnsi="黑体" w:eastAsia="黑体" w:cs="黑体"/>
          <w:b/>
          <w:bCs/>
          <w:spacing w:val="-13"/>
          <w:sz w:val="32"/>
          <w:szCs w:val="32"/>
        </w:rPr>
        <w:t>四</w:t>
      </w:r>
      <w:r>
        <w:rPr>
          <w:rFonts w:ascii="黑体" w:hAnsi="黑体" w:eastAsia="黑体" w:cs="黑体"/>
          <w:spacing w:val="-75"/>
          <w:sz w:val="32"/>
          <w:szCs w:val="32"/>
        </w:rPr>
        <w:t xml:space="preserve"> </w:t>
      </w:r>
      <w:r>
        <w:rPr>
          <w:rFonts w:hint="eastAsia" w:ascii="黑体" w:hAnsi="黑体" w:eastAsia="黑体" w:cs="黑体"/>
          <w:spacing w:val="-75"/>
          <w:sz w:val="32"/>
          <w:szCs w:val="32"/>
          <w:lang w:eastAsia="zh-CN"/>
        </w:rPr>
        <w:t>、</w:t>
      </w:r>
      <w:r>
        <w:rPr>
          <w:rFonts w:ascii="黑体" w:hAnsi="黑体" w:eastAsia="黑体" w:cs="黑体"/>
          <w:b/>
          <w:bCs/>
          <w:spacing w:val="-13"/>
          <w:sz w:val="32"/>
          <w:szCs w:val="32"/>
        </w:rPr>
        <w:t>国有资本经营预算支出情况</w:t>
      </w:r>
    </w:p>
    <w:p>
      <w:pPr>
        <w:spacing w:before="255" w:line="222" w:lineRule="auto"/>
        <w:ind w:firstLine="886" w:firstLineChars="300"/>
        <w:outlineLvl w:val="0"/>
        <w:rPr>
          <w:rFonts w:hint="default" w:ascii="黑体" w:hAnsi="黑体" w:eastAsia="黑体" w:cs="黑体"/>
          <w:b/>
          <w:bCs/>
          <w:spacing w:val="-13"/>
          <w:sz w:val="32"/>
          <w:szCs w:val="32"/>
          <w:lang w:val="en-US" w:eastAsia="zh-CN"/>
        </w:rPr>
      </w:pPr>
      <w:r>
        <w:rPr>
          <w:rFonts w:hint="eastAsia" w:ascii="黑体" w:hAnsi="黑体" w:eastAsia="黑体" w:cs="黑体"/>
          <w:b/>
          <w:bCs/>
          <w:spacing w:val="-13"/>
          <w:sz w:val="32"/>
          <w:szCs w:val="32"/>
          <w:lang w:val="en-US" w:eastAsia="zh-CN"/>
        </w:rPr>
        <w:t xml:space="preserve"> </w:t>
      </w:r>
      <w:r>
        <w:rPr>
          <w:rFonts w:hint="eastAsia" w:ascii="黑体" w:hAnsi="黑体" w:eastAsia="黑体" w:cs="黑体"/>
          <w:b w:val="0"/>
          <w:bCs w:val="0"/>
          <w:spacing w:val="-13"/>
          <w:sz w:val="32"/>
          <w:szCs w:val="32"/>
          <w:lang w:eastAsia="zh-CN"/>
        </w:rPr>
        <w:t>我单位无国有资本经营支出。</w:t>
      </w:r>
    </w:p>
    <w:p>
      <w:pPr>
        <w:spacing w:before="255" w:line="222" w:lineRule="auto"/>
        <w:ind w:left="614"/>
        <w:outlineLvl w:val="0"/>
        <w:rPr>
          <w:rFonts w:ascii="黑体" w:hAnsi="黑体" w:eastAsia="黑体" w:cs="黑体"/>
          <w:b/>
          <w:bCs/>
          <w:spacing w:val="-13"/>
          <w:sz w:val="32"/>
          <w:szCs w:val="32"/>
        </w:rPr>
      </w:pPr>
      <w:r>
        <w:rPr>
          <w:rFonts w:ascii="黑体" w:hAnsi="黑体" w:eastAsia="黑体" w:cs="黑体"/>
          <w:b/>
          <w:bCs/>
          <w:spacing w:val="-13"/>
          <w:sz w:val="32"/>
          <w:szCs w:val="32"/>
        </w:rPr>
        <w:t>五</w:t>
      </w:r>
      <w:r>
        <w:rPr>
          <w:rFonts w:hint="eastAsia" w:ascii="黑体" w:hAnsi="黑体" w:eastAsia="黑体" w:cs="黑体"/>
          <w:b/>
          <w:bCs/>
          <w:spacing w:val="-13"/>
          <w:sz w:val="32"/>
          <w:szCs w:val="32"/>
          <w:lang w:eastAsia="zh-CN"/>
        </w:rPr>
        <w:t>、</w:t>
      </w:r>
      <w:r>
        <w:rPr>
          <w:rFonts w:ascii="黑体" w:hAnsi="黑体" w:eastAsia="黑体" w:cs="黑体"/>
          <w:b/>
          <w:bCs/>
          <w:spacing w:val="-13"/>
          <w:sz w:val="32"/>
          <w:szCs w:val="32"/>
        </w:rPr>
        <w:t>社会保险基金预算支出情况</w:t>
      </w:r>
    </w:p>
    <w:p>
      <w:pPr>
        <w:spacing w:before="255" w:line="222" w:lineRule="auto"/>
        <w:ind w:firstLine="1176" w:firstLineChars="400"/>
        <w:outlineLvl w:val="0"/>
        <w:rPr>
          <w:rFonts w:hint="default" w:ascii="黑体" w:hAnsi="黑体" w:eastAsia="黑体" w:cs="黑体"/>
          <w:b/>
          <w:bCs/>
          <w:spacing w:val="-13"/>
          <w:sz w:val="32"/>
          <w:szCs w:val="32"/>
          <w:lang w:val="en-US" w:eastAsia="zh-CN"/>
        </w:rPr>
      </w:pPr>
      <w:r>
        <w:rPr>
          <w:rFonts w:hint="eastAsia" w:ascii="黑体" w:hAnsi="黑体" w:eastAsia="黑体" w:cs="黑体"/>
          <w:b w:val="0"/>
          <w:bCs w:val="0"/>
          <w:spacing w:val="-13"/>
          <w:sz w:val="32"/>
          <w:szCs w:val="32"/>
          <w:lang w:eastAsia="zh-CN"/>
        </w:rPr>
        <w:t>我单位无社会保险基金支出。</w:t>
      </w:r>
    </w:p>
    <w:p>
      <w:pPr>
        <w:spacing w:before="255" w:line="221" w:lineRule="auto"/>
        <w:ind w:left="614"/>
        <w:outlineLvl w:val="0"/>
        <w:rPr>
          <w:rFonts w:ascii="黑体" w:hAnsi="黑体" w:eastAsia="黑体" w:cs="黑体"/>
          <w:sz w:val="32"/>
          <w:szCs w:val="32"/>
        </w:rPr>
      </w:pPr>
      <w:r>
        <w:rPr>
          <w:rFonts w:ascii="黑体" w:hAnsi="黑体" w:eastAsia="黑体" w:cs="黑体"/>
          <w:b/>
          <w:bCs/>
          <w:spacing w:val="-13"/>
          <w:sz w:val="32"/>
          <w:szCs w:val="32"/>
        </w:rPr>
        <w:t>六、</w:t>
      </w:r>
      <w:r>
        <w:rPr>
          <w:rFonts w:ascii="黑体" w:hAnsi="黑体" w:eastAsia="黑体" w:cs="黑体"/>
          <w:spacing w:val="-63"/>
          <w:sz w:val="32"/>
          <w:szCs w:val="32"/>
        </w:rPr>
        <w:t xml:space="preserve"> </w:t>
      </w:r>
      <w:r>
        <w:rPr>
          <w:rFonts w:ascii="黑体" w:hAnsi="黑体" w:eastAsia="黑体" w:cs="黑体"/>
          <w:b/>
          <w:bCs/>
          <w:spacing w:val="-13"/>
          <w:sz w:val="32"/>
          <w:szCs w:val="32"/>
        </w:rPr>
        <w:t>部门整体支出绩效情况</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96" w:firstLineChars="200"/>
        <w:textAlignment w:val="baseline"/>
        <w:rPr>
          <w:rFonts w:hint="eastAsia" w:ascii="仿宋_GB2312" w:hAnsi="仿宋_GB2312" w:eastAsia="仿宋_GB2312" w:cs="仿宋_GB2312"/>
          <w:color w:val="auto"/>
          <w:sz w:val="32"/>
          <w:szCs w:val="32"/>
          <w:lang w:val="en-US" w:eastAsia="zh-CN"/>
        </w:rPr>
      </w:pPr>
      <w:r>
        <w:rPr>
          <w:rFonts w:hint="eastAsia" w:ascii="仿宋" w:hAnsi="仿宋" w:eastAsia="仿宋" w:cs="仿宋"/>
          <w:spacing w:val="14"/>
          <w:sz w:val="32"/>
          <w:szCs w:val="32"/>
          <w:lang w:val="en-US" w:eastAsia="zh-CN"/>
        </w:rPr>
        <w:t>2022年我中心</w:t>
      </w:r>
      <w:r>
        <w:rPr>
          <w:rFonts w:hint="eastAsia" w:ascii="仿宋_GB2312" w:eastAsia="仿宋_GB2312" w:cs="仿宋_GB2312"/>
          <w:b w:val="0"/>
          <w:bCs w:val="0"/>
          <w:sz w:val="32"/>
          <w:szCs w:val="32"/>
          <w:lang w:val="en-US" w:eastAsia="zh-CN"/>
        </w:rPr>
        <w:t>部门整体支出预算188.39万元，执行率100%，我中心无项目支出。其他各项绩效目标基本完成，已按预期达到目标。</w:t>
      </w:r>
      <w:r>
        <w:rPr>
          <w:rFonts w:hint="eastAsia" w:ascii="仿宋" w:hAnsi="仿宋" w:eastAsia="仿宋" w:cs="仿宋"/>
          <w:spacing w:val="14"/>
          <w:sz w:val="32"/>
          <w:szCs w:val="32"/>
          <w:lang w:val="en-US" w:eastAsia="zh-CN"/>
        </w:rPr>
        <w:t>我单位</w:t>
      </w:r>
      <w:r>
        <w:rPr>
          <w:rFonts w:ascii="仿宋" w:hAnsi="仿宋" w:eastAsia="仿宋" w:cs="仿宋"/>
          <w:spacing w:val="12"/>
          <w:sz w:val="32"/>
          <w:szCs w:val="32"/>
        </w:rPr>
        <w:t>围绕部门(单</w:t>
      </w:r>
      <w:r>
        <w:rPr>
          <w:rFonts w:ascii="仿宋" w:hAnsi="仿宋" w:eastAsia="仿宋" w:cs="仿宋"/>
          <w:spacing w:val="11"/>
          <w:sz w:val="32"/>
          <w:szCs w:val="32"/>
        </w:rPr>
        <w:t>位)职责、</w:t>
      </w:r>
      <w:r>
        <w:rPr>
          <w:rFonts w:ascii="仿宋" w:hAnsi="仿宋" w:eastAsia="仿宋" w:cs="仿宋"/>
          <w:spacing w:val="13"/>
          <w:sz w:val="32"/>
          <w:szCs w:val="32"/>
        </w:rPr>
        <w:t>行业发展规划，</w:t>
      </w:r>
      <w:r>
        <w:rPr>
          <w:rFonts w:hint="eastAsia" w:ascii="仿宋" w:hAnsi="仿宋" w:eastAsia="仿宋" w:cs="仿宋"/>
          <w:spacing w:val="13"/>
          <w:sz w:val="32"/>
          <w:szCs w:val="32"/>
          <w:lang w:eastAsia="zh-CN"/>
        </w:rPr>
        <w:t>一是</w:t>
      </w:r>
      <w:r>
        <w:rPr>
          <w:rFonts w:hint="eastAsia" w:ascii="仿宋" w:hAnsi="仿宋" w:eastAsia="仿宋" w:cs="仿宋"/>
          <w:b w:val="0"/>
          <w:bCs/>
          <w:sz w:val="32"/>
          <w:szCs w:val="32"/>
          <w:lang w:val="en-US" w:eastAsia="zh-CN"/>
        </w:rPr>
        <w:t>大力开展普法宣传，</w:t>
      </w:r>
      <w:r>
        <w:rPr>
          <w:rFonts w:hint="eastAsia" w:ascii="仿宋" w:hAnsi="仿宋" w:eastAsia="仿宋" w:cs="仿宋"/>
          <w:sz w:val="32"/>
          <w:szCs w:val="32"/>
        </w:rPr>
        <w:t>贯彻“谁执法谁普法”工作责任制</w:t>
      </w:r>
      <w:r>
        <w:rPr>
          <w:rFonts w:hint="eastAsia" w:ascii="仿宋" w:hAnsi="仿宋" w:eastAsia="仿宋" w:cs="仿宋"/>
          <w:i w:val="0"/>
          <w:iCs w:val="0"/>
          <w:caps w:val="0"/>
          <w:color w:val="3B3B3B"/>
          <w:spacing w:val="0"/>
          <w:sz w:val="32"/>
          <w:szCs w:val="32"/>
          <w:shd w:val="clear" w:color="auto" w:fill="FFFFFF"/>
        </w:rPr>
        <w:t>，</w:t>
      </w:r>
      <w:r>
        <w:rPr>
          <w:rFonts w:hint="eastAsia" w:ascii="仿宋" w:hAnsi="仿宋" w:eastAsia="仿宋" w:cs="仿宋"/>
          <w:sz w:val="32"/>
          <w:szCs w:val="32"/>
        </w:rPr>
        <w:t>推动</w:t>
      </w:r>
      <w:r>
        <w:rPr>
          <w:rFonts w:hint="eastAsia" w:ascii="仿宋" w:hAnsi="仿宋" w:eastAsia="仿宋" w:cs="仿宋"/>
          <w:sz w:val="32"/>
          <w:szCs w:val="32"/>
          <w:lang w:val="en-US" w:eastAsia="zh-CN"/>
        </w:rPr>
        <w:t>我市散墙系统法治</w:t>
      </w:r>
      <w:r>
        <w:rPr>
          <w:rFonts w:hint="eastAsia" w:ascii="仿宋" w:hAnsi="仿宋" w:eastAsia="仿宋" w:cs="仿宋"/>
          <w:sz w:val="32"/>
          <w:szCs w:val="32"/>
        </w:rPr>
        <w:t>建设，按照省工信厅工作要求</w:t>
      </w:r>
      <w:r>
        <w:rPr>
          <w:rFonts w:hint="eastAsia" w:ascii="仿宋" w:hAnsi="仿宋" w:eastAsia="仿宋" w:cs="仿宋"/>
          <w:sz w:val="32"/>
          <w:szCs w:val="32"/>
          <w:lang w:val="en-US" w:eastAsia="zh-CN"/>
        </w:rPr>
        <w:t>和</w:t>
      </w:r>
      <w:r>
        <w:rPr>
          <w:rFonts w:hint="eastAsia" w:ascii="仿宋" w:hAnsi="仿宋" w:eastAsia="仿宋" w:cs="仿宋"/>
          <w:sz w:val="32"/>
          <w:szCs w:val="32"/>
        </w:rPr>
        <w:t>省散墙办</w:t>
      </w:r>
      <w:r>
        <w:rPr>
          <w:rFonts w:hint="eastAsia" w:ascii="仿宋" w:hAnsi="仿宋" w:eastAsia="仿宋" w:cs="仿宋"/>
          <w:sz w:val="32"/>
          <w:szCs w:val="32"/>
          <w:lang w:val="en-US" w:eastAsia="zh-CN"/>
        </w:rPr>
        <w:t>的统一</w:t>
      </w:r>
      <w:r>
        <w:rPr>
          <w:rFonts w:hint="eastAsia" w:ascii="仿宋" w:hAnsi="仿宋" w:eastAsia="仿宋" w:cs="仿宋"/>
          <w:sz w:val="32"/>
          <w:szCs w:val="32"/>
        </w:rPr>
        <w:t>安排部署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围绕主职主责，</w:t>
      </w:r>
      <w:r>
        <w:rPr>
          <w:rFonts w:hint="eastAsia" w:ascii="仿宋" w:hAnsi="仿宋" w:eastAsia="仿宋" w:cs="仿宋"/>
          <w:sz w:val="32"/>
          <w:szCs w:val="32"/>
        </w:rPr>
        <w:t>在全</w:t>
      </w:r>
      <w:r>
        <w:rPr>
          <w:rFonts w:hint="eastAsia" w:ascii="仿宋" w:hAnsi="仿宋" w:eastAsia="仿宋" w:cs="仿宋"/>
          <w:sz w:val="32"/>
          <w:szCs w:val="32"/>
          <w:lang w:val="en-US" w:eastAsia="zh-CN"/>
        </w:rPr>
        <w:t>市</w:t>
      </w:r>
      <w:r>
        <w:rPr>
          <w:rFonts w:hint="eastAsia" w:ascii="仿宋" w:hAnsi="仿宋" w:eastAsia="仿宋" w:cs="仿宋"/>
          <w:sz w:val="32"/>
          <w:szCs w:val="32"/>
        </w:rPr>
        <w:t>范围内</w:t>
      </w:r>
      <w:r>
        <w:rPr>
          <w:rFonts w:hint="eastAsia" w:ascii="仿宋" w:hAnsi="仿宋" w:eastAsia="仿宋" w:cs="仿宋"/>
          <w:sz w:val="32"/>
          <w:szCs w:val="32"/>
          <w:lang w:val="en-US" w:eastAsia="zh-CN"/>
        </w:rPr>
        <w:t>深入</w:t>
      </w:r>
      <w:r>
        <w:rPr>
          <w:rFonts w:hint="eastAsia" w:ascii="仿宋" w:hAnsi="仿宋" w:eastAsia="仿宋" w:cs="仿宋"/>
          <w:sz w:val="32"/>
          <w:szCs w:val="32"/>
        </w:rPr>
        <w:t>开展《湖南省新型墙体材料推广应用条例》、《湖南省散装水泥条例》</w:t>
      </w:r>
      <w:r>
        <w:rPr>
          <w:rFonts w:hint="eastAsia" w:ascii="仿宋" w:hAnsi="仿宋" w:eastAsia="仿宋" w:cs="仿宋"/>
          <w:sz w:val="32"/>
          <w:szCs w:val="32"/>
          <w:lang w:val="en-US" w:eastAsia="zh-CN"/>
        </w:rPr>
        <w:t>2022年</w:t>
      </w:r>
      <w:r>
        <w:rPr>
          <w:rFonts w:hint="eastAsia" w:ascii="仿宋" w:hAnsi="仿宋" w:eastAsia="仿宋" w:cs="仿宋"/>
          <w:sz w:val="32"/>
          <w:szCs w:val="32"/>
        </w:rPr>
        <w:t>普法宣传工作</w:t>
      </w:r>
      <w:r>
        <w:rPr>
          <w:rFonts w:hint="eastAsia" w:ascii="仿宋" w:hAnsi="仿宋" w:eastAsia="仿宋" w:cs="仿宋"/>
          <w:sz w:val="32"/>
          <w:szCs w:val="32"/>
          <w:lang w:eastAsia="zh-CN"/>
        </w:rPr>
        <w:t>，</w:t>
      </w:r>
      <w:r>
        <w:rPr>
          <w:rFonts w:hint="eastAsia" w:ascii="仿宋" w:hAnsi="仿宋" w:eastAsia="仿宋" w:cs="仿宋"/>
          <w:i w:val="0"/>
          <w:iCs w:val="0"/>
          <w:caps w:val="0"/>
          <w:color w:val="333333"/>
          <w:spacing w:val="0"/>
          <w:kern w:val="0"/>
          <w:sz w:val="32"/>
          <w:szCs w:val="32"/>
          <w:shd w:val="clear" w:color="auto" w:fill="FFFFFF"/>
          <w:lang w:val="en-US" w:eastAsia="zh-CN" w:bidi="ar"/>
        </w:rPr>
        <w:t>深入企业、工地，采取点对点”、“面对面”的方式，并利用日常执法、专业培训等时机，向企业和建设工地发送法律事务宣传手册，</w:t>
      </w:r>
      <w:r>
        <w:rPr>
          <w:rFonts w:hint="eastAsia" w:ascii="仿宋" w:hAnsi="仿宋" w:eastAsia="仿宋" w:cs="仿宋"/>
          <w:sz w:val="32"/>
          <w:szCs w:val="32"/>
          <w:lang w:val="en-US" w:eastAsia="zh-CN"/>
        </w:rPr>
        <w:t>大力宣传发展新型墙体材料和散装水泥节约资源、保护环境、保证施工质量、提升施工水平、促进绿色建筑发展的重大意义</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Style w:val="6"/>
          <w:rFonts w:hint="eastAsia" w:ascii="仿宋_GB2312" w:hAnsi="仿宋_GB2312" w:eastAsia="仿宋_GB2312" w:cs="仿宋_GB2312"/>
          <w:b w:val="0"/>
          <w:bCs/>
          <w:color w:val="auto"/>
          <w:sz w:val="32"/>
          <w:szCs w:val="32"/>
          <w:lang w:val="en-US" w:eastAsia="zh-CN"/>
        </w:rPr>
        <w:t>二是</w:t>
      </w:r>
      <w:r>
        <w:rPr>
          <w:rStyle w:val="6"/>
          <w:rFonts w:hint="eastAsia" w:ascii="仿宋_GB2312" w:hAnsi="仿宋_GB2312" w:eastAsia="仿宋_GB2312" w:cs="仿宋_GB2312"/>
          <w:b w:val="0"/>
          <w:bCs/>
          <w:color w:val="auto"/>
          <w:sz w:val="32"/>
          <w:szCs w:val="32"/>
        </w:rPr>
        <w:t>大力</w:t>
      </w:r>
      <w:r>
        <w:rPr>
          <w:rStyle w:val="6"/>
          <w:rFonts w:hint="eastAsia" w:ascii="仿宋_GB2312" w:hAnsi="仿宋_GB2312" w:eastAsia="仿宋_GB2312" w:cs="仿宋_GB2312"/>
          <w:b w:val="0"/>
          <w:bCs/>
          <w:color w:val="auto"/>
          <w:sz w:val="32"/>
          <w:szCs w:val="32"/>
          <w:lang w:val="en-US" w:eastAsia="zh-CN"/>
        </w:rPr>
        <w:t>提升行业发展</w:t>
      </w:r>
      <w:r>
        <w:rPr>
          <w:rStyle w:val="6"/>
          <w:rFonts w:hint="eastAsia" w:ascii="仿宋_GB2312" w:hAnsi="仿宋_GB2312" w:eastAsia="仿宋_GB2312" w:cs="仿宋_GB2312"/>
          <w:b w:val="0"/>
          <w:bCs/>
          <w:color w:val="auto"/>
          <w:sz w:val="32"/>
          <w:szCs w:val="32"/>
          <w:lang w:eastAsia="zh-CN"/>
        </w:rPr>
        <w:t>。</w:t>
      </w:r>
      <w:r>
        <w:rPr>
          <w:rStyle w:val="6"/>
          <w:rFonts w:hint="eastAsia" w:ascii="仿宋_GB2312" w:hAnsi="仿宋_GB2312" w:eastAsia="仿宋_GB2312" w:cs="仿宋_GB2312"/>
          <w:bCs/>
          <w:color w:val="auto"/>
          <w:sz w:val="32"/>
          <w:szCs w:val="32"/>
          <w:lang w:val="en-US" w:eastAsia="zh-CN"/>
        </w:rPr>
        <w:t>今年，</w:t>
      </w:r>
      <w:r>
        <w:rPr>
          <w:rFonts w:hint="eastAsia" w:ascii="仿宋_GB2312" w:eastAsia="仿宋_GB2312"/>
          <w:color w:val="auto"/>
          <w:sz w:val="32"/>
          <w:szCs w:val="32"/>
        </w:rPr>
        <w:t>全市新增</w:t>
      </w:r>
      <w:r>
        <w:rPr>
          <w:rFonts w:hint="eastAsia" w:ascii="仿宋_GB2312" w:eastAsia="仿宋_GB2312"/>
          <w:color w:val="auto"/>
          <w:sz w:val="32"/>
          <w:szCs w:val="32"/>
          <w:lang w:val="en-US" w:eastAsia="zh-CN"/>
        </w:rPr>
        <w:t>新</w:t>
      </w:r>
      <w:r>
        <w:rPr>
          <w:rFonts w:hint="eastAsia" w:ascii="仿宋_GB2312" w:eastAsia="仿宋_GB2312"/>
          <w:color w:val="auto"/>
          <w:sz w:val="32"/>
          <w:szCs w:val="32"/>
        </w:rPr>
        <w:t>墙材企业</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家，新增获得《湖南省新型墙体材料认定证书》新墙材企业</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换证14家，</w:t>
      </w:r>
      <w:r>
        <w:rPr>
          <w:rFonts w:hint="eastAsia" w:ascii="仿宋_GB2312" w:eastAsia="仿宋_GB2312"/>
          <w:color w:val="auto"/>
          <w:sz w:val="32"/>
          <w:szCs w:val="32"/>
        </w:rPr>
        <w:t>认定企业总数达到了</w:t>
      </w:r>
      <w:r>
        <w:rPr>
          <w:rFonts w:hint="eastAsia" w:ascii="仿宋_GB2312" w:eastAsia="仿宋_GB2312"/>
          <w:color w:val="auto"/>
          <w:sz w:val="32"/>
          <w:szCs w:val="32"/>
          <w:lang w:val="en-US" w:eastAsia="zh-CN"/>
        </w:rPr>
        <w:t>34</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color w:val="auto"/>
          <w:sz w:val="32"/>
          <w:szCs w:val="32"/>
        </w:rPr>
        <w:t>全市新型墙体材料产品产量</w:t>
      </w:r>
      <w:r>
        <w:rPr>
          <w:rFonts w:hint="eastAsia" w:ascii="仿宋_GB2312" w:eastAsia="仿宋_GB2312"/>
          <w:color w:val="auto"/>
          <w:sz w:val="32"/>
          <w:szCs w:val="32"/>
          <w:lang w:val="en-US" w:eastAsia="zh-CN"/>
        </w:rPr>
        <w:t>12.47</w:t>
      </w:r>
      <w:r>
        <w:rPr>
          <w:rFonts w:hint="eastAsia" w:ascii="仿宋_GB2312" w:eastAsia="仿宋_GB2312"/>
          <w:color w:val="auto"/>
          <w:sz w:val="32"/>
          <w:szCs w:val="32"/>
        </w:rPr>
        <w:t>亿标砖（折标），新墙材使用率达</w:t>
      </w:r>
      <w:r>
        <w:rPr>
          <w:rFonts w:hint="eastAsia" w:ascii="仿宋_GB2312" w:eastAsia="仿宋_GB2312"/>
          <w:color w:val="auto"/>
          <w:sz w:val="32"/>
          <w:szCs w:val="32"/>
          <w:lang w:val="en-US" w:eastAsia="zh-CN"/>
        </w:rPr>
        <w:t>97.86</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我市</w:t>
      </w:r>
      <w:r>
        <w:rPr>
          <w:rFonts w:hint="eastAsia" w:ascii="仿宋_GB2312" w:eastAsia="仿宋_GB2312"/>
          <w:color w:val="auto"/>
          <w:sz w:val="32"/>
          <w:szCs w:val="32"/>
          <w:lang w:val="en-US" w:eastAsia="zh-CN"/>
        </w:rPr>
        <w:t>新</w:t>
      </w:r>
      <w:r>
        <w:rPr>
          <w:rFonts w:hint="eastAsia" w:ascii="仿宋_GB2312" w:eastAsia="仿宋_GB2312"/>
          <w:color w:val="auto"/>
          <w:sz w:val="32"/>
          <w:szCs w:val="32"/>
        </w:rPr>
        <w:t>投产预拌砂浆生产企业</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家，生产企业</w:t>
      </w:r>
      <w:r>
        <w:rPr>
          <w:rFonts w:hint="eastAsia" w:ascii="仿宋_GB2312" w:eastAsia="仿宋_GB2312"/>
          <w:color w:val="auto"/>
          <w:sz w:val="32"/>
          <w:szCs w:val="32"/>
          <w:lang w:val="en-US" w:eastAsia="zh-CN"/>
        </w:rPr>
        <w:t>总数</w:t>
      </w:r>
      <w:r>
        <w:rPr>
          <w:rFonts w:hint="eastAsia" w:ascii="仿宋_GB2312" w:eastAsia="仿宋_GB2312"/>
          <w:color w:val="auto"/>
          <w:sz w:val="32"/>
          <w:szCs w:val="32"/>
        </w:rPr>
        <w:t>达到</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b w:val="0"/>
          <w:bCs w:val="0"/>
          <w:color w:val="auto"/>
          <w:sz w:val="32"/>
          <w:szCs w:val="32"/>
        </w:rPr>
        <w:t>全市全年预拌砂浆</w:t>
      </w:r>
      <w:r>
        <w:rPr>
          <w:rFonts w:hint="eastAsia" w:ascii="仿宋_GB2312" w:eastAsia="仿宋_GB2312"/>
          <w:b w:val="0"/>
          <w:bCs w:val="0"/>
          <w:color w:val="auto"/>
          <w:sz w:val="32"/>
          <w:szCs w:val="32"/>
          <w:lang w:val="en-US" w:eastAsia="zh-CN"/>
        </w:rPr>
        <w:t>生产量</w:t>
      </w:r>
      <w:r>
        <w:rPr>
          <w:rFonts w:hint="eastAsia" w:ascii="仿宋_GB2312" w:eastAsia="仿宋_GB2312"/>
          <w:b w:val="0"/>
          <w:bCs w:val="0"/>
          <w:color w:val="auto"/>
          <w:sz w:val="32"/>
          <w:szCs w:val="32"/>
        </w:rPr>
        <w:t>约为</w:t>
      </w:r>
      <w:r>
        <w:rPr>
          <w:rFonts w:hint="eastAsia" w:ascii="仿宋_GB2312" w:eastAsia="仿宋_GB2312"/>
          <w:b w:val="0"/>
          <w:bCs w:val="0"/>
          <w:color w:val="auto"/>
          <w:sz w:val="32"/>
          <w:szCs w:val="32"/>
          <w:lang w:val="en-US" w:eastAsia="zh-CN"/>
        </w:rPr>
        <w:t>169</w:t>
      </w:r>
      <w:r>
        <w:rPr>
          <w:rFonts w:hint="eastAsia" w:ascii="仿宋_GB2312" w:eastAsia="仿宋_GB2312"/>
          <w:b w:val="0"/>
          <w:bCs w:val="0"/>
          <w:color w:val="auto"/>
          <w:sz w:val="32"/>
          <w:szCs w:val="32"/>
        </w:rPr>
        <w:t>万吨</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商品混凝土生产量约为720万立方，</w:t>
      </w:r>
      <w:r>
        <w:rPr>
          <w:rFonts w:hint="eastAsia" w:ascii="仿宋_GB2312" w:eastAsia="仿宋_GB2312"/>
          <w:b w:val="0"/>
          <w:bCs w:val="0"/>
          <w:color w:val="auto"/>
          <w:sz w:val="32"/>
          <w:szCs w:val="32"/>
        </w:rPr>
        <w:t>全市</w:t>
      </w:r>
      <w:r>
        <w:rPr>
          <w:rFonts w:hint="eastAsia" w:ascii="仿宋_GB2312" w:eastAsia="仿宋_GB2312"/>
          <w:b w:val="0"/>
          <w:bCs w:val="0"/>
          <w:color w:val="auto"/>
          <w:sz w:val="32"/>
          <w:szCs w:val="32"/>
          <w:lang w:val="en-US" w:eastAsia="zh-CN"/>
        </w:rPr>
        <w:t>水泥产供应量为385.66万吨，</w:t>
      </w:r>
      <w:r>
        <w:rPr>
          <w:rFonts w:hint="eastAsia" w:ascii="仿宋_GB2312" w:eastAsia="仿宋_GB2312"/>
          <w:b w:val="0"/>
          <w:bCs w:val="0"/>
          <w:color w:val="auto"/>
          <w:sz w:val="32"/>
          <w:szCs w:val="32"/>
        </w:rPr>
        <w:t>散装水泥供应量</w:t>
      </w:r>
      <w:r>
        <w:rPr>
          <w:rFonts w:hint="eastAsia" w:ascii="仿宋_GB2312" w:eastAsia="仿宋_GB2312"/>
          <w:b w:val="0"/>
          <w:bCs w:val="0"/>
          <w:color w:val="auto"/>
          <w:sz w:val="32"/>
          <w:szCs w:val="32"/>
          <w:lang w:val="en-US" w:eastAsia="zh-CN"/>
        </w:rPr>
        <w:t>229</w:t>
      </w:r>
      <w:r>
        <w:rPr>
          <w:rFonts w:hint="eastAsia" w:ascii="仿宋_GB2312" w:eastAsia="仿宋_GB2312"/>
          <w:b w:val="0"/>
          <w:bCs w:val="0"/>
          <w:color w:val="auto"/>
          <w:sz w:val="32"/>
          <w:szCs w:val="32"/>
        </w:rPr>
        <w:t>万吨</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资源综合利用固废物量为83.12万吨，</w:t>
      </w:r>
      <w:r>
        <w:rPr>
          <w:rFonts w:hint="eastAsia" w:ascii="仿宋_GB2312" w:eastAsia="仿宋_GB2312"/>
          <w:b w:val="0"/>
          <w:bCs w:val="0"/>
          <w:color w:val="auto"/>
          <w:sz w:val="32"/>
          <w:szCs w:val="32"/>
        </w:rPr>
        <w:t>散装率为</w:t>
      </w:r>
      <w:r>
        <w:rPr>
          <w:rFonts w:hint="eastAsia" w:ascii="仿宋_GB2312" w:eastAsia="仿宋_GB2312"/>
          <w:b w:val="0"/>
          <w:bCs w:val="0"/>
          <w:color w:val="auto"/>
          <w:sz w:val="32"/>
          <w:szCs w:val="32"/>
          <w:lang w:val="en-US" w:eastAsia="zh-CN"/>
        </w:rPr>
        <w:t>59.38</w:t>
      </w:r>
      <w:r>
        <w:rPr>
          <w:rFonts w:hint="eastAsia" w:ascii="仿宋_GB2312" w:eastAsia="仿宋_GB2312"/>
          <w:b w:val="0"/>
          <w:bCs w:val="0"/>
          <w:color w:val="auto"/>
          <w:sz w:val="32"/>
          <w:szCs w:val="32"/>
        </w:rPr>
        <w:t>%。三是</w:t>
      </w:r>
      <w:r>
        <w:rPr>
          <w:rFonts w:hint="eastAsia" w:ascii="仿宋_GB2312" w:eastAsia="仿宋_GB2312"/>
          <w:b w:val="0"/>
          <w:bCs w:val="0"/>
          <w:color w:val="auto"/>
          <w:sz w:val="32"/>
          <w:szCs w:val="32"/>
          <w:lang w:val="en-US" w:eastAsia="zh-CN"/>
        </w:rPr>
        <w:t>大力</w:t>
      </w:r>
      <w:r>
        <w:rPr>
          <w:rStyle w:val="6"/>
          <w:rFonts w:hint="eastAsia" w:ascii="仿宋_GB2312" w:hAnsi="仿宋_GB2312" w:eastAsia="仿宋_GB2312" w:cs="仿宋_GB2312"/>
          <w:b w:val="0"/>
          <w:bCs w:val="0"/>
          <w:color w:val="auto"/>
          <w:sz w:val="32"/>
          <w:szCs w:val="32"/>
          <w:lang w:val="en-US" w:eastAsia="zh-CN"/>
        </w:rPr>
        <w:t>培植</w:t>
      </w:r>
      <w:r>
        <w:rPr>
          <w:rStyle w:val="6"/>
          <w:rFonts w:hint="eastAsia" w:ascii="仿宋_GB2312" w:hAnsi="仿宋_GB2312" w:eastAsia="仿宋_GB2312" w:cs="仿宋_GB2312"/>
          <w:b w:val="0"/>
          <w:bCs w:val="0"/>
          <w:color w:val="auto"/>
          <w:sz w:val="32"/>
          <w:szCs w:val="32"/>
        </w:rPr>
        <w:t>绿色建材</w:t>
      </w:r>
      <w:r>
        <w:rPr>
          <w:rStyle w:val="6"/>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z w:val="32"/>
          <w:szCs w:val="32"/>
        </w:rPr>
        <w:t>围绕装配式建筑、绿色建筑、建筑节能产业链，积极培育绿色建材，</w:t>
      </w:r>
      <w:r>
        <w:rPr>
          <w:rFonts w:hint="eastAsia" w:ascii="仿宋_GB2312" w:eastAsia="仿宋_GB2312"/>
          <w:color w:val="auto"/>
          <w:sz w:val="32"/>
          <w:szCs w:val="32"/>
          <w:lang w:val="en-US" w:eastAsia="zh-CN"/>
        </w:rPr>
        <w:t>指导</w:t>
      </w:r>
      <w:r>
        <w:rPr>
          <w:rFonts w:hint="eastAsia" w:ascii="仿宋_GB2312" w:eastAsia="仿宋_GB2312"/>
          <w:color w:val="auto"/>
          <w:sz w:val="32"/>
          <w:szCs w:val="32"/>
        </w:rPr>
        <w:t>企业申报绿色建材</w:t>
      </w:r>
      <w:r>
        <w:rPr>
          <w:rFonts w:hint="eastAsia" w:ascii="仿宋_GB2312" w:eastAsia="仿宋_GB2312"/>
          <w:color w:val="auto"/>
          <w:sz w:val="32"/>
          <w:szCs w:val="32"/>
          <w:lang w:val="en-US" w:eastAsia="zh-CN"/>
        </w:rPr>
        <w:t>产品认证</w:t>
      </w:r>
      <w:r>
        <w:rPr>
          <w:rFonts w:hint="eastAsia" w:ascii="仿宋_GB2312" w:eastAsia="仿宋_GB2312"/>
          <w:color w:val="auto"/>
          <w:sz w:val="32"/>
          <w:szCs w:val="32"/>
        </w:rPr>
        <w:t>，全年新增二星级绿色建材标识认证</w:t>
      </w:r>
      <w:r>
        <w:rPr>
          <w:rFonts w:hint="eastAsia" w:ascii="仿宋_GB2312" w:eastAsia="仿宋_GB2312"/>
          <w:color w:val="auto"/>
          <w:sz w:val="32"/>
          <w:szCs w:val="32"/>
          <w:lang w:val="en-US" w:eastAsia="zh-CN"/>
        </w:rPr>
        <w:t>2个、三星级1个</w:t>
      </w:r>
      <w:r>
        <w:rPr>
          <w:rFonts w:hint="eastAsia" w:ascii="仿宋_GB2312" w:eastAsia="仿宋_GB2312"/>
          <w:color w:val="auto"/>
          <w:sz w:val="32"/>
          <w:szCs w:val="32"/>
        </w:rPr>
        <w:t>，至目前为止，全市获得</w:t>
      </w:r>
      <w:r>
        <w:rPr>
          <w:rFonts w:hint="eastAsia" w:ascii="仿宋_GB2312" w:hAnsi="仿宋_GB2312" w:eastAsia="仿宋_GB2312" w:cs="仿宋_GB2312"/>
          <w:color w:val="auto"/>
          <w:sz w:val="32"/>
          <w:szCs w:val="32"/>
        </w:rPr>
        <w:t>星级标识认证</w:t>
      </w:r>
      <w:r>
        <w:rPr>
          <w:rFonts w:hint="eastAsia" w:ascii="仿宋_GB2312" w:hAnsi="仿宋_GB2312" w:eastAsia="仿宋_GB2312" w:cs="仿宋_GB2312"/>
          <w:color w:val="auto"/>
          <w:sz w:val="32"/>
          <w:szCs w:val="32"/>
          <w:lang w:val="en-US" w:eastAsia="zh-CN"/>
        </w:rPr>
        <w:t>产品</w:t>
      </w:r>
      <w:r>
        <w:rPr>
          <w:rFonts w:hint="eastAsia" w:ascii="仿宋_GB2312" w:eastAsia="仿宋_GB2312"/>
          <w:color w:val="auto"/>
          <w:sz w:val="32"/>
          <w:szCs w:val="32"/>
        </w:rPr>
        <w:t>(新型墙材、预拌混凝土、预拌砂浆)已</w:t>
      </w:r>
      <w:r>
        <w:rPr>
          <w:rFonts w:hint="eastAsia" w:ascii="仿宋_GB2312" w:hAnsi="仿宋_GB2312" w:eastAsia="仿宋_GB2312" w:cs="仿宋_GB2312"/>
          <w:color w:val="auto"/>
          <w:sz w:val="32"/>
          <w:szCs w:val="32"/>
        </w:rPr>
        <w:t>达到2</w:t>
      </w:r>
      <w:r>
        <w:rPr>
          <w:rFonts w:hint="eastAsia" w:ascii="仿宋_GB2312" w:hAnsi="仿宋_GB2312" w:eastAsia="仿宋_GB2312" w:cs="仿宋_GB2312"/>
          <w:color w:val="auto"/>
          <w:sz w:val="32"/>
          <w:szCs w:val="32"/>
          <w:lang w:val="en-US" w:eastAsia="zh-CN"/>
        </w:rPr>
        <w:t>5个。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623" w:firstLineChars="200"/>
        <w:textAlignment w:val="baseline"/>
        <w:outlineLvl w:val="0"/>
        <w:rPr>
          <w:rFonts w:ascii="黑体" w:hAnsi="黑体" w:eastAsia="黑体" w:cs="黑体"/>
          <w:b/>
          <w:bCs/>
          <w:spacing w:val="-5"/>
          <w:sz w:val="32"/>
          <w:szCs w:val="32"/>
        </w:rPr>
      </w:pPr>
      <w:r>
        <w:rPr>
          <w:rFonts w:hint="eastAsia" w:ascii="黑体" w:hAnsi="黑体" w:eastAsia="黑体" w:cs="黑体"/>
          <w:b/>
          <w:bCs/>
          <w:snapToGrid w:val="0"/>
          <w:color w:val="000000"/>
          <w:spacing w:val="-5"/>
          <w:kern w:val="0"/>
          <w:sz w:val="32"/>
          <w:szCs w:val="32"/>
        </w:rPr>
        <w:t>七、</w:t>
      </w:r>
      <w:r>
        <w:rPr>
          <w:rFonts w:ascii="黑体" w:hAnsi="黑体" w:eastAsia="黑体" w:cs="黑体"/>
          <w:b/>
          <w:bCs/>
          <w:spacing w:val="-5"/>
          <w:sz w:val="32"/>
          <w:szCs w:val="32"/>
        </w:rPr>
        <w:t>存在的问题及原因</w:t>
      </w:r>
      <w:r>
        <w:rPr>
          <w:rFonts w:hint="eastAsia" w:ascii="黑体" w:hAnsi="黑体" w:eastAsia="黑体" w:cs="黑体"/>
          <w:b/>
          <w:bCs/>
          <w:spacing w:val="-5"/>
          <w:sz w:val="32"/>
          <w:szCs w:val="32"/>
          <w:lang w:eastAsia="zh-CN"/>
        </w:rPr>
        <w:t>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outlineLvl w:val="0"/>
        <w:rPr>
          <w:rFonts w:hint="eastAsia" w:ascii="仿宋" w:hAnsi="仿宋" w:eastAsia="仿宋" w:cs="仿宋"/>
          <w:b/>
          <w:bCs/>
          <w:spacing w:val="-5"/>
          <w:sz w:val="32"/>
          <w:szCs w:val="32"/>
          <w:lang w:val="en-US" w:eastAsia="zh-CN"/>
        </w:rPr>
      </w:pPr>
      <w:r>
        <w:rPr>
          <w:rFonts w:hint="eastAsia" w:ascii="黑体" w:hAnsi="黑体" w:eastAsia="黑体" w:cs="黑体"/>
          <w:b/>
          <w:bCs/>
          <w:spacing w:val="-5"/>
          <w:sz w:val="32"/>
          <w:szCs w:val="32"/>
          <w:lang w:val="en-US" w:eastAsia="zh-CN"/>
        </w:rPr>
        <w:t xml:space="preserve">   </w:t>
      </w:r>
      <w:r>
        <w:rPr>
          <w:rFonts w:hint="eastAsia" w:ascii="黑体" w:hAnsi="黑体" w:eastAsia="黑体" w:cs="黑体"/>
          <w:b w:val="0"/>
          <w:bCs w:val="0"/>
          <w:spacing w:val="-5"/>
          <w:sz w:val="32"/>
          <w:szCs w:val="32"/>
          <w:lang w:val="en-US" w:eastAsia="zh-CN"/>
        </w:rPr>
        <w:t xml:space="preserve"> </w:t>
      </w:r>
      <w:r>
        <w:rPr>
          <w:rFonts w:hint="eastAsia" w:ascii="仿宋" w:hAnsi="仿宋" w:eastAsia="仿宋" w:cs="仿宋"/>
          <w:b w:val="0"/>
          <w:bCs w:val="0"/>
          <w:spacing w:val="-5"/>
          <w:sz w:val="32"/>
          <w:szCs w:val="32"/>
          <w:lang w:val="en-US" w:eastAsia="zh-CN"/>
        </w:rPr>
        <w:t>预算编制还不够精细化，在执行和管理过程中也存在一些问题，预算编制和支出有的存在部分差异，针对不足，我单位将积极采取改进措施，不断规范和强化管理。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0" w:leftChars="0" w:firstLine="598" w:firstLineChars="200"/>
        <w:textAlignment w:val="baseline"/>
        <w:outlineLvl w:val="0"/>
        <w:rPr>
          <w:rFonts w:ascii="黑体" w:hAnsi="黑体" w:eastAsia="黑体" w:cs="黑体"/>
          <w:b/>
          <w:bCs/>
          <w:spacing w:val="-6"/>
          <w:sz w:val="31"/>
          <w:szCs w:val="31"/>
        </w:rPr>
      </w:pPr>
      <w:r>
        <w:rPr>
          <w:rFonts w:hint="eastAsia" w:ascii="黑体" w:hAnsi="黑体" w:eastAsia="黑体" w:cs="黑体"/>
          <w:b/>
          <w:bCs/>
          <w:snapToGrid w:val="0"/>
          <w:color w:val="000000"/>
          <w:spacing w:val="-6"/>
          <w:kern w:val="0"/>
          <w:sz w:val="31"/>
          <w:szCs w:val="31"/>
        </w:rPr>
        <w:t>八、</w:t>
      </w:r>
      <w:r>
        <w:rPr>
          <w:rFonts w:ascii="黑体" w:hAnsi="黑体" w:eastAsia="黑体" w:cs="黑体"/>
          <w:b/>
          <w:bCs/>
          <w:spacing w:val="-6"/>
          <w:sz w:val="31"/>
          <w:szCs w:val="31"/>
        </w:rPr>
        <w:t>下一步改进措施</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27" w:firstLineChars="196"/>
        <w:textAlignment w:val="baseline"/>
        <w:rPr>
          <w:rFonts w:ascii="黑体" w:hAnsi="黑体" w:eastAsia="黑体" w:cs="黑体"/>
          <w:b/>
          <w:bCs/>
          <w:spacing w:val="-6"/>
          <w:sz w:val="31"/>
          <w:szCs w:val="31"/>
        </w:rPr>
      </w:pPr>
      <w:r>
        <w:rPr>
          <w:rFonts w:hint="eastAsia" w:ascii="仿宋_GB2312" w:eastAsia="仿宋_GB2312" w:cs="仿宋_GB2312"/>
          <w:b w:val="0"/>
          <w:bCs w:val="0"/>
          <w:sz w:val="32"/>
          <w:szCs w:val="32"/>
          <w:lang w:eastAsia="zh-CN"/>
        </w:rPr>
        <w:t>加强财政预算资金使用效益跟踪“回头”看，及时预控、查找资金使用和管理过程中的薄弱环节，确保为后续绩效目标的有效实现提供有力支撑。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0" w:leftChars="0" w:firstLine="614" w:firstLineChars="200"/>
        <w:textAlignment w:val="baseline"/>
        <w:rPr>
          <w:rFonts w:ascii="黑体" w:hAnsi="黑体" w:eastAsia="黑体" w:cs="黑体"/>
          <w:b/>
          <w:bCs/>
          <w:spacing w:val="-2"/>
          <w:position w:val="24"/>
          <w:sz w:val="31"/>
          <w:szCs w:val="31"/>
        </w:rPr>
      </w:pPr>
      <w:r>
        <w:rPr>
          <w:rFonts w:hint="eastAsia" w:ascii="黑体" w:hAnsi="黑体" w:eastAsia="黑体" w:cs="黑体"/>
          <w:b/>
          <w:bCs/>
          <w:snapToGrid w:val="0"/>
          <w:color w:val="000000"/>
          <w:spacing w:val="-2"/>
          <w:kern w:val="0"/>
          <w:position w:val="24"/>
          <w:sz w:val="31"/>
          <w:szCs w:val="31"/>
        </w:rPr>
        <w:t>九、</w:t>
      </w:r>
      <w:r>
        <w:rPr>
          <w:rFonts w:ascii="黑体" w:hAnsi="黑体" w:eastAsia="黑体" w:cs="黑体"/>
          <w:b/>
          <w:bCs/>
          <w:spacing w:val="-2"/>
          <w:position w:val="24"/>
          <w:sz w:val="31"/>
          <w:szCs w:val="31"/>
        </w:rPr>
        <w:t>部门整体支出绩效自评结果拟应用和公开情况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200"/>
        <w:textAlignment w:val="baseline"/>
        <w:rPr>
          <w:rFonts w:hint="eastAsia" w:ascii="仿宋" w:hAnsi="仿宋" w:eastAsia="仿宋" w:cs="仿宋"/>
          <w:b w:val="0"/>
          <w:bCs w:val="0"/>
          <w:spacing w:val="-2"/>
          <w:position w:val="24"/>
          <w:sz w:val="31"/>
          <w:szCs w:val="31"/>
          <w:lang w:eastAsia="zh-CN"/>
        </w:rPr>
      </w:pPr>
      <w:r>
        <w:rPr>
          <w:rFonts w:hint="eastAsia" w:ascii="仿宋" w:hAnsi="仿宋" w:eastAsia="仿宋" w:cs="仿宋"/>
          <w:b w:val="0"/>
          <w:bCs w:val="0"/>
          <w:spacing w:val="-2"/>
          <w:position w:val="24"/>
          <w:sz w:val="31"/>
          <w:szCs w:val="31"/>
          <w:lang w:eastAsia="zh-CN"/>
        </w:rPr>
        <w:t>我单位按照要求及时主动将相关资料公开。</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694"/>
        <w:textAlignment w:val="baseline"/>
        <w:rPr>
          <w:rFonts w:ascii="黑体" w:hAnsi="黑体" w:eastAsia="黑体" w:cs="黑体"/>
          <w:sz w:val="31"/>
          <w:szCs w:val="31"/>
        </w:rPr>
      </w:pPr>
      <w:r>
        <w:rPr>
          <w:rFonts w:hint="eastAsia" w:ascii="黑体" w:hAnsi="黑体" w:eastAsia="黑体" w:cs="黑体"/>
          <w:b/>
          <w:bCs/>
          <w:sz w:val="31"/>
          <w:szCs w:val="31"/>
          <w:lang w:eastAsia="zh-CN"/>
        </w:rPr>
        <w:t>十、</w:t>
      </w:r>
      <w:r>
        <w:rPr>
          <w:rFonts w:ascii="黑体" w:hAnsi="黑体" w:eastAsia="黑体" w:cs="黑体"/>
          <w:b/>
          <w:bCs/>
          <w:sz w:val="31"/>
          <w:szCs w:val="31"/>
        </w:rPr>
        <w:t>其他需要说明的情况</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Arial"/>
          <w:sz w:val="21"/>
        </w:rPr>
      </w:pPr>
    </w:p>
    <w:p>
      <w:pPr>
        <w:spacing w:line="276" w:lineRule="auto"/>
        <w:rPr>
          <w:rFonts w:hint="default" w:eastAsia="宋体"/>
          <w:sz w:val="32"/>
          <w:szCs w:val="32"/>
          <w:lang w:val="en-US" w:eastAsia="zh-CN"/>
        </w:rPr>
      </w:pPr>
      <w:r>
        <w:rPr>
          <w:rFonts w:hint="eastAsia" w:eastAsia="宋体"/>
          <w:sz w:val="21"/>
          <w:lang w:val="en-US" w:eastAsia="zh-CN"/>
        </w:rPr>
        <w:t xml:space="preserve">             </w:t>
      </w:r>
      <w:r>
        <w:rPr>
          <w:rFonts w:hint="eastAsia" w:eastAsia="宋体"/>
          <w:sz w:val="32"/>
          <w:szCs w:val="32"/>
          <w:lang w:val="en-US" w:eastAsia="zh-CN"/>
        </w:rPr>
        <w:t xml:space="preserve"> 无</w:t>
      </w:r>
    </w:p>
    <w:p>
      <w:pPr>
        <w:spacing w:line="276" w:lineRule="auto"/>
        <w:rPr>
          <w:rFonts w:ascii="Arial"/>
          <w:sz w:val="21"/>
        </w:rPr>
      </w:pP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b/>
                <w:bCs/>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bookmarkStart w:id="0" w:name="OLE_LINK1" w:colFirst="0" w:colLast="3"/>
            <w:r>
              <w:rPr>
                <w:rFonts w:hint="eastAsia" w:ascii="仿宋_GB2312" w:hAnsi="仿宋_GB2312" w:eastAsia="仿宋_GB2312" w:cs="仿宋_GB2312"/>
                <w:b/>
                <w:bCs/>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bookmarkEnd w:id="0"/>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800" w:firstLineChars="400"/>
              <w:jc w:val="left"/>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800" w:firstLineChars="400"/>
              <w:jc w:val="left"/>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52.56万元</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12.13万元</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59.24万元</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12.67万元</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2.4万元</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8.09万元</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2.37万元</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1.2万元</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2.7万元</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208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Style w:val="7"/>
                <w:rFonts w:hint="eastAsia"/>
                <w:lang w:val="en-US" w:eastAsia="zh-CN"/>
              </w:rPr>
            </w:pPr>
            <w:r>
              <w:rPr>
                <w:rFonts w:hint="eastAsia"/>
                <w:lang w:val="en-US" w:eastAsia="zh-CN"/>
              </w:rPr>
              <w:t xml:space="preserve"> </w:t>
            </w:r>
            <w:r>
              <w:rPr>
                <w:rStyle w:val="7"/>
                <w:rFonts w:hint="eastAsia"/>
                <w:lang w:val="en-US" w:eastAsia="zh-CN"/>
              </w:rPr>
              <w:t xml:space="preserve"> 1.党员干部起模范带头作用，精打细算，厉行节约。严格控制公用经费。</w:t>
            </w:r>
          </w:p>
          <w:p>
            <w:pPr>
              <w:pStyle w:val="2"/>
              <w:ind w:left="0" w:leftChars="0" w:firstLine="0" w:firstLineChars="0"/>
              <w:rPr>
                <w:rFonts w:hint="eastAsia"/>
                <w:lang w:val="en-US" w:eastAsia="zh-CN"/>
              </w:rPr>
            </w:pPr>
            <w:r>
              <w:rPr>
                <w:rFonts w:hint="eastAsia"/>
                <w:lang w:val="en-US" w:eastAsia="zh-CN"/>
              </w:rPr>
              <w:t xml:space="preserve">  2.健全管理制度，控制费用增长。</w:t>
            </w:r>
          </w:p>
          <w:p>
            <w:pPr>
              <w:pStyle w:val="2"/>
              <w:ind w:left="0" w:leftChars="0" w:firstLine="0" w:firstLineChars="0"/>
              <w:rPr>
                <w:rFonts w:hint="default"/>
                <w:lang w:val="en-US" w:eastAsia="zh-CN"/>
              </w:rPr>
            </w:pPr>
            <w:r>
              <w:rPr>
                <w:rFonts w:hint="eastAsia"/>
                <w:lang w:val="en-US" w:eastAsia="zh-CN"/>
              </w:rPr>
              <w:t xml:space="preserve">  3.加强对预算管理及财务收支管理。严格组照“先有预算后有支出”预算管理要求，控制经费预算，对超预算资金严格管控；加强财务收支管理，对支出每笔费用认真审核，对不符合规定的费用拒绝支付，把控资金支付的合规性、合法性、准确性。</w:t>
            </w:r>
          </w:p>
        </w:tc>
      </w:tr>
    </w:tbl>
    <w:p>
      <w:pPr>
        <w:widowControl/>
        <w:spacing w:afterLines="0" w:line="4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0"/>
          <w:szCs w:val="20"/>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李慷琪</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2023年7月17日</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8214860</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fixed"/>
        <w:tblCellMar>
          <w:top w:w="0" w:type="dxa"/>
          <w:left w:w="108" w:type="dxa"/>
          <w:bottom w:w="0" w:type="dxa"/>
          <w:right w:w="108" w:type="dxa"/>
        </w:tblCellMar>
      </w:tblPr>
      <w:tblGrid>
        <w:gridCol w:w="663"/>
        <w:gridCol w:w="523"/>
        <w:gridCol w:w="485"/>
        <w:gridCol w:w="2793"/>
        <w:gridCol w:w="1295"/>
        <w:gridCol w:w="1484"/>
        <w:gridCol w:w="517"/>
        <w:gridCol w:w="749"/>
        <w:gridCol w:w="1570"/>
      </w:tblGrid>
      <w:tr>
        <w:tblPrEx>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rPr>
              <w:t>市</w:t>
            </w:r>
            <w:r>
              <w:rPr>
                <w:rFonts w:hint="eastAsia" w:ascii="仿宋_GB2312" w:hAnsi="仿宋_GB2312" w:eastAsia="仿宋_GB2312" w:cs="仿宋_GB2312"/>
                <w:b/>
                <w:bCs/>
                <w:color w:val="000000"/>
                <w:sz w:val="21"/>
                <w:szCs w:val="21"/>
              </w:rPr>
              <w:t>级预算部门名称</w:t>
            </w:r>
          </w:p>
        </w:tc>
        <w:tc>
          <w:tcPr>
            <w:tcW w:w="94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rPr>
              <w:t>岳阳市绿色建筑产业发展服务中心</w:t>
            </w:r>
            <w:r>
              <w:rPr>
                <w:rFonts w:hint="eastAsia" w:ascii="仿宋_GB2312" w:hAnsi="仿宋_GB2312" w:eastAsia="仿宋_GB2312" w:cs="仿宋_GB2312"/>
                <w:b/>
                <w:bCs/>
                <w:color w:val="000000"/>
                <w:sz w:val="21"/>
                <w:szCs w:val="21"/>
              </w:rPr>
              <w:t>　</w:t>
            </w:r>
          </w:p>
        </w:tc>
      </w:tr>
      <w:tr>
        <w:tblPrEx>
          <w:tblCellMar>
            <w:top w:w="0" w:type="dxa"/>
            <w:left w:w="108" w:type="dxa"/>
            <w:bottom w:w="0" w:type="dxa"/>
            <w:right w:w="108" w:type="dxa"/>
          </w:tblCellMar>
        </w:tblPrEx>
        <w:trPr>
          <w:trHeight w:val="628" w:hRule="atLeast"/>
          <w:jc w:val="center"/>
        </w:trPr>
        <w:tc>
          <w:tcPr>
            <w:tcW w:w="663"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年度预</w:t>
            </w:r>
          </w:p>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算申请</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（万元）</w:t>
            </w: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年初预算数</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全年预算数</w:t>
            </w:r>
          </w:p>
        </w:tc>
        <w:tc>
          <w:tcPr>
            <w:tcW w:w="148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全年执行数</w:t>
            </w:r>
          </w:p>
        </w:tc>
        <w:tc>
          <w:tcPr>
            <w:tcW w:w="51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执行率</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得分</w:t>
            </w:r>
          </w:p>
        </w:tc>
      </w:tr>
      <w:tr>
        <w:tblPrEx>
          <w:tblCellMar>
            <w:top w:w="0" w:type="dxa"/>
            <w:left w:w="108" w:type="dxa"/>
            <w:bottom w:w="0" w:type="dxa"/>
            <w:right w:w="108" w:type="dxa"/>
          </w:tblCellMar>
        </w:tblPrEx>
        <w:trPr>
          <w:trHeight w:val="638" w:hRule="atLeast"/>
          <w:jc w:val="center"/>
        </w:trPr>
        <w:tc>
          <w:tcPr>
            <w:tcW w:w="663"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年度资金总额</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万元）</w:t>
            </w: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150.69</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188.39</w:t>
            </w:r>
          </w:p>
        </w:tc>
        <w:tc>
          <w:tcPr>
            <w:tcW w:w="1484"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188.39</w:t>
            </w:r>
          </w:p>
        </w:tc>
        <w:tc>
          <w:tcPr>
            <w:tcW w:w="51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CellMar>
            <w:top w:w="0" w:type="dxa"/>
            <w:left w:w="108" w:type="dxa"/>
            <w:bottom w:w="0" w:type="dxa"/>
            <w:right w:w="108" w:type="dxa"/>
          </w:tblCellMar>
        </w:tblPrEx>
        <w:trPr>
          <w:trHeight w:val="627"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rPr>
              <w:t>按收入性质分：</w:t>
            </w:r>
            <w:r>
              <w:rPr>
                <w:rFonts w:hint="eastAsia" w:ascii="仿宋_GB2312" w:hAnsi="仿宋_GB2312" w:eastAsia="仿宋_GB2312" w:cs="仿宋_GB2312"/>
                <w:b/>
                <w:bCs/>
                <w:color w:val="000000"/>
                <w:sz w:val="21"/>
                <w:szCs w:val="21"/>
                <w:lang w:val="en-US" w:eastAsia="zh-CN"/>
              </w:rPr>
              <w:t>188.39</w:t>
            </w:r>
          </w:p>
        </w:tc>
        <w:tc>
          <w:tcPr>
            <w:tcW w:w="432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b/>
                <w:bCs/>
                <w:color w:val="000000"/>
                <w:sz w:val="21"/>
                <w:szCs w:val="21"/>
                <w:lang w:val="en-US" w:eastAsia="zh-CN"/>
              </w:rPr>
            </w:pPr>
            <w:r>
              <w:rPr>
                <w:rFonts w:hint="eastAsia" w:ascii="仿宋_GB2312" w:hAnsi="仿宋_GB2312" w:eastAsia="仿宋_GB2312" w:cs="仿宋_GB2312"/>
                <w:b/>
                <w:bCs/>
                <w:color w:val="000000"/>
                <w:sz w:val="21"/>
                <w:szCs w:val="21"/>
              </w:rPr>
              <w:t>按支出性质分：</w:t>
            </w:r>
            <w:r>
              <w:rPr>
                <w:rFonts w:hint="eastAsia" w:ascii="仿宋_GB2312" w:hAnsi="仿宋_GB2312" w:eastAsia="仿宋_GB2312" w:cs="仿宋_GB2312"/>
                <w:b/>
                <w:bCs/>
                <w:color w:val="000000"/>
                <w:sz w:val="21"/>
                <w:szCs w:val="21"/>
                <w:lang w:val="en-US" w:eastAsia="zh-CN"/>
              </w:rPr>
              <w:t>188.39</w:t>
            </w:r>
          </w:p>
        </w:tc>
      </w:tr>
      <w:tr>
        <w:tblPrEx>
          <w:tblCellMar>
            <w:top w:w="0" w:type="dxa"/>
            <w:left w:w="108" w:type="dxa"/>
            <w:bottom w:w="0" w:type="dxa"/>
            <w:right w:w="108" w:type="dxa"/>
          </w:tblCellMar>
        </w:tblPrEx>
        <w:trPr>
          <w:trHeight w:val="690"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rPr>
              <w:t xml:space="preserve">  其中：  一般公共预算：</w:t>
            </w:r>
            <w:r>
              <w:rPr>
                <w:rFonts w:hint="eastAsia" w:ascii="仿宋_GB2312" w:hAnsi="仿宋_GB2312" w:eastAsia="仿宋_GB2312" w:cs="仿宋_GB2312"/>
                <w:color w:val="000000"/>
                <w:sz w:val="21"/>
                <w:szCs w:val="21"/>
                <w:lang w:val="en-US" w:eastAsia="zh-CN"/>
              </w:rPr>
              <w:t xml:space="preserve">           182.27</w:t>
            </w:r>
          </w:p>
        </w:tc>
        <w:tc>
          <w:tcPr>
            <w:tcW w:w="432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其中：基本支出：</w:t>
            </w:r>
            <w:r>
              <w:rPr>
                <w:rFonts w:hint="eastAsia" w:ascii="仿宋_GB2312" w:hAnsi="仿宋_GB2312" w:eastAsia="仿宋_GB2312" w:cs="仿宋_GB2312"/>
                <w:color w:val="000000"/>
                <w:sz w:val="21"/>
                <w:szCs w:val="21"/>
                <w:lang w:val="en-US" w:eastAsia="zh-CN"/>
              </w:rPr>
              <w:t>188.39</w:t>
            </w:r>
          </w:p>
        </w:tc>
      </w:tr>
      <w:tr>
        <w:tblPrEx>
          <w:tblCellMar>
            <w:top w:w="0" w:type="dxa"/>
            <w:left w:w="108" w:type="dxa"/>
            <w:bottom w:w="0" w:type="dxa"/>
            <w:right w:w="108" w:type="dxa"/>
          </w:tblCellMar>
        </w:tblPrEx>
        <w:trPr>
          <w:trHeight w:val="565"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政府性基金拨款：</w:t>
            </w:r>
            <w:r>
              <w:rPr>
                <w:rFonts w:hint="eastAsia" w:ascii="仿宋_GB2312" w:hAnsi="仿宋_GB2312" w:eastAsia="仿宋_GB2312" w:cs="仿宋_GB2312"/>
                <w:color w:val="000000"/>
                <w:sz w:val="21"/>
                <w:szCs w:val="21"/>
                <w:lang w:val="en-US" w:eastAsia="zh-CN"/>
              </w:rPr>
              <w:t xml:space="preserve">                   </w:t>
            </w:r>
          </w:p>
        </w:tc>
        <w:tc>
          <w:tcPr>
            <w:tcW w:w="4320"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项目支出：</w:t>
            </w:r>
          </w:p>
        </w:tc>
      </w:tr>
      <w:tr>
        <w:tblPrEx>
          <w:tblCellMar>
            <w:top w:w="0" w:type="dxa"/>
            <w:left w:w="108" w:type="dxa"/>
            <w:bottom w:w="0" w:type="dxa"/>
            <w:right w:w="108" w:type="dxa"/>
          </w:tblCellMar>
        </w:tblPrEx>
        <w:trPr>
          <w:trHeight w:val="614"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纳入专户管理的非税收入拨款：</w:t>
            </w:r>
            <w:r>
              <w:rPr>
                <w:rFonts w:hint="eastAsia" w:ascii="仿宋_GB2312" w:hAnsi="仿宋_GB2312" w:eastAsia="仿宋_GB2312" w:cs="仿宋_GB2312"/>
                <w:color w:val="000000"/>
                <w:sz w:val="21"/>
                <w:szCs w:val="21"/>
                <w:lang w:val="en-US" w:eastAsia="zh-CN"/>
              </w:rPr>
              <w:t xml:space="preserve">                </w:t>
            </w:r>
          </w:p>
        </w:tc>
        <w:tc>
          <w:tcPr>
            <w:tcW w:w="432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55" w:hRule="atLeast"/>
          <w:jc w:val="center"/>
        </w:trPr>
        <w:tc>
          <w:tcPr>
            <w:tcW w:w="66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其他资金：</w:t>
            </w:r>
            <w:r>
              <w:rPr>
                <w:rFonts w:hint="eastAsia" w:ascii="仿宋_GB2312" w:hAnsi="仿宋_GB2312" w:eastAsia="仿宋_GB2312" w:cs="仿宋_GB2312"/>
                <w:color w:val="000000"/>
                <w:sz w:val="21"/>
                <w:szCs w:val="21"/>
                <w:lang w:val="en-US" w:eastAsia="zh-CN"/>
              </w:rPr>
              <w:t xml:space="preserve">        1.91        </w:t>
            </w:r>
          </w:p>
        </w:tc>
        <w:tc>
          <w:tcPr>
            <w:tcW w:w="432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732" w:hRule="atLeast"/>
          <w:jc w:val="center"/>
        </w:trPr>
        <w:tc>
          <w:tcPr>
            <w:tcW w:w="66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年度总体目标</w:t>
            </w:r>
          </w:p>
        </w:tc>
        <w:tc>
          <w:tcPr>
            <w:tcW w:w="509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预期目标</w:t>
            </w:r>
          </w:p>
        </w:tc>
        <w:tc>
          <w:tcPr>
            <w:tcW w:w="432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实际完成情况　</w:t>
            </w:r>
          </w:p>
        </w:tc>
      </w:tr>
      <w:tr>
        <w:tblPrEx>
          <w:tblCellMar>
            <w:top w:w="0" w:type="dxa"/>
            <w:left w:w="108" w:type="dxa"/>
            <w:bottom w:w="0" w:type="dxa"/>
            <w:right w:w="108" w:type="dxa"/>
          </w:tblCellMar>
        </w:tblPrEx>
        <w:trPr>
          <w:trHeight w:val="1001"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p>
        </w:tc>
        <w:tc>
          <w:tcPr>
            <w:tcW w:w="509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1.推广生产新型墙体材料16亿标砖</w:t>
            </w:r>
          </w:p>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2.推广生产预拌砂浆30万吨</w:t>
            </w:r>
          </w:p>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3.推广生产预拌混凝土400万立方</w:t>
            </w:r>
          </w:p>
        </w:tc>
        <w:tc>
          <w:tcPr>
            <w:tcW w:w="432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1.推广生产新型墙体材料</w:t>
            </w:r>
            <w:r>
              <w:rPr>
                <w:rFonts w:hint="eastAsia" w:ascii="仿宋_GB2312" w:hAnsi="仿宋_GB2312" w:eastAsia="仿宋_GB2312" w:cs="仿宋_GB2312"/>
                <w:color w:val="000000"/>
                <w:sz w:val="21"/>
                <w:szCs w:val="21"/>
                <w:lang w:val="en-US" w:eastAsia="zh-CN"/>
              </w:rPr>
              <w:t>12.47</w:t>
            </w:r>
            <w:r>
              <w:rPr>
                <w:rFonts w:hint="eastAsia" w:ascii="仿宋_GB2312" w:hAnsi="仿宋_GB2312" w:eastAsia="仿宋_GB2312" w:cs="仿宋_GB2312"/>
                <w:color w:val="000000"/>
                <w:sz w:val="21"/>
                <w:szCs w:val="21"/>
              </w:rPr>
              <w:t>亿标砖</w:t>
            </w:r>
          </w:p>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2.推广生产预拌砂浆</w:t>
            </w:r>
            <w:r>
              <w:rPr>
                <w:rFonts w:hint="eastAsia" w:ascii="仿宋_GB2312" w:hAnsi="仿宋_GB2312" w:eastAsia="仿宋_GB2312" w:cs="仿宋_GB2312"/>
                <w:color w:val="000000"/>
                <w:sz w:val="21"/>
                <w:szCs w:val="21"/>
                <w:lang w:val="en-US" w:eastAsia="zh-CN"/>
              </w:rPr>
              <w:t>169</w:t>
            </w:r>
            <w:r>
              <w:rPr>
                <w:rFonts w:hint="eastAsia" w:ascii="仿宋_GB2312" w:hAnsi="仿宋_GB2312" w:eastAsia="仿宋_GB2312" w:cs="仿宋_GB2312"/>
                <w:color w:val="000000"/>
                <w:sz w:val="21"/>
                <w:szCs w:val="21"/>
              </w:rPr>
              <w:t>万吨</w:t>
            </w:r>
          </w:p>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3.推广生产预拌混凝土</w:t>
            </w:r>
            <w:r>
              <w:rPr>
                <w:rFonts w:hint="eastAsia" w:ascii="仿宋_GB2312" w:hAnsi="仿宋_GB2312" w:eastAsia="仿宋_GB2312" w:cs="仿宋_GB2312"/>
                <w:color w:val="000000"/>
                <w:sz w:val="21"/>
                <w:szCs w:val="21"/>
                <w:lang w:val="en-US" w:eastAsia="zh-CN"/>
              </w:rPr>
              <w:t>720</w:t>
            </w:r>
            <w:r>
              <w:rPr>
                <w:rFonts w:hint="eastAsia" w:ascii="仿宋_GB2312" w:hAnsi="仿宋_GB2312" w:eastAsia="仿宋_GB2312" w:cs="仿宋_GB2312"/>
                <w:color w:val="000000"/>
                <w:sz w:val="21"/>
                <w:szCs w:val="21"/>
              </w:rPr>
              <w:t>万立方</w:t>
            </w:r>
          </w:p>
          <w:p>
            <w:pPr>
              <w:widowControl/>
              <w:spacing w:line="240" w:lineRule="exact"/>
              <w:jc w:val="left"/>
              <w:rPr>
                <w:rFonts w:hint="default" w:ascii="仿宋_GB2312" w:hAnsi="仿宋_GB2312" w:eastAsia="仿宋_GB2312" w:cs="仿宋_GB2312"/>
                <w:color w:val="000000"/>
                <w:sz w:val="21"/>
                <w:szCs w:val="21"/>
                <w:lang w:val="en-US" w:eastAsia="zh-CN"/>
              </w:rPr>
            </w:pPr>
          </w:p>
        </w:tc>
      </w:tr>
      <w:tr>
        <w:tblPrEx>
          <w:tblCellMar>
            <w:top w:w="0" w:type="dxa"/>
            <w:left w:w="108" w:type="dxa"/>
            <w:bottom w:w="0" w:type="dxa"/>
            <w:right w:w="108" w:type="dxa"/>
          </w:tblCellMar>
        </w:tblPrEx>
        <w:trPr>
          <w:jc w:val="center"/>
        </w:trPr>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绩</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绩</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color w:val="000000"/>
                <w:sz w:val="20"/>
                <w:szCs w:val="20"/>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一级指标</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二级指标</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三级指标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年度指标值</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实际完成值</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分值</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得分</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偏差原因分析及改进措施</w:t>
            </w:r>
          </w:p>
        </w:tc>
      </w:tr>
      <w:tr>
        <w:tblPrEx>
          <w:tblCellMar>
            <w:top w:w="0" w:type="dxa"/>
            <w:left w:w="108" w:type="dxa"/>
            <w:bottom w:w="0" w:type="dxa"/>
            <w:right w:w="108" w:type="dxa"/>
          </w:tblCellMar>
        </w:tblPrEx>
        <w:trPr>
          <w:trHeight w:val="597"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center"/>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bCs/>
                <w:color w:val="000000"/>
                <w:sz w:val="20"/>
                <w:szCs w:val="20"/>
              </w:rPr>
              <w:t>产出指标</w:t>
            </w:r>
          </w:p>
          <w:p>
            <w:pPr>
              <w:widowControl/>
              <w:spacing w:line="240" w:lineRule="exact"/>
              <w:jc w:val="center"/>
              <w:rPr>
                <w:rFonts w:hint="eastAsia" w:ascii="仿宋_GB2312" w:hAnsi="仿宋_GB2312" w:eastAsia="仿宋_GB2312" w:cs="仿宋_GB2312"/>
                <w:b w:val="0"/>
                <w:bCs w:val="0"/>
                <w:color w:val="000000"/>
                <w:sz w:val="20"/>
                <w:szCs w:val="20"/>
              </w:rPr>
            </w:pP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(50分)</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both"/>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p>
          <w:p>
            <w:pPr>
              <w:widowControl/>
              <w:spacing w:line="240" w:lineRule="exact"/>
              <w:jc w:val="both"/>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数量指标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both"/>
              <w:rPr>
                <w:rFonts w:hint="default" w:ascii="仿宋_GB2312" w:hAnsi="仿宋_GB2312" w:eastAsia="仿宋_GB2312" w:cs="仿宋_GB2312"/>
                <w:color w:val="000000"/>
                <w:sz w:val="20"/>
                <w:szCs w:val="20"/>
                <w:lang w:val="en-US" w:eastAsia="zh-CN"/>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推广生产新型墙体材料</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16亿标砖</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仿宋_GB2312" w:hAnsi="仿宋_GB2312" w:eastAsia="仿宋_GB2312" w:cs="仿宋_GB2312"/>
                <w:color w:val="000000"/>
                <w:sz w:val="21"/>
                <w:szCs w:val="21"/>
                <w:lang w:val="en-US" w:eastAsia="zh-CN"/>
              </w:rPr>
              <w:t>12.47</w:t>
            </w:r>
            <w:r>
              <w:rPr>
                <w:rFonts w:hint="eastAsia" w:ascii="仿宋_GB2312" w:hAnsi="仿宋_GB2312" w:eastAsia="仿宋_GB2312" w:cs="仿宋_GB2312"/>
                <w:color w:val="000000"/>
                <w:sz w:val="21"/>
                <w:szCs w:val="21"/>
              </w:rPr>
              <w:t>亿标砖</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6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推广生产预拌砂浆</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30万吨</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169</w:t>
            </w:r>
            <w:r>
              <w:rPr>
                <w:rFonts w:hint="eastAsia" w:ascii="仿宋_GB2312" w:hAnsi="仿宋_GB2312" w:eastAsia="仿宋_GB2312" w:cs="仿宋_GB2312"/>
                <w:color w:val="000000"/>
                <w:sz w:val="21"/>
                <w:szCs w:val="21"/>
              </w:rPr>
              <w:t>万吨</w:t>
            </w:r>
          </w:p>
          <w:p>
            <w:pPr>
              <w:widowControl/>
              <w:spacing w:line="240" w:lineRule="exact"/>
              <w:jc w:val="center"/>
              <w:rPr>
                <w:rFonts w:hint="default" w:ascii="Times New Roman" w:hAnsi="Times New Roman" w:eastAsia="仿宋_GB2312" w:cs="Times New Roman"/>
                <w:b w:val="0"/>
                <w:bCs w:val="0"/>
                <w:color w:val="auto"/>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44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推广生产预拌混凝土</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400万立方</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eastAsia" w:ascii="仿宋_GB2312" w:hAnsi="仿宋_GB2312" w:eastAsia="仿宋_GB2312" w:cs="仿宋_GB2312"/>
                <w:color w:val="000000"/>
                <w:sz w:val="21"/>
                <w:szCs w:val="21"/>
                <w:lang w:val="en-US" w:eastAsia="zh-CN"/>
              </w:rPr>
              <w:t>720</w:t>
            </w:r>
            <w:r>
              <w:rPr>
                <w:rFonts w:hint="eastAsia" w:ascii="仿宋_GB2312" w:hAnsi="仿宋_GB2312" w:eastAsia="仿宋_GB2312" w:cs="仿宋_GB2312"/>
                <w:color w:val="000000"/>
                <w:sz w:val="21"/>
                <w:szCs w:val="21"/>
              </w:rPr>
              <w:t>万立方</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616"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质量指标</w:t>
            </w:r>
          </w:p>
          <w:p>
            <w:pPr>
              <w:widowControl/>
              <w:spacing w:line="240" w:lineRule="exact"/>
              <w:jc w:val="center"/>
              <w:rPr>
                <w:rFonts w:hint="eastAsia" w:ascii="仿宋_GB2312" w:hAnsi="仿宋_GB2312" w:eastAsia="仿宋_GB2312" w:cs="仿宋_GB2312"/>
                <w:b/>
                <w:bCs/>
                <w:color w:val="000000"/>
                <w:sz w:val="20"/>
                <w:szCs w:val="20"/>
              </w:rPr>
            </w:pPr>
          </w:p>
          <w:p>
            <w:pPr>
              <w:widowControl/>
              <w:spacing w:line="240" w:lineRule="exact"/>
              <w:jc w:val="center"/>
              <w:rPr>
                <w:rFonts w:hint="default" w:ascii="仿宋_GB2312" w:hAnsi="仿宋_GB2312" w:eastAsia="仿宋_GB2312" w:cs="仿宋_GB2312"/>
                <w:color w:val="000000"/>
                <w:sz w:val="20"/>
                <w:szCs w:val="20"/>
                <w:lang w:val="en-US" w:eastAsia="zh-CN"/>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新型墙体材料</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符合相关质量标准</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符合相关质量标准</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1"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在全市范围内城市建设新型墙材使用率</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达到100%</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达到100%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7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在全市范围内全面禁止现场搅拌散装水泥</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达到90%</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达到90%</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032"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时效指标</w:t>
            </w:r>
          </w:p>
          <w:p>
            <w:pPr>
              <w:widowControl/>
              <w:spacing w:line="240" w:lineRule="exact"/>
              <w:jc w:val="both"/>
              <w:rPr>
                <w:rFonts w:hint="default" w:ascii="仿宋_GB2312" w:hAnsi="仿宋_GB2312" w:eastAsia="仿宋_GB2312" w:cs="仿宋_GB2312"/>
                <w:b/>
                <w:bCs/>
                <w:color w:val="000000"/>
                <w:sz w:val="20"/>
                <w:szCs w:val="20"/>
                <w:lang w:val="en-US" w:eastAsia="zh-CN"/>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各项任务按规定时间完成</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年内</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完成</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trHeight w:val="67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成本指标</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both"/>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控制在预算金额内</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188.39万元</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完成</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trHeight w:val="537" w:hRule="atLeast"/>
          <w:jc w:val="center"/>
        </w:trPr>
        <w:tc>
          <w:tcPr>
            <w:tcW w:w="663"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效益指标</w:t>
            </w:r>
          </w:p>
          <w:p>
            <w:pPr>
              <w:widowControl/>
              <w:spacing w:line="240" w:lineRule="exact"/>
              <w:jc w:val="left"/>
              <w:rPr>
                <w:rFonts w:hint="eastAsia" w:ascii="仿宋_GB2312" w:hAnsi="仿宋_GB2312" w:eastAsia="仿宋_GB2312" w:cs="仿宋_GB2312"/>
                <w:b/>
                <w:bCs/>
                <w:color w:val="000000"/>
                <w:sz w:val="20"/>
                <w:szCs w:val="20"/>
              </w:rPr>
            </w:pPr>
          </w:p>
          <w:p>
            <w:pPr>
              <w:widowControl/>
              <w:spacing w:line="240" w:lineRule="exact"/>
              <w:jc w:val="left"/>
              <w:rPr>
                <w:rFonts w:hint="eastAsia" w:ascii="仿宋_GB2312" w:hAnsi="仿宋_GB2312" w:eastAsia="仿宋_GB2312" w:cs="仿宋_GB2312"/>
                <w:color w:val="000000"/>
                <w:sz w:val="15"/>
                <w:szCs w:val="15"/>
              </w:rPr>
            </w:pPr>
            <w:r>
              <w:rPr>
                <w:rFonts w:hint="eastAsia" w:ascii="仿宋_GB2312" w:hAnsi="仿宋_GB2312" w:eastAsia="仿宋_GB2312" w:cs="仿宋_GB2312"/>
                <w:b/>
                <w:bCs/>
                <w:color w:val="000000"/>
                <w:sz w:val="15"/>
                <w:szCs w:val="15"/>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经济效</w:t>
            </w:r>
          </w:p>
          <w:p>
            <w:pPr>
              <w:widowControl/>
              <w:spacing w:line="240" w:lineRule="exact"/>
              <w:jc w:val="center"/>
              <w:rPr>
                <w:rFonts w:hint="default" w:ascii="仿宋_GB2312" w:hAnsi="仿宋_GB2312" w:eastAsia="仿宋_GB2312" w:cs="仿宋_GB2312"/>
                <w:b/>
                <w:bCs/>
                <w:color w:val="000000"/>
                <w:sz w:val="20"/>
                <w:szCs w:val="20"/>
                <w:lang w:val="en-US" w:eastAsia="zh-CN"/>
              </w:rPr>
            </w:pPr>
            <w:r>
              <w:rPr>
                <w:rFonts w:hint="eastAsia" w:ascii="仿宋_GB2312" w:hAnsi="仿宋_GB2312" w:eastAsia="仿宋_GB2312" w:cs="仿宋_GB2312"/>
                <w:b/>
                <w:bCs/>
                <w:color w:val="000000"/>
                <w:sz w:val="20"/>
                <w:szCs w:val="20"/>
              </w:rPr>
              <w:t>益指标</w:t>
            </w:r>
            <w:r>
              <w:rPr>
                <w:rFonts w:hint="eastAsia" w:ascii="仿宋_GB2312" w:hAnsi="仿宋_GB2312" w:eastAsia="仿宋_GB2312" w:cs="仿宋_GB2312"/>
                <w:b/>
                <w:bCs/>
                <w:color w:val="000000"/>
                <w:sz w:val="20"/>
                <w:szCs w:val="20"/>
                <w:lang w:val="en-US" w:eastAsia="zh-CN"/>
              </w:rPr>
              <w:t>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企业</w:t>
            </w:r>
            <w:r>
              <w:rPr>
                <w:rFonts w:hint="default" w:ascii="Times New Roman" w:hAnsi="Times New Roman" w:eastAsia="仿宋_GB2312" w:cs="Times New Roman"/>
                <w:b w:val="0"/>
                <w:bCs w:val="0"/>
                <w:color w:val="auto"/>
                <w:sz w:val="18"/>
                <w:szCs w:val="18"/>
                <w:lang w:val="en-US" w:eastAsia="zh-CN"/>
              </w:rPr>
              <w:t>税款</w:t>
            </w:r>
          </w:p>
        </w:tc>
        <w:tc>
          <w:tcPr>
            <w:tcW w:w="12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5000万元</w:t>
            </w:r>
          </w:p>
        </w:tc>
        <w:tc>
          <w:tcPr>
            <w:tcW w:w="14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val="en-US" w:eastAsia="zh-CN"/>
              </w:rPr>
              <w:t>62</w:t>
            </w:r>
            <w:r>
              <w:rPr>
                <w:rFonts w:hint="default" w:ascii="Times New Roman" w:hAnsi="Times New Roman" w:eastAsia="仿宋_GB2312" w:cs="Times New Roman"/>
                <w:b w:val="0"/>
                <w:bCs w:val="0"/>
                <w:color w:val="auto"/>
                <w:sz w:val="18"/>
                <w:szCs w:val="18"/>
              </w:rPr>
              <w:t>00万元</w:t>
            </w:r>
          </w:p>
        </w:tc>
        <w:tc>
          <w:tcPr>
            <w:tcW w:w="5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15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社会效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益指标</w:t>
            </w:r>
          </w:p>
          <w:p>
            <w:pPr>
              <w:widowControl/>
              <w:spacing w:line="240" w:lineRule="exact"/>
              <w:jc w:val="center"/>
              <w:rPr>
                <w:rFonts w:hint="default" w:ascii="仿宋_GB2312" w:hAnsi="仿宋_GB2312" w:eastAsia="仿宋_GB2312" w:cs="仿宋_GB2312"/>
                <w:b/>
                <w:bCs/>
                <w:color w:val="000000"/>
                <w:sz w:val="20"/>
                <w:szCs w:val="20"/>
                <w:lang w:val="en-US" w:eastAsia="zh-CN"/>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b w:val="0"/>
                <w:bCs w:val="0"/>
                <w:color w:val="auto"/>
                <w:kern w:val="0"/>
                <w:sz w:val="18"/>
                <w:szCs w:val="18"/>
                <w:lang w:val="en-US" w:eastAsia="zh-CN" w:bidi="ar-SA"/>
              </w:rPr>
            </w:pPr>
            <w:r>
              <w:rPr>
                <w:rFonts w:hint="eastAsia" w:ascii="Times New Roman" w:hAnsi="Times New Roman" w:eastAsia="仿宋_GB2312" w:cs="Times New Roman"/>
                <w:b w:val="0"/>
                <w:bCs w:val="0"/>
                <w:color w:val="auto"/>
                <w:kern w:val="0"/>
                <w:sz w:val="18"/>
                <w:szCs w:val="18"/>
                <w:lang w:val="en-US" w:eastAsia="zh-CN" w:bidi="ar-SA"/>
              </w:rPr>
              <w:t>安全、防火、使用寿命长，A级不燃绿色节能产品属A级不燃保温材料，安全性能非常高。隔热保温具有节约能源、改善居住环境等作用。且装配简单快捷，使墙体变薄，节约用地，节省大量的生产成本，增加房屋使用面积，减轻建筑自身重量，有利于抗震等一系列优点</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val="en-US" w:eastAsia="zh-CN" w:bidi="ar-SA"/>
              </w:rPr>
              <w:t>社会效益好</w:t>
            </w:r>
          </w:p>
        </w:tc>
        <w:tc>
          <w:tcPr>
            <w:tcW w:w="148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eastAsia" w:ascii="Times New Roman" w:hAnsi="Times New Roman" w:eastAsia="仿宋_GB2312" w:cs="Times New Roman"/>
                <w:b w:val="0"/>
                <w:bCs w:val="0"/>
                <w:color w:val="auto"/>
                <w:kern w:val="0"/>
                <w:sz w:val="18"/>
                <w:szCs w:val="18"/>
                <w:lang w:val="en-US" w:eastAsia="zh-CN" w:bidi="ar-SA"/>
              </w:rPr>
              <w:t>完成</w:t>
            </w:r>
          </w:p>
        </w:tc>
        <w:tc>
          <w:tcPr>
            <w:tcW w:w="5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1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485"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生态效</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益指标</w:t>
            </w:r>
          </w:p>
          <w:p>
            <w:pPr>
              <w:widowControl/>
              <w:spacing w:line="240" w:lineRule="exact"/>
              <w:jc w:val="center"/>
              <w:rPr>
                <w:rFonts w:hint="default" w:ascii="仿宋_GB2312" w:hAnsi="仿宋_GB2312" w:eastAsia="仿宋_GB2312" w:cs="仿宋_GB2312"/>
                <w:b/>
                <w:bCs/>
                <w:color w:val="000000"/>
                <w:sz w:val="20"/>
                <w:szCs w:val="20"/>
                <w:lang w:val="en-US" w:eastAsia="zh-CN"/>
              </w:rPr>
            </w:pP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隔热保温，节约能源，使用新型墙体材料，可以有效减少环境污染，，其中相当一大部分品种属于绿色建材。</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val="en-US" w:eastAsia="zh-CN" w:bidi="ar-SA"/>
              </w:rPr>
              <w:t>社会效益好</w:t>
            </w:r>
          </w:p>
        </w:tc>
        <w:tc>
          <w:tcPr>
            <w:tcW w:w="148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完成</w:t>
            </w:r>
          </w:p>
        </w:tc>
        <w:tc>
          <w:tcPr>
            <w:tcW w:w="5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5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8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可持续影响指标</w:t>
            </w:r>
          </w:p>
          <w:p>
            <w:pPr>
              <w:widowControl/>
              <w:spacing w:line="240" w:lineRule="exact"/>
              <w:jc w:val="center"/>
              <w:rPr>
                <w:rFonts w:hint="default" w:ascii="仿宋_GB2312" w:hAnsi="仿宋_GB2312" w:eastAsia="仿宋_GB2312" w:cs="仿宋_GB2312"/>
                <w:b/>
                <w:bCs/>
                <w:color w:val="000000"/>
                <w:sz w:val="20"/>
                <w:szCs w:val="20"/>
                <w:lang w:val="en-US" w:eastAsia="zh-CN"/>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A级不燃保温材料，安全性能非常高。完全达到公安部与住房和城乡建设部联合下发的公通字[2009]46号文件所规定的保温材料A级防火标准。</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val="en-US" w:eastAsia="zh-CN" w:bidi="ar-SA"/>
              </w:rPr>
              <w:t>可持续影响好</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kern w:val="0"/>
                <w:sz w:val="18"/>
                <w:szCs w:val="18"/>
                <w:lang w:val="en-US" w:eastAsia="zh-CN" w:bidi="ar-SA"/>
              </w:rPr>
            </w:pPr>
            <w:r>
              <w:rPr>
                <w:rFonts w:hint="eastAsia" w:ascii="Times New Roman" w:hAnsi="Times New Roman" w:eastAsia="仿宋_GB2312" w:cs="Times New Roman"/>
                <w:b w:val="0"/>
                <w:bCs w:val="0"/>
                <w:color w:val="auto"/>
                <w:kern w:val="0"/>
                <w:sz w:val="18"/>
                <w:szCs w:val="18"/>
                <w:lang w:val="en-US" w:eastAsia="zh-CN" w:bidi="ar-SA"/>
              </w:rPr>
              <w:t>完成</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884"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523"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满意度</w:t>
            </w:r>
          </w:p>
          <w:p>
            <w:pPr>
              <w:widowControl/>
              <w:spacing w:line="240" w:lineRule="exact"/>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color w:val="000000"/>
                <w:sz w:val="15"/>
                <w:szCs w:val="15"/>
              </w:rPr>
              <w:t>（10分）</w:t>
            </w:r>
          </w:p>
        </w:tc>
        <w:tc>
          <w:tcPr>
            <w:tcW w:w="485" w:type="dxa"/>
            <w:tcBorders>
              <w:top w:val="nil"/>
              <w:left w:val="nil"/>
              <w:right w:val="single" w:color="auto" w:sz="4" w:space="0"/>
            </w:tcBorders>
            <w:noWrap w:val="0"/>
            <w:vAlign w:val="center"/>
          </w:tcPr>
          <w:p>
            <w:pPr>
              <w:widowControl/>
              <w:spacing w:line="240" w:lineRule="exact"/>
              <w:jc w:val="both"/>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服务对象满意度指标</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各使用新型墙体材料企业满意度。</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达到95%以上</w:t>
            </w:r>
          </w:p>
        </w:tc>
        <w:tc>
          <w:tcPr>
            <w:tcW w:w="148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完成</w:t>
            </w:r>
          </w:p>
        </w:tc>
        <w:tc>
          <w:tcPr>
            <w:tcW w:w="5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66" w:hRule="atLeast"/>
          <w:jc w:val="center"/>
        </w:trPr>
        <w:tc>
          <w:tcPr>
            <w:tcW w:w="724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5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仿宋_GB2312" w:hAnsi="仿宋_GB2312" w:eastAsia="仿宋_GB2312" w:cs="仿宋_GB2312"/>
          <w:color w:val="auto"/>
          <w:sz w:val="32"/>
          <w:szCs w:val="32"/>
          <w:lang w:val="en-US" w:eastAsia="zh-CN"/>
        </w:rPr>
        <w:sectPr>
          <w:footerReference r:id="rId6" w:type="default"/>
          <w:pgSz w:w="11890" w:h="16880"/>
          <w:pgMar w:top="1434" w:right="1540" w:bottom="1157" w:left="1649" w:header="0" w:footer="893" w:gutter="0"/>
          <w:cols w:space="720" w:num="1"/>
        </w:sect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李慷琪</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2023年7月17日</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8214860</w:t>
      </w:r>
      <w:r>
        <w:rPr>
          <w:rFonts w:hint="default" w:ascii="Times New Roman" w:hAnsi="Times New Roman" w:eastAsia="仿宋_GB2312" w:cs="Times New Roman"/>
          <w:sz w:val="22"/>
          <w:szCs w:val="22"/>
        </w:rPr>
        <w:t xml:space="preserve"> 单位负责人签字</w:t>
      </w:r>
      <w:bookmarkStart w:id="1" w:name="_GoBack"/>
      <w:bookmarkEnd w:id="1"/>
    </w:p>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4"/>
        <w:szCs w:val="24"/>
      </w:rPr>
    </w:pPr>
    <w:r>
      <w:rPr>
        <w:rFonts w:ascii="仿宋" w:hAnsi="仿宋" w:eastAsia="仿宋" w:cs="仿宋"/>
        <w:spacing w:val="-3"/>
        <w:sz w:val="24"/>
        <w:szCs w:val="24"/>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right="73"/>
      <w:jc w:val="right"/>
      <w:rPr>
        <w:rFonts w:ascii="仿宋" w:hAnsi="仿宋" w:eastAsia="仿宋" w:cs="仿宋"/>
        <w:sz w:val="27"/>
        <w:szCs w:val="27"/>
      </w:rPr>
    </w:pPr>
    <w:r>
      <w:rPr>
        <w:rFonts w:ascii="仿宋" w:hAnsi="仿宋" w:eastAsia="仿宋" w:cs="仿宋"/>
        <w:spacing w:val="-3"/>
        <w:sz w:val="27"/>
        <w:szCs w:val="2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8470D"/>
    <w:multiLevelType w:val="singleLevel"/>
    <w:tmpl w:val="17F8470D"/>
    <w:lvl w:ilvl="0" w:tentative="0">
      <w:start w:val="1"/>
      <w:numFmt w:val="chineseCounting"/>
      <w:suff w:val="nothing"/>
      <w:lvlText w:val="%1、"/>
      <w:lvlJc w:val="left"/>
      <w:rPr>
        <w:rFonts w:hint="eastAsia"/>
      </w:rPr>
    </w:lvl>
  </w:abstractNum>
  <w:abstractNum w:abstractNumId="1">
    <w:nsid w:val="45DAD14C"/>
    <w:multiLevelType w:val="singleLevel"/>
    <w:tmpl w:val="45DAD14C"/>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ZjdiN2I1MDA0NzQxZGVlOWVmNjRiNTU1MGNmNGMifQ=="/>
  </w:docVars>
  <w:rsids>
    <w:rsidRoot w:val="2C942C04"/>
    <w:rsid w:val="2C942C04"/>
    <w:rsid w:val="335B60A3"/>
    <w:rsid w:val="7552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link w:val="7"/>
    <w:unhideWhenUsed/>
    <w:qFormat/>
    <w:uiPriority w:val="0"/>
    <w:pPr>
      <w:ind w:firstLine="420" w:firstLineChars="200"/>
    </w:pPr>
    <w:rPr>
      <w:rFonts w:hint="default"/>
      <w:sz w:val="21"/>
      <w:szCs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6">
    <w:name w:val="NormalCharacter"/>
    <w:semiHidden/>
    <w:qFormat/>
    <w:uiPriority w:val="0"/>
  </w:style>
  <w:style w:type="character" w:customStyle="1" w:styleId="7">
    <w:name w:val="正文缩进 Char"/>
    <w:link w:val="2"/>
    <w:qFormat/>
    <w:uiPriority w:val="0"/>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1991</Words>
  <Characters>2084</Characters>
  <Lines>0</Lines>
  <Paragraphs>0</Paragraphs>
  <TotalTime>2</TotalTime>
  <ScaleCrop>false</ScaleCrop>
  <LinksUpToDate>false</LinksUpToDate>
  <CharactersWithSpaces>2115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2023-07-20T07:06:00Z</dcterms:created>
  <dc:creator>李慷琪</dc:creator>
  <cp:lastModifiedBy>李慷琪</cp:lastModifiedBy>
  <dcterms:modified xsi:type="dcterms:W3CDTF">2023-07-27T02:01:59Z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B7B0C81E792B4084B8E9A51FC88DCE90_11</vt:lpwstr>
  </property>
</Properties>
</file>